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宋体"/>
          <w:b/>
          <w:lang w:eastAsia="zh-CN"/>
        </w:rPr>
        <w:t xml:space="preserve"> and </w:t>
      </w:r>
      <w:r>
        <w:rPr>
          <w:b/>
        </w:rPr>
        <w:t>Decision</w:t>
      </w:r>
    </w:p>
    <w:p w14:paraId="74590CAD" w14:textId="77777777" w:rsidR="007954AD" w:rsidRDefault="00F17D01">
      <w:pPr>
        <w:pStyle w:val="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af8"/>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1"/>
      </w:pPr>
      <w:r>
        <w:t>Summary of issues</w:t>
      </w:r>
    </w:p>
    <w:p w14:paraId="2898EA24" w14:textId="77777777" w:rsidR="007954AD" w:rsidRDefault="00F17D01">
      <w:pPr>
        <w:pStyle w:val="2"/>
      </w:pPr>
      <w:r>
        <w:t>Issue CA-1: Clarifying the conditions for indicating Type 2 LBT for wideband scheduled PUSCH</w:t>
      </w:r>
    </w:p>
    <w:p w14:paraId="0D5B353B" w14:textId="77777777" w:rsidR="007954AD" w:rsidRDefault="00F17D01">
      <w:r>
        <w:rPr>
          <w:lang w:eastAsia="en-US"/>
        </w:rPr>
        <w:t xml:space="preserve">In [1], it is proposed to clarify the conditions for when Type LBT is used in the case of wideband operation, </w:t>
      </w:r>
      <w:proofErr w:type="gramStart"/>
      <w:r>
        <w:rPr>
          <w:lang w:eastAsia="en-US"/>
        </w:rPr>
        <w:t>The</w:t>
      </w:r>
      <w:proofErr w:type="gramEnd"/>
      <w:r>
        <w:rPr>
          <w:lang w:eastAsia="en-US"/>
        </w:rPr>
        <w:t xml:space="preserve"> related TPO is below.</w:t>
      </w:r>
    </w:p>
    <w:p w14:paraId="7F15DD37"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0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where</w:t>
            </w:r>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acquired the channel using the largest priority class value and the eNB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Companies are asked provide their views on the TP in [1] with the table below.</w:t>
      </w:r>
    </w:p>
    <w:p w14:paraId="3F3060AA" w14:textId="77777777" w:rsidR="007954AD" w:rsidRDefault="007954AD">
      <w:pPr>
        <w:rPr>
          <w:lang w:eastAsia="en-US"/>
        </w:rPr>
      </w:pPr>
    </w:p>
    <w:tbl>
      <w:tblPr>
        <w:tblStyle w:val="af8"/>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宋体"/>
                <w:szCs w:val="20"/>
                <w:lang w:eastAsia="zh-CN"/>
              </w:rPr>
            </w:pPr>
            <w:r>
              <w:rPr>
                <w:rFonts w:eastAsia="宋体"/>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宋体"/>
                <w:szCs w:val="20"/>
                <w:lang w:eastAsia="zh-CN"/>
              </w:rPr>
            </w:pPr>
            <w:r>
              <w:rPr>
                <w:rFonts w:eastAsia="宋体"/>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宋体"/>
                <w:szCs w:val="20"/>
                <w:lang w:eastAsia="zh-CN"/>
              </w:rPr>
            </w:pPr>
            <w:r>
              <w:rPr>
                <w:rFonts w:eastAsia="宋体"/>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宋体"/>
                <w:szCs w:val="20"/>
                <w:lang w:eastAsia="zh-CN"/>
              </w:rPr>
            </w:pPr>
            <w:r>
              <w:rPr>
                <w:rFonts w:eastAsia="宋体"/>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宋体"/>
                <w:szCs w:val="20"/>
                <w:lang w:eastAsia="zh-CN"/>
              </w:rPr>
            </w:pPr>
            <w:r>
              <w:rPr>
                <w:rFonts w:eastAsia="宋体"/>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宋体"/>
                <w:szCs w:val="20"/>
                <w:lang w:eastAsia="zh-CN"/>
              </w:rPr>
            </w:pPr>
            <w:r>
              <w:rPr>
                <w:rFonts w:eastAsia="宋体"/>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宋体"/>
                <w:szCs w:val="20"/>
                <w:lang w:eastAsia="zh-CN"/>
              </w:rPr>
            </w:pPr>
            <w:r>
              <w:rPr>
                <w:rFonts w:eastAsia="宋体"/>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宋体"/>
                <w:szCs w:val="20"/>
                <w:lang w:eastAsia="zh-CN"/>
              </w:rPr>
            </w:pPr>
            <w:r>
              <w:rPr>
                <w:rFonts w:eastAsia="宋体"/>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宋体"/>
                <w:szCs w:val="20"/>
                <w:lang w:eastAsia="zh-CN"/>
              </w:rPr>
            </w:pPr>
            <w:r>
              <w:rPr>
                <w:rFonts w:eastAsia="宋体"/>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宋体"/>
                <w:szCs w:val="20"/>
                <w:lang w:eastAsia="zh-CN"/>
              </w:rPr>
            </w:pPr>
            <w:r>
              <w:rPr>
                <w:rFonts w:eastAsia="宋体"/>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Sanchips</w:t>
            </w:r>
            <w:proofErr w:type="spellEnd"/>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宋体"/>
                <w:szCs w:val="20"/>
                <w:lang w:val="en-US" w:eastAsia="zh-CN"/>
              </w:rPr>
            </w:pPr>
            <w:r>
              <w:rPr>
                <w:rFonts w:eastAsia="宋体"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宋体"/>
                <w:szCs w:val="20"/>
                <w:lang w:val="en-US" w:eastAsia="zh-CN"/>
              </w:rPr>
            </w:pPr>
            <w:r w:rsidRPr="00F21EA7">
              <w:rPr>
                <w:rFonts w:eastAsia="宋体"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宋体"/>
                <w:szCs w:val="20"/>
                <w:lang w:val="en-US" w:eastAsia="zh-CN"/>
              </w:rPr>
            </w:pPr>
            <w:r w:rsidRPr="00F21EA7">
              <w:rPr>
                <w:rFonts w:eastAsia="宋体"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宋体"/>
                <w:szCs w:val="20"/>
                <w:lang w:val="en-US" w:eastAsia="zh-CN"/>
              </w:rPr>
            </w:pPr>
            <w:r>
              <w:rPr>
                <w:rFonts w:eastAsia="宋体"/>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宋体"/>
                <w:szCs w:val="20"/>
                <w:lang w:val="en-US" w:eastAsia="zh-CN"/>
              </w:rPr>
            </w:pPr>
            <w:r w:rsidRPr="00F21EA7">
              <w:rPr>
                <w:rFonts w:eastAsia="宋体" w:hint="eastAsia"/>
                <w:szCs w:val="20"/>
                <w:lang w:val="en-US" w:eastAsia="zh-CN"/>
              </w:rPr>
              <w:t>We are fine with the TP.</w:t>
            </w:r>
          </w:p>
        </w:tc>
      </w:tr>
      <w:tr w:rsidR="00BD7E62" w14:paraId="57C61E6F" w14:textId="77777777">
        <w:tc>
          <w:tcPr>
            <w:tcW w:w="2547" w:type="dxa"/>
            <w:tcBorders>
              <w:top w:val="single" w:sz="4" w:space="0" w:color="auto"/>
              <w:left w:val="single" w:sz="4" w:space="0" w:color="auto"/>
              <w:bottom w:val="single" w:sz="4" w:space="0" w:color="auto"/>
              <w:right w:val="single" w:sz="4" w:space="0" w:color="auto"/>
            </w:tcBorders>
          </w:tcPr>
          <w:p w14:paraId="4FF0505F" w14:textId="2EB66106" w:rsidR="00BD7E62" w:rsidRDefault="00BD7E62">
            <w:pPr>
              <w:spacing w:after="0"/>
              <w:rPr>
                <w:rFonts w:eastAsia="宋体"/>
                <w:szCs w:val="20"/>
                <w:lang w:val="en-US" w:eastAsia="zh-CN"/>
              </w:rPr>
            </w:pPr>
            <w:r>
              <w:rPr>
                <w:rFonts w:eastAsia="宋体"/>
                <w:szCs w:val="20"/>
                <w:lang w:val="en-US" w:eastAsia="zh-CN"/>
              </w:rPr>
              <w:lastRenderedPageBreak/>
              <w:t>Vivo</w:t>
            </w:r>
          </w:p>
        </w:tc>
        <w:tc>
          <w:tcPr>
            <w:tcW w:w="6763" w:type="dxa"/>
            <w:tcBorders>
              <w:top w:val="single" w:sz="4" w:space="0" w:color="auto"/>
              <w:left w:val="single" w:sz="4" w:space="0" w:color="auto"/>
              <w:bottom w:val="single" w:sz="4" w:space="0" w:color="auto"/>
              <w:right w:val="single" w:sz="4" w:space="0" w:color="auto"/>
            </w:tcBorders>
          </w:tcPr>
          <w:p w14:paraId="51482527" w14:textId="4E2FB707" w:rsidR="00BD7E62" w:rsidRPr="00F21EA7" w:rsidRDefault="00BD7E62">
            <w:pPr>
              <w:spacing w:after="0"/>
              <w:rPr>
                <w:rFonts w:eastAsia="宋体" w:hint="eastAsia"/>
                <w:szCs w:val="20"/>
                <w:lang w:val="en-US" w:eastAsia="zh-CN"/>
              </w:rPr>
            </w:pPr>
            <w:r>
              <w:rPr>
                <w:rFonts w:eastAsia="宋体"/>
                <w:szCs w:val="20"/>
                <w:lang w:val="en-US" w:eastAsia="zh-CN"/>
              </w:rPr>
              <w:t>We support the TP</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af8"/>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0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宋体"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宋体" w:hAnsi="Arial"/>
                <w:sz w:val="32"/>
                <w:szCs w:val="20"/>
              </w:rPr>
              <w:t>4.3</w:t>
            </w:r>
            <w:r>
              <w:rPr>
                <w:rFonts w:ascii="Arial" w:eastAsia="宋体" w:hAnsi="Arial"/>
                <w:sz w:val="32"/>
                <w:szCs w:val="20"/>
              </w:rPr>
              <w:tab/>
              <w:t>Channel access procedures for semi-static channel occupancy</w:t>
            </w:r>
            <w:bookmarkEnd w:id="12"/>
            <w:bookmarkEnd w:id="13"/>
            <w:bookmarkEnd w:id="14"/>
            <w:bookmarkEnd w:id="15"/>
            <w:bookmarkEnd w:id="16"/>
          </w:p>
          <w:bookmarkEnd w:id="17"/>
          <w:p w14:paraId="254C8EE2" w14:textId="77777777"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ChannelAccessMode-r16 ='</w:t>
            </w:r>
            <w:proofErr w:type="spellStart"/>
            <w:r>
              <w:rPr>
                <w:rFonts w:eastAsia="Times New Roman"/>
                <w:i/>
                <w:color w:val="000000"/>
                <w:szCs w:val="20"/>
                <w:lang w:val="en-US"/>
              </w:rPr>
              <w:t>semistatic</w:t>
            </w:r>
            <w:proofErr w:type="spellEnd"/>
            <w:r>
              <w:rPr>
                <w:rFonts w:eastAsia="Times New Roman"/>
                <w:i/>
                <w:color w:val="000000"/>
                <w:szCs w:val="20"/>
                <w:lang w:val="en-US"/>
              </w:rPr>
              <w:t xml:space="preserve">'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proofErr w:type="spellStart"/>
            <w:r>
              <w:rPr>
                <w:rFonts w:eastAsia="Times New Roman"/>
                <w:i/>
                <w:color w:val="000000"/>
                <w:szCs w:val="20"/>
                <w:lang w:val="en-US"/>
              </w:rPr>
              <w:t>SemiStaticChannelAccessConfig</w:t>
            </w:r>
            <w:proofErr w:type="spellEnd"/>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m:t>
                </w:del>
              </m:r>
              <m:r>
                <w:del w:id="26" w:author="Huawei" w:date="2021-04-06T18:17:00Z">
                  <w:rPr>
                    <w:rFonts w:ascii="Cambria Math" w:hAnsi="Cambria Math"/>
                  </w:rPr>
                  <w:lastRenderedPageBreak/>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7" w:author="Huawei" w:date="2021-04-06T18:15:00Z"/>
                <w:rFonts w:eastAsia="宋体"/>
                <w:szCs w:val="20"/>
                <w:lang w:val="en-US"/>
              </w:rPr>
            </w:pPr>
            <w:ins w:id="28" w:author="Huawei" w:date="2021-04-06T18:15:00Z">
              <w:r>
                <w:rPr>
                  <w:rFonts w:eastAsia="宋体"/>
                  <w:szCs w:val="20"/>
                  <w:lang w:val="en-US"/>
                </w:rPr>
                <w:t xml:space="preserve">The sensing slot duration </w:t>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sl</m:t>
                    </m:r>
                  </m:sub>
                </m:sSub>
                <m:r>
                  <w:rPr>
                    <w:rFonts w:ascii="Cambria Math" w:eastAsia="宋体" w:hAnsi="Cambria Math"/>
                    <w:szCs w:val="20"/>
                    <w:lang w:val="en-US"/>
                  </w:rPr>
                  <m:t>=9</m:t>
                </m:r>
                <m:r>
                  <w:rPr>
                    <w:rFonts w:ascii="Cambria Math" w:eastAsia="宋体" w:hAnsi="Cambria Math"/>
                    <w:szCs w:val="20"/>
                  </w:rPr>
                  <m:t>us</m:t>
                </m:r>
              </m:oMath>
              <w:r>
                <w:rPr>
                  <w:rFonts w:eastAsia="宋体"/>
                  <w:szCs w:val="20"/>
                </w:rPr>
                <w:t>, except for the case of operating in China wherein</w:t>
              </w:r>
              <w:r>
                <w:rPr>
                  <w:rFonts w:eastAsia="宋体"/>
                  <w:szCs w:val="20"/>
                  <w:lang w:val="en-US"/>
                </w:rPr>
                <w:t xml:space="preserve"> </w:t>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sl</m:t>
                    </m:r>
                  </m:sub>
                </m:sSub>
                <m:r>
                  <w:rPr>
                    <w:rFonts w:ascii="Cambria Math" w:eastAsia="宋体" w:hAnsi="Cambria Math"/>
                    <w:szCs w:val="20"/>
                    <w:lang w:val="en-US"/>
                  </w:rPr>
                  <m:t>=18</m:t>
                </m:r>
                <m:r>
                  <w:rPr>
                    <w:rFonts w:ascii="Cambria Math" w:eastAsia="宋体" w:hAnsi="Cambria Math"/>
                    <w:szCs w:val="20"/>
                  </w:rPr>
                  <m:t>us</m:t>
                </m:r>
              </m:oMath>
              <w:r>
                <w:rPr>
                  <w:rFonts w:eastAsia="宋体"/>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14:paraId="054F7215" w14:textId="77777777" w:rsidR="007954AD" w:rsidRDefault="007954AD">
            <w:pPr>
              <w:spacing w:after="120"/>
              <w:ind w:leftChars="200" w:left="40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7C032356" w14:textId="77777777">
        <w:tc>
          <w:tcPr>
            <w:tcW w:w="9362" w:type="dxa"/>
          </w:tcPr>
          <w:tbl>
            <w:tblPr>
              <w:tblStyle w:val="af8"/>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77777777" w:rsidR="007954AD" w:rsidRDefault="00F17D01">
                  <w:pPr>
                    <w:keepNext/>
                    <w:keepLines/>
                    <w:spacing w:before="60" w:after="180"/>
                    <w:jc w:val="center"/>
                    <w:rPr>
                      <w:rFonts w:ascii="Arial" w:eastAsia="宋体" w:hAnsi="Arial"/>
                      <w:b/>
                      <w:szCs w:val="20"/>
                      <w:lang w:eastAsia="zh-CN"/>
                    </w:rPr>
                  </w:pPr>
                  <w:r>
                    <w:rPr>
                      <w:rFonts w:ascii="Arial" w:eastAsia="宋体" w:hAnsi="Arial"/>
                      <w:b/>
                      <w:szCs w:val="20"/>
                    </w:rPr>
                    <w:t xml:space="preserve">Table </w:t>
                  </w:r>
                  <w:r>
                    <w:rPr>
                      <w:rFonts w:ascii="Arial" w:eastAsia="宋体" w:hAnsi="Arial"/>
                      <w:b/>
                      <w:szCs w:val="20"/>
                      <w:lang w:eastAsia="zh-CN"/>
                    </w:rPr>
                    <w:t>7.3.1.1.1</w:t>
                  </w:r>
                  <w:r>
                    <w:rPr>
                      <w:rFonts w:ascii="Arial" w:eastAsia="宋体" w:hAnsi="Arial"/>
                      <w:b/>
                      <w:szCs w:val="20"/>
                    </w:rPr>
                    <w:t>-</w:t>
                  </w:r>
                  <w:r>
                    <w:rPr>
                      <w:rFonts w:ascii="Arial" w:eastAsia="宋体" w:hAnsi="Arial"/>
                      <w:b/>
                      <w:szCs w:val="20"/>
                      <w:lang w:eastAsia="zh-CN"/>
                    </w:rPr>
                    <w:t>4</w:t>
                  </w:r>
                  <w:r>
                    <w:rPr>
                      <w:rFonts w:ascii="Arial" w:eastAsia="宋体" w:hAnsi="Arial"/>
                      <w:b/>
                      <w:szCs w:val="20"/>
                      <w:lang w:val="en-US" w:eastAsia="zh-CN"/>
                    </w:rPr>
                    <w:t>A</w:t>
                  </w:r>
                  <w:r>
                    <w:rPr>
                      <w:rFonts w:ascii="Arial" w:eastAsia="宋体" w:hAnsi="Arial"/>
                      <w:b/>
                      <w:szCs w:val="20"/>
                      <w:lang w:eastAsia="zh-CN"/>
                    </w:rPr>
                    <w:t xml:space="preserve">: Channel access type &amp; CP extension </w:t>
                  </w:r>
                  <w:proofErr w:type="spellStart"/>
                  <w:r>
                    <w:rPr>
                      <w:rFonts w:ascii="Arial" w:eastAsia="宋体" w:hAnsi="Arial"/>
                      <w:b/>
                      <w:szCs w:val="20"/>
                      <w:lang w:eastAsia="zh-CN"/>
                    </w:rPr>
                    <w:t>i</w:t>
                  </w:r>
                  <w:proofErr w:type="spellEnd"/>
                  <w:r>
                    <w:rPr>
                      <w:rFonts w:ascii="Arial" w:eastAsia="宋体" w:hAnsi="Arial"/>
                      <w:b/>
                      <w:szCs w:val="20"/>
                      <w:lang w:val="en-US" w:eastAsia="zh-CN"/>
                    </w:rPr>
                    <w:t>f</w:t>
                  </w:r>
                  <w:r>
                    <w:rPr>
                      <w:rFonts w:ascii="Arial" w:eastAsia="宋体" w:hAnsi="Arial"/>
                      <w:b/>
                      <w:i/>
                      <w:szCs w:val="20"/>
                      <w:lang w:eastAsia="zh-CN"/>
                    </w:rPr>
                    <w:t xml:space="preserve"> ChannelAccessMode-r16</w:t>
                  </w:r>
                  <w:r>
                    <w:rPr>
                      <w:rFonts w:ascii="Arial" w:eastAsia="宋体" w:hAnsi="Arial"/>
                      <w:b/>
                      <w:szCs w:val="20"/>
                      <w:lang w:eastAsia="zh-CN"/>
                    </w:rPr>
                    <w:t xml:space="preserve"> = "</w:t>
                  </w:r>
                  <w:proofErr w:type="spellStart"/>
                  <w:r>
                    <w:rPr>
                      <w:rFonts w:ascii="Arial" w:eastAsia="宋体" w:hAnsi="Arial"/>
                      <w:b/>
                      <w:i/>
                      <w:iCs/>
                      <w:szCs w:val="20"/>
                    </w:rPr>
                    <w:t>semistatic</w:t>
                  </w:r>
                  <w:proofErr w:type="spellEnd"/>
                  <w:r>
                    <w:rPr>
                      <w:rFonts w:ascii="Arial" w:eastAsia="宋体" w:hAnsi="Arial"/>
                      <w:b/>
                      <w:szCs w:val="20"/>
                      <w:lang w:eastAsia="zh-CN"/>
                    </w:rPr>
                    <w:t>"</w:t>
                  </w:r>
                  <w:r>
                    <w:rPr>
                      <w:rFonts w:ascii="Arial" w:eastAsia="宋体" w:hAnsi="Arial"/>
                      <w:b/>
                      <w:szCs w:val="20"/>
                      <w:lang w:val="en-US" w:eastAsia="zh-CN"/>
                    </w:rPr>
                    <w:t xml:space="preserve"> is provided</w:t>
                  </w:r>
                  <w:r>
                    <w:rPr>
                      <w:rFonts w:ascii="Arial" w:eastAsia="宋体"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宋体" w:hAnsi="Arial"/>
                            <w:b/>
                            <w:sz w:val="18"/>
                            <w:lang w:eastAsia="zh-CN"/>
                          </w:rPr>
                        </w:pPr>
                        <w:r>
                          <w:rPr>
                            <w:rFonts w:ascii="Arial" w:eastAsia="宋体"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The CP extension T_"</w:t>
                        </w:r>
                        <w:proofErr w:type="spellStart"/>
                        <w:r>
                          <w:rPr>
                            <w:rFonts w:ascii="Arial" w:eastAsia="宋体" w:hAnsi="Arial"/>
                            <w:b/>
                            <w:sz w:val="18"/>
                            <w:szCs w:val="20"/>
                            <w:lang w:eastAsia="zh-CN"/>
                          </w:rPr>
                          <w:t>ext</w:t>
                        </w:r>
                        <w:proofErr w:type="spellEnd"/>
                        <w:proofErr w:type="gramStart"/>
                        <w:r>
                          <w:rPr>
                            <w:rFonts w:ascii="Arial" w:eastAsia="宋体" w:hAnsi="Arial"/>
                            <w:b/>
                            <w:sz w:val="18"/>
                            <w:szCs w:val="20"/>
                            <w:lang w:eastAsia="zh-CN"/>
                          </w:rPr>
                          <w:t>"  index</w:t>
                        </w:r>
                        <w:proofErr w:type="gramEnd"/>
                        <w:r>
                          <w:rPr>
                            <w:rFonts w:ascii="Arial" w:eastAsia="宋体" w:hAnsi="Arial"/>
                            <w:b/>
                            <w:sz w:val="18"/>
                            <w:szCs w:val="20"/>
                            <w:lang w:eastAsia="zh-CN"/>
                          </w:rPr>
                          <w:t xml:space="preserve">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宋体" w:hAnsi="Arial"/>
                            <w:sz w:val="18"/>
                            <w:szCs w:val="20"/>
                            <w:lang w:eastAsia="zh-CN"/>
                          </w:rPr>
                        </w:pPr>
                        <w:del w:id="29" w:author="Huawei" w:date="2021-04-06T18:26:00Z">
                          <w:r>
                            <w:rPr>
                              <w:rFonts w:ascii="Arial" w:eastAsia="宋体" w:hAnsi="Arial"/>
                              <w:color w:val="1F497D"/>
                              <w:sz w:val="18"/>
                              <w:szCs w:val="20"/>
                              <w:lang w:val="sv-SE"/>
                            </w:rPr>
                            <w:delText>9us s</w:delText>
                          </w:r>
                        </w:del>
                        <w:ins w:id="30" w:author="Huawei" w:date="2021-04-06T18:26:00Z">
                          <w:r>
                            <w:rPr>
                              <w:rFonts w:ascii="Arial" w:eastAsia="宋体" w:hAnsi="Arial"/>
                              <w:sz w:val="18"/>
                              <w:szCs w:val="20"/>
                              <w:lang w:val="sv-SE"/>
                            </w:rPr>
                            <w:t>S</w:t>
                          </w:r>
                        </w:ins>
                        <w:r>
                          <w:rPr>
                            <w:rFonts w:ascii="Arial" w:eastAsia="宋体" w:hAnsi="Arial"/>
                            <w:sz w:val="18"/>
                            <w:szCs w:val="20"/>
                            <w:lang w:val="sv-SE"/>
                          </w:rPr>
                          <w:t>ensing</w:t>
                        </w:r>
                        <w:r>
                          <w:rPr>
                            <w:rFonts w:ascii="Arial" w:eastAsia="宋体" w:hAnsi="Arial"/>
                            <w:color w:val="1F497D"/>
                            <w:sz w:val="18"/>
                            <w:szCs w:val="20"/>
                            <w:lang w:val="sv-SE"/>
                          </w:rPr>
                          <w:t xml:space="preserve"> </w:t>
                        </w:r>
                        <w:r>
                          <w:rPr>
                            <w:rFonts w:ascii="Arial" w:eastAsia="宋体" w:hAnsi="Arial"/>
                            <w:sz w:val="18"/>
                            <w:szCs w:val="20"/>
                            <w:lang w:val="sv-SE"/>
                          </w:rPr>
                          <w:t>within a 25us interval</w:t>
                        </w:r>
                        <w:r>
                          <w:rPr>
                            <w:rFonts w:ascii="Arial" w:eastAsia="宋体"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r>
                </w:tbl>
                <w:p w14:paraId="194C79CD" w14:textId="77777777" w:rsidR="007954AD" w:rsidRDefault="007954AD">
                  <w:pPr>
                    <w:spacing w:after="180"/>
                    <w:rPr>
                      <w:rFonts w:eastAsia="宋体"/>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31" w:name="_Toc51607145"/>
            <w:bookmarkStart w:id="32" w:name="_Toc28873130"/>
            <w:bookmarkStart w:id="33" w:name="_Toc35593588"/>
            <w:bookmarkStart w:id="34" w:name="_Toc57990355"/>
            <w:bookmarkStart w:id="35" w:name="_Toc44668996"/>
            <w:bookmarkStart w:id="36"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31"/>
            <w:bookmarkEnd w:id="32"/>
            <w:bookmarkEnd w:id="33"/>
            <w:bookmarkEnd w:id="34"/>
            <w:bookmarkEnd w:id="35"/>
            <w:bookmarkEnd w:id="36"/>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sensing slot duration, and if the additional sensing slot duration is idle, go to step 4; else, go to step 5;</w:t>
            </w:r>
          </w:p>
          <w:p w14:paraId="4619ED6B"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w:t>
            </w:r>
            <w:r>
              <w:rPr>
                <w:rFonts w:eastAsia="Times New Roman"/>
                <w:szCs w:val="20"/>
                <w:lang w:eastAsia="zh-CN"/>
              </w:rPr>
              <w:lastRenderedPageBreak/>
              <w:t xml:space="preserve">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idle</w:t>
            </w:r>
            <w:r>
              <w:rPr>
                <w:rFonts w:eastAsia="Times New Roman"/>
                <w:szCs w:val="20"/>
              </w:rPr>
              <w:t>;</w:t>
            </w:r>
          </w:p>
          <w:p w14:paraId="400D60B6"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go to step 4; else, go to step 5;</w:t>
            </w:r>
          </w:p>
          <w:p w14:paraId="5C43FDB5" w14:textId="77777777" w:rsidR="007954AD" w:rsidRDefault="00F17D01">
            <w:pPr>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37" w:author="Huawei" w:date="2021-04-06T18:31:00Z">
                  <w:rPr>
                    <w:rFonts w:ascii="Cambria Math" w:hAnsi="Cambria Math"/>
                    <w:lang w:val="en-US"/>
                  </w:rPr>
                  <m:t>=16</m:t>
                </w:del>
              </m:r>
              <m:r>
                <w:del w:id="38" w:author="Huawei" w:date="2021-04-06T18:31:00Z">
                  <w:rPr>
                    <w:rFonts w:ascii="Cambria Math" w:hAnsi="Cambria Math"/>
                  </w:rPr>
                  <m:t>us</m:t>
                </w:del>
              </m:r>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39" w:author="Huawei" w:date="2021-04-06T18:31: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宋体"/>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40" w:name="_Toc524694441"/>
            <w:bookmarkStart w:id="41" w:name="_Toc28873157"/>
            <w:bookmarkStart w:id="42" w:name="_Toc35593615"/>
            <w:bookmarkStart w:id="43" w:name="_Toc44669023"/>
            <w:bookmarkStart w:id="44" w:name="_Toc51607172"/>
            <w:bookmarkStart w:id="45"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40"/>
            <w:bookmarkEnd w:id="41"/>
            <w:bookmarkEnd w:id="42"/>
            <w:bookmarkEnd w:id="43"/>
            <w:bookmarkEnd w:id="44"/>
            <w:bookmarkEnd w:id="45"/>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slot duration, and if the additional slot duration is idle, go to step 4; else, go to step 5;</w:t>
            </w:r>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idle;</w:t>
            </w:r>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go to step 4; else, go to step 5;</w:t>
            </w:r>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6" w:author="Huawei" w:date="2021-04-06T18:38:00Z">
                  <w:rPr>
                    <w:rFonts w:ascii="Cambria Math" w:hAnsi="Cambria Math"/>
                    <w:lang w:val="en-US"/>
                  </w:rPr>
                  <m:t>=16</m:t>
                </w:del>
              </m:r>
              <m:r>
                <w:del w:id="47"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48" w:author="Huawei" w:date="2021-04-06T18:38: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宋体"/>
                  <w:szCs w:val="20"/>
                </w:rPr>
                <w:t>.</w:t>
              </w:r>
            </w:ins>
          </w:p>
          <w:p w14:paraId="45B3A391" w14:textId="77777777" w:rsidR="007954AD" w:rsidRDefault="00F17D01">
            <w:pPr>
              <w:rPr>
                <w:color w:val="FF0000"/>
                <w:sz w:val="22"/>
              </w:rPr>
            </w:pPr>
            <w:r>
              <w:rPr>
                <w:color w:val="FF0000"/>
                <w:sz w:val="22"/>
              </w:rPr>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lastRenderedPageBreak/>
              <w:t>==============================End of TP#5 for TS 37.213 v16.5.0===================</w:t>
            </w:r>
          </w:p>
        </w:tc>
      </w:tr>
    </w:tbl>
    <w:p w14:paraId="74F53B4C"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49" w:name="_Toc57990371"/>
            <w:bookmarkStart w:id="50" w:name="_Toc44669012"/>
            <w:bookmarkStart w:id="51" w:name="_Toc35593604"/>
            <w:bookmarkStart w:id="52" w:name="_Toc524694436"/>
            <w:bookmarkStart w:id="53" w:name="_Toc51607161"/>
            <w:bookmarkStart w:id="54"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49"/>
            <w:bookmarkEnd w:id="50"/>
            <w:bookmarkEnd w:id="51"/>
            <w:bookmarkEnd w:id="52"/>
            <w:bookmarkEnd w:id="53"/>
            <w:bookmarkEnd w:id="54"/>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transmit.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clause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55"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56" w:author="Huawei" w:date="2021-04-06T18:42:00Z">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宋体"/>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57" w:name="_Toc44669022"/>
            <w:bookmarkStart w:id="58" w:name="_Toc35593614"/>
            <w:bookmarkStart w:id="59" w:name="_Toc57990381"/>
            <w:bookmarkStart w:id="60" w:name="_Toc28873156"/>
            <w:bookmarkStart w:id="61"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57"/>
            <w:bookmarkEnd w:id="58"/>
            <w:bookmarkEnd w:id="59"/>
            <w:bookmarkEnd w:id="60"/>
            <w:bookmarkEnd w:id="61"/>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宋体" w:hAnsi="Cambria Math"/>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宋体"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62" w:author="Huawei" w:date="2021-04-06T18:56:00Z">
              <w:r>
                <w:rPr>
                  <w:rFonts w:eastAsia="Times New Roman"/>
                  <w:szCs w:val="20"/>
                </w:rPr>
                <w:t xml:space="preserve">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ins>
            <w:del w:id="63"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64" w:author="Huawei" w:date="2021-04-06T18:55:00Z">
              <w:r>
                <w:rPr>
                  <w:rFonts w:eastAsia="Times New Roman"/>
                  <w:szCs w:val="20"/>
                </w:rPr>
                <w:delText>Type 2 channel access procedure</w:delText>
              </w:r>
            </w:del>
            <w:ins w:id="65"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w:t>
            </w:r>
            <w:r>
              <w:rPr>
                <w:rFonts w:eastAsia="Times New Roman"/>
                <w:szCs w:val="20"/>
              </w:rPr>
              <w:lastRenderedPageBreak/>
              <w:t xml:space="preserve">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66" w:author="Huawei" w:date="2021-03-21T20:31:00Z">
              <w:r>
                <w:rPr>
                  <w:rFonts w:eastAsia="Times New Roman"/>
                  <w:szCs w:val="20"/>
                </w:rPr>
                <w:t xml:space="preserve">the </w:t>
              </w:r>
            </w:ins>
            <w:ins w:id="67" w:author="Huawei" w:date="2021-03-21T20:28:00Z">
              <w:r>
                <w:rPr>
                  <w:rFonts w:eastAsia="Times New Roman"/>
                  <w:szCs w:val="20"/>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宋体"/>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a UE is configured without intra-cell guard band(s) on a UL </w:t>
            </w:r>
            <w:proofErr w:type="spellStart"/>
            <w:r>
              <w:rPr>
                <w:rFonts w:eastAsia="Times New Roman"/>
                <w:szCs w:val="20"/>
              </w:rPr>
              <w:t>bandwidthpart</w:t>
            </w:r>
            <w:proofErr w:type="spellEnd"/>
            <w:r>
              <w:rPr>
                <w:rFonts w:eastAsia="Times New Roman"/>
                <w:szCs w:val="20"/>
              </w:rPr>
              <w:t xml:space="preserve"> as described in clause 7 in [8], the UE may not transmit on a channel  within the bandwidth of the carrier, if the UE fails to access any of the channels of the UL </w:t>
            </w:r>
            <w:proofErr w:type="spellStart"/>
            <w:r>
              <w:rPr>
                <w:rFonts w:eastAsia="Times New Roman"/>
                <w:szCs w:val="20"/>
              </w:rPr>
              <w:t>bandwidthpart</w:t>
            </w:r>
            <w:proofErr w:type="spellEnd"/>
            <w:r>
              <w:rPr>
                <w:rFonts w:eastAsia="Times New Roman"/>
                <w:szCs w:val="20"/>
              </w:rPr>
              <w: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2"/>
      </w:pPr>
      <w:r>
        <w:t>Issue CA-3: Correction to SR reporting due to consistent LBT failure recovery</w:t>
      </w:r>
    </w:p>
    <w:p w14:paraId="408D197A" w14:textId="77777777" w:rsidR="007954AD" w:rsidRDefault="00F17D01">
      <w:pPr>
        <w:rPr>
          <w:lang w:eastAsia="en-US"/>
        </w:rPr>
      </w:pPr>
      <w:r>
        <w:rPr>
          <w:lang w:eastAsia="en-US"/>
        </w:rPr>
        <w:t xml:space="preserve">One contribution [2],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af8"/>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68" w:name="_Hlk68681603"/>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69" w:name="_Toc46491353"/>
            <w:bookmarkStart w:id="70" w:name="_Toc52580817"/>
            <w:bookmarkStart w:id="71" w:name="_Toc60825656"/>
          </w:p>
          <w:p w14:paraId="128FB565" w14:textId="77777777" w:rsidR="007954AD" w:rsidRDefault="00F17D01">
            <w:pPr>
              <w:pStyle w:val="3"/>
              <w:numPr>
                <w:ilvl w:val="0"/>
                <w:numId w:val="0"/>
              </w:numPr>
              <w:outlineLvl w:val="2"/>
              <w:rPr>
                <w:rFonts w:eastAsia="Yu Mincho"/>
              </w:rPr>
            </w:pPr>
            <w:bookmarkStart w:id="72" w:name="_Toc29917305"/>
            <w:bookmarkStart w:id="73" w:name="_Toc29899568"/>
            <w:bookmarkStart w:id="74" w:name="_Toc36498179"/>
            <w:bookmarkStart w:id="75" w:name="_Toc29899150"/>
            <w:bookmarkStart w:id="76" w:name="_Toc26719416"/>
            <w:bookmarkStart w:id="77" w:name="_Toc12021479"/>
            <w:bookmarkStart w:id="78" w:name="_Toc20311591"/>
            <w:bookmarkStart w:id="79" w:name="_Toc45699205"/>
            <w:bookmarkStart w:id="80" w:name="_Toc29894851"/>
            <w:bookmarkStart w:id="81" w:name="_Toc66974083"/>
            <w:bookmarkEnd w:id="69"/>
            <w:bookmarkEnd w:id="70"/>
            <w:bookmarkEnd w:id="71"/>
            <w:r>
              <w:rPr>
                <w:rFonts w:eastAsia="Yu Mincho"/>
              </w:rPr>
              <w:t>9.2.4</w:t>
            </w:r>
            <w:r>
              <w:rPr>
                <w:rFonts w:eastAsia="Yu Mincho"/>
              </w:rPr>
              <w:tab/>
              <w:t>UE procedure for reporting SR</w:t>
            </w:r>
            <w:bookmarkEnd w:id="72"/>
            <w:bookmarkEnd w:id="73"/>
            <w:bookmarkEnd w:id="74"/>
            <w:bookmarkEnd w:id="75"/>
            <w:bookmarkEnd w:id="76"/>
            <w:bookmarkEnd w:id="77"/>
            <w:bookmarkEnd w:id="78"/>
            <w:bookmarkEnd w:id="79"/>
            <w:bookmarkEnd w:id="80"/>
            <w:bookmarkEnd w:id="81"/>
          </w:p>
          <w:p w14:paraId="2E2E8D5B" w14:textId="77777777" w:rsidR="007954AD" w:rsidRDefault="00F17D01">
            <w:pPr>
              <w:rPr>
                <w:rFonts w:eastAsia="Yu Mincho"/>
                <w:lang w:val="en-US"/>
              </w:rPr>
            </w:pPr>
            <w:r>
              <w:rPr>
                <w:lang w:eastAsia="zh-CN"/>
              </w:rPr>
              <w:t xml:space="preserve">A UE can be configured by </w:t>
            </w:r>
            <w:proofErr w:type="spellStart"/>
            <w:r>
              <w:rPr>
                <w:i/>
                <w:lang w:eastAsia="zh-CN"/>
              </w:rPr>
              <w:t>SchedulingRequestResourceConfig</w:t>
            </w:r>
            <w:proofErr w:type="spellEnd"/>
            <w:r>
              <w:rPr>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lang w:eastAsia="zh-CN"/>
              </w:rPr>
              <w:t xml:space="preserve"> a configuration for LRR in a PUCCH transmission using either PUCCH format 0 or PUCCH format 1. </w:t>
            </w:r>
            <w:ins w:id="82" w:author="vivo (Stephen)" w:date="2021-03-31T22:20:00Z">
              <w:r>
                <w:rPr>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lang w:eastAsia="zh-CN"/>
                </w:rPr>
                <w:t xml:space="preserve"> a configuration for </w:t>
              </w:r>
            </w:ins>
            <w:ins w:id="83" w:author="vivo (Stephen)" w:date="2021-03-31T22:21:00Z">
              <w:r>
                <w:t>consistent LBT failure recovery</w:t>
              </w:r>
            </w:ins>
            <w:ins w:id="84" w:author="vivo (Stephen)" w:date="2021-03-31T22:22:00Z">
              <w:r>
                <w:t>,</w:t>
              </w:r>
            </w:ins>
            <w:ins w:id="85" w:author="vivo (Stephen)" w:date="2021-03-31T22:21:00Z">
              <w:r>
                <w:rPr>
                  <w:lang w:eastAsia="zh-CN"/>
                </w:rPr>
                <w:t xml:space="preserve"> as</w:t>
              </w:r>
            </w:ins>
            <w:ins w:id="86" w:author="vivo (Stephen)" w:date="2021-03-31T22:22:00Z">
              <w:r>
                <w:rPr>
                  <w:rFonts w:eastAsia="Malgun Gothic"/>
                </w:rPr>
                <w:t xml:space="preserve"> described in [11, TS 38.321],</w:t>
              </w:r>
              <w:r>
                <w:rPr>
                  <w:lang w:eastAsia="zh-CN"/>
                </w:rPr>
                <w:t xml:space="preserve"> </w:t>
              </w:r>
            </w:ins>
            <w:ins w:id="87" w:author="vivo (Stephen)" w:date="2021-03-31T22:20:00Z">
              <w:r>
                <w:rPr>
                  <w:lang w:eastAsia="zh-CN"/>
                </w:rPr>
                <w:t>in a PUCCH transmission using either PUCCH format 0 or PUCCH format 1.</w:t>
              </w:r>
            </w:ins>
            <w:ins w:id="88" w:author="vivo (Stephen)" w:date="2021-03-31T22:35:00Z">
              <w:r>
                <w:rPr>
                  <w:lang w:eastAsia="zh-CN"/>
                </w:rPr>
                <w:t xml:space="preserve"> </w:t>
              </w:r>
            </w:ins>
            <w:r>
              <w:rPr>
                <w:lang w:eastAsia="zh-CN"/>
              </w:rPr>
              <w:t xml:space="preserve">The UE can be provided, by </w:t>
            </w:r>
            <w:proofErr w:type="spellStart"/>
            <w:r>
              <w:rPr>
                <w:i/>
                <w:iCs/>
                <w:lang w:val="en-US"/>
              </w:rPr>
              <w:t>phy-PriorityIndex</w:t>
            </w:r>
            <w:proofErr w:type="spellEnd"/>
            <w:r>
              <w:rPr>
                <w:lang w:eastAsia="zh-CN"/>
              </w:rPr>
              <w:t xml:space="preserve"> in </w:t>
            </w:r>
            <w:proofErr w:type="spellStart"/>
            <w:r>
              <w:rPr>
                <w:i/>
                <w:lang w:eastAsia="zh-CN"/>
              </w:rPr>
              <w:t>SchedulingRequestResourceConfig</w:t>
            </w:r>
            <w:proofErr w:type="spellEnd"/>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proofErr w:type="spellStart"/>
            <w:r>
              <w:rPr>
                <w:i/>
                <w:lang w:eastAsia="zh-CN"/>
              </w:rPr>
              <w:t>SchedulingRequestResourceId</w:t>
            </w:r>
            <w:proofErr w:type="spellEnd"/>
            <w:r>
              <w:rPr>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lang w:eastAsia="zh-CN"/>
              </w:rPr>
              <w:t xml:space="preserve"> </w:t>
            </w:r>
            <w:ins w:id="89" w:author="vivo (Stephen)" w:date="2021-03-31T22:23:00Z">
              <w:r>
                <w:rPr>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14:paraId="1133E77D" w14:textId="77777777" w:rsidR="007954AD" w:rsidRDefault="00F17D01">
            <w:r>
              <w:t xml:space="preserve">If </w:t>
            </w:r>
            <w:r>
              <w:rPr>
                <w:noProof/>
                <w:position w:val="-10"/>
                <w:lang w:val="en-US"/>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w:t>
            </w:r>
            <w:r>
              <w:lastRenderedPageBreak/>
              <w:t xml:space="preserve">symbol with index </w:t>
            </w:r>
            <w:r>
              <w:rPr>
                <w:noProof/>
                <w:position w:val="-6"/>
                <w:lang w:val="en-US"/>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bookmarkEnd w:id="68"/>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4"/>
              <w:outlineLvl w:val="3"/>
              <w:rPr>
                <w:rFonts w:ascii="Arial" w:eastAsia="Yu Mincho" w:hAnsi="Arial"/>
              </w:rPr>
            </w:pPr>
            <w:bookmarkStart w:id="90" w:name="_Ref500749986"/>
            <w:bookmarkStart w:id="91" w:name="_Toc45699208"/>
            <w:bookmarkStart w:id="92" w:name="_Toc66974086"/>
            <w:bookmarkStart w:id="93" w:name="_Toc36498181"/>
            <w:bookmarkStart w:id="94" w:name="_Toc29899570"/>
            <w:bookmarkStart w:id="95" w:name="_Toc29894853"/>
            <w:bookmarkStart w:id="96" w:name="_Toc20311593"/>
            <w:bookmarkStart w:id="97" w:name="_Toc29899152"/>
            <w:bookmarkStart w:id="98" w:name="_Toc12021481"/>
            <w:bookmarkStart w:id="99" w:name="_Toc26719418"/>
            <w:bookmarkStart w:id="100" w:name="_Toc29917307"/>
            <w:r>
              <w:rPr>
                <w:rFonts w:eastAsia="Yu Mincho"/>
              </w:rPr>
              <w:t>9.2.5.1</w:t>
            </w:r>
            <w:r>
              <w:rPr>
                <w:rFonts w:eastAsia="Yu Mincho"/>
              </w:rPr>
              <w:tab/>
              <w:t>UE procedure for multiplexing HARQ-ACK or CSI and SR</w:t>
            </w:r>
            <w:bookmarkEnd w:id="90"/>
            <w:r>
              <w:rPr>
                <w:rFonts w:eastAsia="Yu Mincho"/>
              </w:rPr>
              <w:t xml:space="preserve"> in a PUCCH</w:t>
            </w:r>
            <w:bookmarkEnd w:id="91"/>
            <w:bookmarkEnd w:id="92"/>
            <w:bookmarkEnd w:id="93"/>
            <w:bookmarkEnd w:id="94"/>
            <w:bookmarkEnd w:id="95"/>
            <w:bookmarkEnd w:id="96"/>
            <w:bookmarkEnd w:id="97"/>
            <w:bookmarkEnd w:id="98"/>
            <w:bookmarkEnd w:id="99"/>
            <w:bookmarkEnd w:id="100"/>
          </w:p>
          <w:p w14:paraId="1683631C" w14:textId="77777777"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01" w:author="vivo (Stephen)" w:date="2021-03-31T22:26:00Z">
              <w:r>
                <w:delText xml:space="preserve"> and</w:delText>
              </w:r>
            </w:del>
            <w:ins w:id="102"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03"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04" w:author="vivo (Stephen)" w:date="2021-03-31T22:27:00Z">
              <w:r>
                <w:rPr>
                  <w:i/>
                  <w:color w:val="000000"/>
                </w:rPr>
                <w:t>LBT</w:t>
              </w:r>
            </w:ins>
            <w:ins w:id="105"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w:t>
            </w:r>
            <w:r>
              <w:rPr>
                <w:lang w:val="en-US"/>
              </w:rPr>
              <w:lastRenderedPageBreak/>
              <w:t xml:space="preserve">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06" w:author="vivo (Stephen)" w:date="2021-03-31T22:37:00Z">
              <w:r>
                <w:delText xml:space="preserve"> </w:delText>
              </w:r>
            </w:del>
            <w:ins w:id="107" w:author="vivo (Stephen)" w:date="2021-03-31T22:30:00Z">
              <w:r>
                <w:t>,</w:t>
              </w:r>
            </w:ins>
            <w:del w:id="108"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09"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宋体"/>
                <w:position w:val="-10"/>
                <w:szCs w:val="20"/>
              </w:rPr>
              <w:object w:dxaOrig="1170" w:dyaOrig="290" w14:anchorId="30691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4.5pt" o:ole="">
                  <v:imagedata r:id="rId38" o:title=""/>
                </v:shape>
                <o:OLEObject Type="Embed" ProgID="Equation.3" ShapeID="_x0000_i1025" DrawAspect="Content" ObjectID="_1679835827" r:id="rId39"/>
              </w:object>
            </w:r>
            <w:r>
              <w:t xml:space="preserve"> bits indicates the positive LRR. An all-zero value for the </w:t>
            </w:r>
            <w:r>
              <w:rPr>
                <w:noProof/>
                <w:position w:val="-10"/>
                <w:lang w:val="en-US"/>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10" w:author="vivo (Stephen)" w:date="2021-03-31T22:29:00Z">
              <w:r>
                <w:delText xml:space="preserve"> </w:delText>
              </w:r>
            </w:del>
            <w:ins w:id="111" w:author="vivo (Stephen)" w:date="2021-03-31T22:28:00Z">
              <w:r>
                <w:t>,</w:t>
              </w:r>
            </w:ins>
            <w:del w:id="112"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13"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宋体"/>
                <w:position w:val="-10"/>
                <w:szCs w:val="20"/>
              </w:rPr>
              <w:object w:dxaOrig="1170" w:dyaOrig="290" w14:anchorId="6061AE22">
                <v:shape id="_x0000_i1026" type="#_x0000_t75" style="width:58.5pt;height:14.5pt" o:ole="">
                  <v:imagedata r:id="rId38" o:title=""/>
                </v:shape>
                <o:OLEObject Type="Embed" ProgID="Equation.3" ShapeID="_x0000_i1026" DrawAspect="Content" ObjectID="_1679835828" r:id="rId43"/>
              </w:object>
            </w:r>
            <w:r>
              <w:t xml:space="preserve"> bits indicates the positive LRR. An all-zero value for the </w:t>
            </w:r>
            <w:r>
              <w:rPr>
                <w:noProof/>
                <w:position w:val="-10"/>
                <w:lang w:val="en-US"/>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lang w:val="en-US"/>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宋体" w:hAnsi="Times New Roman" w:cs="Times New Roman"/>
                <w:lang w:val="en-GB" w:eastAsia="zh-CN"/>
              </w:rPr>
              <w:t>E</w:t>
            </w:r>
            <w:r>
              <w:rPr>
                <w:rFonts w:ascii="Times New Roman" w:eastAsia="宋体"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Companies are asked provide their views on the two TPs in [2] with the Table below.</w:t>
      </w:r>
    </w:p>
    <w:p w14:paraId="5D26AFF3" w14:textId="77777777" w:rsidR="007954AD" w:rsidRDefault="007954AD">
      <w:pPr>
        <w:rPr>
          <w:lang w:eastAsia="en-US"/>
        </w:rPr>
      </w:pPr>
    </w:p>
    <w:tbl>
      <w:tblPr>
        <w:tblStyle w:val="af8"/>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宋体"/>
                <w:szCs w:val="20"/>
                <w:lang w:eastAsia="zh-CN"/>
              </w:rPr>
            </w:pPr>
            <w:r>
              <w:rPr>
                <w:rFonts w:eastAsia="宋体"/>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宋体"/>
                <w:szCs w:val="20"/>
                <w:lang w:eastAsia="zh-CN"/>
              </w:rPr>
            </w:pPr>
            <w:r>
              <w:rPr>
                <w:rFonts w:eastAsia="宋体"/>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宋体"/>
                <w:szCs w:val="20"/>
                <w:lang w:eastAsia="zh-CN"/>
              </w:rPr>
            </w:pPr>
            <w:r>
              <w:rPr>
                <w:rFonts w:eastAsia="宋体"/>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宋体"/>
                <w:szCs w:val="20"/>
                <w:lang w:eastAsia="zh-CN"/>
              </w:rPr>
            </w:pPr>
            <w:r>
              <w:rPr>
                <w:rFonts w:eastAsia="宋体"/>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宋体"/>
                <w:szCs w:val="20"/>
                <w:lang w:eastAsia="zh-CN"/>
              </w:rPr>
            </w:pPr>
            <w:r>
              <w:rPr>
                <w:rFonts w:eastAsia="宋体"/>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宋体"/>
                <w:szCs w:val="20"/>
                <w:lang w:eastAsia="zh-CN"/>
              </w:rPr>
            </w:pPr>
            <w:r>
              <w:rPr>
                <w:rFonts w:eastAsia="宋体"/>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宋体"/>
                <w:szCs w:val="20"/>
                <w:lang w:eastAsia="zh-CN"/>
              </w:rPr>
            </w:pPr>
            <w:r>
              <w:rPr>
                <w:rFonts w:eastAsia="宋体"/>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宋体"/>
                <w:szCs w:val="20"/>
                <w:lang w:eastAsia="zh-CN"/>
              </w:rPr>
            </w:pPr>
            <w:r>
              <w:rPr>
                <w:rFonts w:eastAsia="宋体"/>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宋体"/>
                <w:szCs w:val="20"/>
                <w:lang w:eastAsia="zh-CN"/>
              </w:rPr>
            </w:pPr>
            <w:r>
              <w:rPr>
                <w:rFonts w:eastAsia="宋体"/>
                <w:szCs w:val="20"/>
                <w:lang w:eastAsia="zh-CN"/>
              </w:rPr>
              <w:t>We would like to thank Intel for supporting the TPs related to Issue CA-2.</w:t>
            </w:r>
          </w:p>
          <w:p w14:paraId="7F0C85CE" w14:textId="77777777" w:rsidR="007954AD" w:rsidRDefault="00F17D01">
            <w:pPr>
              <w:spacing w:after="0"/>
              <w:rPr>
                <w:rFonts w:eastAsia="宋体"/>
                <w:szCs w:val="20"/>
                <w:lang w:eastAsia="zh-CN"/>
              </w:rPr>
            </w:pPr>
            <w:r>
              <w:rPr>
                <w:rFonts w:eastAsia="宋体"/>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Sanechips</w:t>
            </w:r>
            <w:proofErr w:type="spellEnd"/>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宋体"/>
                <w:szCs w:val="20"/>
                <w:lang w:val="en-US" w:eastAsia="zh-CN"/>
              </w:rPr>
            </w:pPr>
            <w:r>
              <w:rPr>
                <w:rFonts w:eastAsia="宋体"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szCs w:val="20"/>
                <w:lang w:val="en-US"/>
              </w:rPr>
            </w:pPr>
            <w:r>
              <w:rPr>
                <w:rFonts w:eastAsia="宋体"/>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szCs w:val="20"/>
                <w:lang w:val="en-US"/>
              </w:rPr>
            </w:pPr>
            <w:r w:rsidRPr="00F21EA7">
              <w:rPr>
                <w:rFonts w:eastAsia="宋体" w:hint="eastAsia"/>
                <w:szCs w:val="20"/>
                <w:lang w:val="en-US" w:eastAsia="zh-CN"/>
              </w:rPr>
              <w:t xml:space="preserve">We are fine with the </w:t>
            </w:r>
            <w:r>
              <w:rPr>
                <w:rFonts w:eastAsia="宋体"/>
                <w:szCs w:val="20"/>
                <w:lang w:val="en-US" w:eastAsia="zh-CN"/>
              </w:rPr>
              <w:t xml:space="preserve">two </w:t>
            </w:r>
            <w:r w:rsidRPr="00F21EA7">
              <w:rPr>
                <w:rFonts w:eastAsia="宋体" w:hint="eastAsia"/>
                <w:szCs w:val="20"/>
                <w:lang w:val="en-US" w:eastAsia="zh-CN"/>
              </w:rPr>
              <w:t>TP</w:t>
            </w:r>
            <w:r>
              <w:rPr>
                <w:rFonts w:eastAsia="宋体"/>
                <w:szCs w:val="20"/>
                <w:lang w:val="en-US" w:eastAsia="zh-CN"/>
              </w:rPr>
              <w:t>s</w:t>
            </w:r>
            <w:r w:rsidRPr="00F21EA7">
              <w:rPr>
                <w:rFonts w:eastAsia="宋体" w:hint="eastAsia"/>
                <w:szCs w:val="20"/>
                <w:lang w:val="en-US" w:eastAsia="zh-CN"/>
              </w:rPr>
              <w:t>.</w:t>
            </w:r>
          </w:p>
        </w:tc>
      </w:tr>
      <w:tr w:rsidR="00BD7E62" w14:paraId="56293673" w14:textId="77777777">
        <w:tc>
          <w:tcPr>
            <w:tcW w:w="2405" w:type="dxa"/>
            <w:tcBorders>
              <w:top w:val="single" w:sz="4" w:space="0" w:color="auto"/>
              <w:left w:val="single" w:sz="4" w:space="0" w:color="auto"/>
              <w:bottom w:val="single" w:sz="4" w:space="0" w:color="auto"/>
              <w:right w:val="single" w:sz="4" w:space="0" w:color="auto"/>
            </w:tcBorders>
          </w:tcPr>
          <w:p w14:paraId="292811AF" w14:textId="2E93E2F0" w:rsidR="00BD7E62" w:rsidRDefault="00BD7E62" w:rsidP="003717A0">
            <w:pPr>
              <w:spacing w:after="0"/>
              <w:rPr>
                <w:rFonts w:eastAsia="宋体"/>
                <w:szCs w:val="20"/>
                <w:lang w:val="en-US" w:eastAsia="zh-CN"/>
              </w:rPr>
            </w:pPr>
            <w:r>
              <w:rPr>
                <w:rFonts w:eastAsia="宋体"/>
                <w:szCs w:val="20"/>
                <w:lang w:val="en-US" w:eastAsia="zh-CN"/>
              </w:rPr>
              <w:t>Vivo</w:t>
            </w:r>
          </w:p>
        </w:tc>
        <w:tc>
          <w:tcPr>
            <w:tcW w:w="6905" w:type="dxa"/>
            <w:tcBorders>
              <w:top w:val="single" w:sz="4" w:space="0" w:color="auto"/>
              <w:left w:val="single" w:sz="4" w:space="0" w:color="auto"/>
              <w:bottom w:val="single" w:sz="4" w:space="0" w:color="auto"/>
              <w:right w:val="single" w:sz="4" w:space="0" w:color="auto"/>
            </w:tcBorders>
          </w:tcPr>
          <w:p w14:paraId="013B2C90" w14:textId="518577AD" w:rsidR="00BD7E62" w:rsidRPr="00F21EA7" w:rsidRDefault="00BD7E62" w:rsidP="003717A0">
            <w:pPr>
              <w:spacing w:after="0"/>
              <w:rPr>
                <w:rFonts w:eastAsia="宋体" w:hint="eastAsia"/>
                <w:szCs w:val="20"/>
                <w:lang w:val="en-US" w:eastAsia="zh-CN"/>
              </w:rPr>
            </w:pPr>
            <w:r>
              <w:rPr>
                <w:rFonts w:eastAsia="宋体" w:hint="eastAsia"/>
                <w:szCs w:val="20"/>
                <w:lang w:val="en-US" w:eastAsia="zh-CN"/>
              </w:rPr>
              <w:t>W</w:t>
            </w:r>
            <w:r>
              <w:rPr>
                <w:rFonts w:eastAsia="宋体"/>
                <w:szCs w:val="20"/>
                <w:lang w:val="en-US" w:eastAsia="zh-CN"/>
              </w:rPr>
              <w:t xml:space="preserve">e support the TP as </w:t>
            </w:r>
            <w:r w:rsidR="00651942">
              <w:rPr>
                <w:rFonts w:eastAsia="宋体"/>
                <w:szCs w:val="20"/>
                <w:lang w:val="en-US" w:eastAsia="zh-CN"/>
              </w:rPr>
              <w:t>proposed company</w:t>
            </w:r>
          </w:p>
        </w:tc>
      </w:tr>
    </w:tbl>
    <w:p w14:paraId="7305E3F3" w14:textId="77777777" w:rsidR="007954AD" w:rsidRDefault="007954AD">
      <w:pPr>
        <w:rPr>
          <w:lang w:eastAsia="en-US"/>
        </w:rPr>
      </w:pPr>
    </w:p>
    <w:p w14:paraId="4406DEDB" w14:textId="77777777" w:rsidR="007954AD" w:rsidRDefault="00F17D01">
      <w:pPr>
        <w:pStyle w:val="2"/>
      </w:pPr>
      <w:r>
        <w:t>Issue CA-4: Clarifications on applicability of Type 2A DL Channel Access</w:t>
      </w:r>
    </w:p>
    <w:p w14:paraId="56A061E1" w14:textId="77777777" w:rsidR="007954AD" w:rsidRDefault="00F17D01">
      <w:r>
        <w:rPr>
          <w:lang w:eastAsia="en-US"/>
        </w:rPr>
        <w:t>Following the discussion at RAN1#104-e (Issue 2.4</w:t>
      </w:r>
      <w:proofErr w:type="gramStart"/>
      <w:r>
        <w:rPr>
          <w:lang w:eastAsia="en-US"/>
        </w:rPr>
        <w:t>) ,</w:t>
      </w:r>
      <w:proofErr w:type="gramEnd"/>
      <w:r>
        <w:rPr>
          <w:lang w:eastAsia="en-US"/>
        </w:rPr>
        <w:t xml:space="preserve">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Companies are asked provide their views on the TPs in [3] and [5] with the Table below. Specifically:</w:t>
      </w:r>
    </w:p>
    <w:p w14:paraId="7BEFE226" w14:textId="77777777" w:rsidR="007954AD" w:rsidRDefault="00F17D01">
      <w:pPr>
        <w:pStyle w:val="a"/>
        <w:numPr>
          <w:ilvl w:val="0"/>
          <w:numId w:val="12"/>
        </w:numPr>
        <w:rPr>
          <w:lang w:eastAsia="en-US"/>
        </w:rPr>
      </w:pPr>
      <w:r>
        <w:rPr>
          <w:lang w:eastAsia="en-US"/>
        </w:rPr>
        <w:t xml:space="preserve">is a spec change needed and if </w:t>
      </w:r>
      <w:proofErr w:type="gramStart"/>
      <w:r>
        <w:rPr>
          <w:lang w:eastAsia="en-US"/>
        </w:rPr>
        <w:t>so,</w:t>
      </w:r>
      <w:proofErr w:type="gramEnd"/>
    </w:p>
    <w:p w14:paraId="3CC3B7ED" w14:textId="77777777" w:rsidR="007954AD" w:rsidRDefault="00F17D01">
      <w:pPr>
        <w:pStyle w:val="a"/>
        <w:numPr>
          <w:ilvl w:val="0"/>
          <w:numId w:val="12"/>
        </w:numPr>
        <w:rPr>
          <w:lang w:eastAsia="en-US"/>
        </w:rPr>
      </w:pPr>
      <w:r>
        <w:rPr>
          <w:lang w:eastAsia="en-US"/>
        </w:rPr>
        <w:t xml:space="preserve">which </w:t>
      </w:r>
      <w:proofErr w:type="spellStart"/>
      <w:r>
        <w:rPr>
          <w:lang w:eastAsia="en-US"/>
        </w:rPr>
        <w:t>on</w:t>
      </w:r>
      <w:proofErr w:type="spellEnd"/>
      <w:r>
        <w:rPr>
          <w:lang w:eastAsia="en-US"/>
        </w:rPr>
        <w:t xml:space="preserve">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a"/>
        <w:numPr>
          <w:ilvl w:val="0"/>
          <w:numId w:val="12"/>
        </w:numPr>
        <w:rPr>
          <w:lang w:eastAsia="en-US"/>
        </w:rPr>
      </w:pPr>
      <w:r>
        <w:rPr>
          <w:lang w:eastAsia="en-US"/>
        </w:rPr>
        <w:t>Option 1:</w:t>
      </w:r>
    </w:p>
    <w:p w14:paraId="476D83A4" w14:textId="77777777" w:rsidR="007954AD" w:rsidRDefault="00F17D01">
      <w:pPr>
        <w:pStyle w:val="a"/>
        <w:numPr>
          <w:ilvl w:val="1"/>
          <w:numId w:val="12"/>
        </w:numPr>
        <w:rPr>
          <w:lang w:eastAsia="en-US"/>
        </w:rPr>
      </w:pPr>
      <w:r>
        <w:rPr>
          <w:lang w:eastAsia="en-US"/>
        </w:rPr>
        <w:t xml:space="preserve">Remove the list for Type 1 in clause 4.1.1. </w:t>
      </w:r>
    </w:p>
    <w:p w14:paraId="4F60174C" w14:textId="77777777" w:rsidR="007954AD" w:rsidRDefault="00F17D01">
      <w:pPr>
        <w:pStyle w:val="a"/>
        <w:numPr>
          <w:ilvl w:val="1"/>
          <w:numId w:val="12"/>
        </w:numPr>
        <w:rPr>
          <w:lang w:eastAsia="en-US"/>
        </w:rPr>
      </w:pPr>
      <w:r>
        <w:rPr>
          <w:lang w:eastAsia="en-US"/>
        </w:rPr>
        <w:t>Add a statement in 4.1.1 to make it applicable to all transmissions.</w:t>
      </w:r>
    </w:p>
    <w:p w14:paraId="346AADF4"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a"/>
        <w:numPr>
          <w:ilvl w:val="0"/>
          <w:numId w:val="12"/>
        </w:numPr>
        <w:rPr>
          <w:lang w:eastAsia="en-US"/>
        </w:rPr>
      </w:pPr>
      <w:r>
        <w:rPr>
          <w:lang w:eastAsia="en-US"/>
        </w:rPr>
        <w:t>Option 2:</w:t>
      </w:r>
    </w:p>
    <w:p w14:paraId="4DD0DCC9" w14:textId="77777777" w:rsidR="007954AD" w:rsidRDefault="00F17D01">
      <w:pPr>
        <w:pStyle w:val="a"/>
        <w:numPr>
          <w:ilvl w:val="1"/>
          <w:numId w:val="12"/>
        </w:numPr>
        <w:rPr>
          <w:lang w:eastAsia="en-US"/>
        </w:rPr>
      </w:pPr>
      <w:r>
        <w:rPr>
          <w:lang w:eastAsia="en-US"/>
        </w:rPr>
        <w:t xml:space="preserve">Add a statement in 4.1.1 to make it applicable to all transmissions by adding “at least” before the list. </w:t>
      </w:r>
    </w:p>
    <w:p w14:paraId="60B2F80A"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a"/>
        <w:numPr>
          <w:ilvl w:val="0"/>
          <w:numId w:val="12"/>
        </w:numPr>
        <w:rPr>
          <w:lang w:eastAsia="en-US"/>
        </w:rPr>
      </w:pPr>
      <w:r>
        <w:rPr>
          <w:lang w:eastAsia="en-US"/>
        </w:rPr>
        <w:t xml:space="preserve">Option 3: </w:t>
      </w:r>
    </w:p>
    <w:p w14:paraId="27CE8D9F" w14:textId="77777777" w:rsidR="007954AD" w:rsidRDefault="00F17D01">
      <w:pPr>
        <w:pStyle w:val="a"/>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a"/>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w:t>
      </w:r>
      <w:r>
        <w:rPr>
          <w:lang w:eastAsia="en-US"/>
        </w:rPr>
        <w:lastRenderedPageBreak/>
        <w:t xml:space="preserve">LTE-LAA and NR-U applicable to Type 1, while emphasizing that Type 2 is applicable for only a limited set of transmission(s). </w:t>
      </w:r>
    </w:p>
    <w:p w14:paraId="12D64CBA" w14:textId="77777777" w:rsidR="007954AD" w:rsidRDefault="00F17D01">
      <w:pPr>
        <w:pStyle w:val="a"/>
        <w:numPr>
          <w:ilvl w:val="0"/>
          <w:numId w:val="12"/>
        </w:numPr>
        <w:rPr>
          <w:lang w:eastAsia="en-US"/>
        </w:rPr>
      </w:pPr>
      <w:r>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a"/>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a"/>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af8"/>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宋体"/>
                <w:snapToGrid/>
                <w:kern w:val="0"/>
                <w:szCs w:val="20"/>
                <w:lang w:val="en-US" w:eastAsia="zh-CN"/>
              </w:rPr>
            </w:pPr>
            <w:r>
              <w:rPr>
                <w:rFonts w:eastAsia="宋体"/>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宋体"/>
                <w:szCs w:val="20"/>
                <w:lang w:eastAsia="zh-CN"/>
              </w:rPr>
            </w:pPr>
            <w:r>
              <w:rPr>
                <w:rFonts w:eastAsia="宋体"/>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宋体"/>
                <w:szCs w:val="20"/>
                <w:lang w:eastAsia="zh-CN"/>
              </w:rPr>
            </w:pPr>
            <w:r>
              <w:rPr>
                <w:rFonts w:eastAsia="宋体"/>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宋体"/>
                <w:szCs w:val="20"/>
                <w:lang w:eastAsia="zh-CN"/>
              </w:rPr>
            </w:pPr>
            <w:r>
              <w:rPr>
                <w:rFonts w:eastAsia="宋体"/>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宋体"/>
                <w:szCs w:val="20"/>
                <w:lang w:eastAsia="zh-CN"/>
              </w:rPr>
            </w:pPr>
            <w:r>
              <w:rPr>
                <w:rFonts w:eastAsia="宋体"/>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宋体"/>
                <w:szCs w:val="20"/>
                <w:lang w:eastAsia="zh-CN"/>
              </w:rPr>
            </w:pPr>
            <w:r>
              <w:rPr>
                <w:rFonts w:eastAsia="宋体"/>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宋体"/>
                <w:szCs w:val="20"/>
                <w:lang w:eastAsia="zh-CN"/>
              </w:rPr>
            </w:pPr>
          </w:p>
          <w:p w14:paraId="2CF1B332" w14:textId="77777777" w:rsidR="007954AD" w:rsidRDefault="00F17D01">
            <w:pPr>
              <w:wordWrap/>
              <w:spacing w:after="0"/>
              <w:rPr>
                <w:rFonts w:eastAsia="宋体"/>
                <w:szCs w:val="20"/>
                <w:lang w:eastAsia="zh-CN"/>
              </w:rPr>
            </w:pPr>
            <w:r>
              <w:rPr>
                <w:rFonts w:eastAsia="宋体"/>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宋体"/>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宋体"/>
                <w:szCs w:val="20"/>
                <w:lang w:eastAsia="zh-CN"/>
              </w:rPr>
            </w:pPr>
            <w:r>
              <w:rPr>
                <w:rFonts w:eastAsia="宋体"/>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宋体"/>
                <w:szCs w:val="20"/>
                <w:lang w:eastAsia="zh-CN"/>
              </w:rPr>
            </w:pPr>
            <w:r>
              <w:rPr>
                <w:rFonts w:eastAsia="宋体"/>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宋体"/>
                <w:szCs w:val="20"/>
                <w:lang w:eastAsia="zh-CN"/>
              </w:rPr>
            </w:pPr>
            <w:r>
              <w:rPr>
                <w:rFonts w:eastAsia="宋体"/>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宋体"/>
                <w:szCs w:val="20"/>
                <w:lang w:eastAsia="zh-CN"/>
              </w:rPr>
            </w:pPr>
            <w:r>
              <w:rPr>
                <w:rFonts w:eastAsia="宋体"/>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宋体"/>
                <w:szCs w:val="20"/>
                <w:lang w:eastAsia="zh-CN"/>
              </w:rPr>
            </w:pPr>
            <w:r>
              <w:rPr>
                <w:rFonts w:eastAsia="宋体"/>
                <w:szCs w:val="20"/>
                <w:lang w:eastAsia="zh-CN"/>
              </w:rPr>
              <w:t xml:space="preserve">We prefer the approach of TP2 in [5] using “at least” </w:t>
            </w:r>
          </w:p>
          <w:p w14:paraId="30E4B49B" w14:textId="77777777" w:rsidR="007954AD" w:rsidRDefault="00F17D01">
            <w:pPr>
              <w:spacing w:after="0"/>
              <w:rPr>
                <w:rFonts w:eastAsia="宋体"/>
                <w:szCs w:val="20"/>
                <w:lang w:eastAsia="zh-CN"/>
              </w:rPr>
            </w:pPr>
            <w:r>
              <w:rPr>
                <w:rFonts w:eastAsia="宋体"/>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宋体"/>
                <w:color w:val="7030A0"/>
                <w:szCs w:val="20"/>
                <w:lang w:eastAsia="zh-CN"/>
              </w:rPr>
            </w:pPr>
            <w:r>
              <w:rPr>
                <w:rFonts w:eastAsia="宋体"/>
                <w:szCs w:val="20"/>
                <w:lang w:eastAsia="zh-CN"/>
              </w:rPr>
              <w:t xml:space="preserve">We also acknowledge the motivation not to impact LTE LAA bullet. </w:t>
            </w:r>
            <w:r>
              <w:rPr>
                <w:rFonts w:eastAsia="宋体"/>
                <w:color w:val="7030A0"/>
                <w:szCs w:val="20"/>
                <w:lang w:eastAsia="zh-CN"/>
              </w:rPr>
              <w:t>So, a slight variation of TP2 could move down the “at least” to be specific to NR-U as follows:</w:t>
            </w:r>
          </w:p>
          <w:p w14:paraId="5B0B366E" w14:textId="77777777" w:rsidR="007954AD" w:rsidRDefault="007954AD">
            <w:pPr>
              <w:spacing w:after="0"/>
              <w:rPr>
                <w:rFonts w:eastAsia="宋体"/>
                <w:szCs w:val="20"/>
                <w:lang w:eastAsia="zh-CN"/>
              </w:rPr>
            </w:pPr>
          </w:p>
          <w:p w14:paraId="58341272"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t>4.1.1</w:t>
            </w:r>
            <w:r>
              <w:rPr>
                <w:rFonts w:ascii="Arial" w:eastAsia="Yu Mincho"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Transmission(s) initiated by an eNB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14:paraId="1A361A87" w14:textId="77777777"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lastRenderedPageBreak/>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宋体"/>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宋体"/>
                <w:szCs w:val="20"/>
                <w:lang w:eastAsia="zh-CN"/>
              </w:rPr>
              <w:t>“alternative TP for option 1” in [3], or TP1’ in [5] which are exactly the same.</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Sanechips</w:t>
            </w:r>
            <w:proofErr w:type="spellEnd"/>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等线"/>
                <w:snapToGrid/>
                <w:kern w:val="0"/>
                <w:szCs w:val="20"/>
                <w:lang w:val="en-US" w:eastAsia="zh-CN"/>
              </w:rPr>
            </w:pPr>
            <w:r>
              <w:rPr>
                <w:rFonts w:eastAsia="等线" w:hint="eastAsia"/>
                <w:snapToGrid/>
                <w:kern w:val="0"/>
                <w:szCs w:val="20"/>
                <w:lang w:val="en-US" w:eastAsia="zh-CN"/>
              </w:rPr>
              <w:t xml:space="preserve">We tend to support TP2, by using </w:t>
            </w:r>
            <w:r>
              <w:rPr>
                <w:rFonts w:eastAsia="等线"/>
                <w:snapToGrid/>
                <w:kern w:val="0"/>
                <w:szCs w:val="20"/>
                <w:lang w:val="en-US" w:eastAsia="zh-CN"/>
              </w:rPr>
              <w:t>“</w:t>
            </w:r>
            <w:r>
              <w:rPr>
                <w:rFonts w:eastAsia="等线" w:hint="eastAsia"/>
                <w:snapToGrid/>
                <w:kern w:val="0"/>
                <w:szCs w:val="20"/>
                <w:lang w:val="en-US" w:eastAsia="zh-CN"/>
              </w:rPr>
              <w:t>at least</w:t>
            </w:r>
            <w:r>
              <w:rPr>
                <w:rFonts w:eastAsia="等线"/>
                <w:snapToGrid/>
                <w:kern w:val="0"/>
                <w:szCs w:val="20"/>
                <w:lang w:val="en-US" w:eastAsia="zh-CN"/>
              </w:rPr>
              <w:t>”</w:t>
            </w:r>
            <w:r>
              <w:rPr>
                <w:rFonts w:eastAsia="等线"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宋体"/>
                <w:szCs w:val="20"/>
                <w:lang w:eastAsia="zh-CN"/>
              </w:rPr>
              <w:t xml:space="preserve">We share the same view with Samsung, so we are okay with </w:t>
            </w:r>
            <w:r w:rsidR="00CA1B24">
              <w:rPr>
                <w:rFonts w:eastAsia="宋体"/>
                <w:szCs w:val="20"/>
                <w:lang w:eastAsia="zh-CN"/>
              </w:rPr>
              <w:t>“alternative TP for option 1” in [3], or TP1’ in [5], which are the same</w:t>
            </w:r>
            <w:r>
              <w:rPr>
                <w:rFonts w:eastAsia="宋体"/>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szCs w:val="20"/>
                <w:lang w:val="en-US"/>
              </w:rPr>
            </w:pPr>
            <w:r>
              <w:rPr>
                <w:rFonts w:eastAsia="宋体"/>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宋体"/>
                <w:szCs w:val="20"/>
                <w:lang w:eastAsia="zh-CN"/>
              </w:rPr>
            </w:pPr>
            <w:r>
              <w:rPr>
                <w:rFonts w:eastAsia="宋体"/>
                <w:szCs w:val="20"/>
                <w:lang w:val="en-US" w:eastAsia="zh-CN"/>
              </w:rPr>
              <w:t xml:space="preserve">TP1 is slightly preferred. </w:t>
            </w:r>
          </w:p>
        </w:tc>
      </w:tr>
      <w:tr w:rsidR="00651942" w14:paraId="5F3B57F9" w14:textId="77777777">
        <w:tc>
          <w:tcPr>
            <w:tcW w:w="2263" w:type="dxa"/>
            <w:tcBorders>
              <w:top w:val="single" w:sz="4" w:space="0" w:color="auto"/>
              <w:left w:val="single" w:sz="4" w:space="0" w:color="auto"/>
              <w:bottom w:val="single" w:sz="4" w:space="0" w:color="auto"/>
              <w:right w:val="single" w:sz="4" w:space="0" w:color="auto"/>
            </w:tcBorders>
          </w:tcPr>
          <w:p w14:paraId="087716B5" w14:textId="3607F8E8" w:rsidR="00651942" w:rsidRDefault="00651942" w:rsidP="003717A0">
            <w:pPr>
              <w:spacing w:after="0"/>
              <w:rPr>
                <w:rFonts w:eastAsia="宋体"/>
                <w:szCs w:val="20"/>
                <w:lang w:val="en-US" w:eastAsia="zh-CN"/>
              </w:rPr>
            </w:pPr>
            <w:r>
              <w:rPr>
                <w:rFonts w:eastAsia="宋体" w:hint="eastAsia"/>
                <w:szCs w:val="20"/>
                <w:lang w:val="en-US" w:eastAsia="zh-CN"/>
              </w:rPr>
              <w:t>v</w:t>
            </w:r>
            <w:r>
              <w:rPr>
                <w:rFonts w:eastAsia="宋体"/>
                <w:szCs w:val="20"/>
                <w:lang w:val="en-US" w:eastAsia="zh-CN"/>
              </w:rPr>
              <w:t>ivo</w:t>
            </w:r>
          </w:p>
        </w:tc>
        <w:tc>
          <w:tcPr>
            <w:tcW w:w="7047" w:type="dxa"/>
            <w:tcBorders>
              <w:top w:val="single" w:sz="4" w:space="0" w:color="auto"/>
              <w:left w:val="single" w:sz="4" w:space="0" w:color="auto"/>
              <w:bottom w:val="single" w:sz="4" w:space="0" w:color="auto"/>
              <w:right w:val="single" w:sz="4" w:space="0" w:color="auto"/>
            </w:tcBorders>
          </w:tcPr>
          <w:p w14:paraId="5BAEE2B0" w14:textId="213F9C11" w:rsidR="00651942" w:rsidRDefault="00651942" w:rsidP="003717A0">
            <w:pPr>
              <w:widowControl/>
              <w:kinsoku/>
              <w:overflowPunct/>
              <w:autoSpaceDE/>
              <w:autoSpaceDN/>
              <w:adjustRightInd/>
              <w:spacing w:after="160"/>
              <w:textAlignment w:val="auto"/>
              <w:rPr>
                <w:rFonts w:eastAsia="宋体"/>
                <w:szCs w:val="20"/>
                <w:lang w:val="en-US" w:eastAsia="zh-CN"/>
              </w:rPr>
            </w:pPr>
            <w:r>
              <w:rPr>
                <w:rFonts w:eastAsia="宋体" w:hint="eastAsia"/>
                <w:szCs w:val="20"/>
                <w:lang w:val="en-US" w:eastAsia="zh-CN"/>
              </w:rPr>
              <w:t>A</w:t>
            </w:r>
            <w:r>
              <w:rPr>
                <w:rFonts w:eastAsia="宋体"/>
                <w:szCs w:val="20"/>
                <w:lang w:val="en-US" w:eastAsia="zh-CN"/>
              </w:rPr>
              <w:t xml:space="preserve">gree with Nokia and Samsung, either </w:t>
            </w:r>
            <w:r>
              <w:rPr>
                <w:rFonts w:eastAsia="宋体"/>
                <w:szCs w:val="20"/>
                <w:lang w:eastAsia="zh-CN"/>
              </w:rPr>
              <w:t>“alternative TP for option 1” in [3], or TP1’ in [5]</w:t>
            </w:r>
            <w:r>
              <w:rPr>
                <w:rFonts w:eastAsia="宋体"/>
                <w:szCs w:val="20"/>
                <w:lang w:eastAsia="zh-CN"/>
              </w:rPr>
              <w:t xml:space="preserve"> is fine.</w:t>
            </w:r>
            <w:bookmarkStart w:id="114" w:name="_GoBack"/>
            <w:bookmarkEnd w:id="114"/>
          </w:p>
        </w:tc>
      </w:tr>
    </w:tbl>
    <w:p w14:paraId="3DD4B171" w14:textId="77777777" w:rsidR="007954AD" w:rsidRDefault="007954AD">
      <w:pPr>
        <w:rPr>
          <w:lang w:eastAsia="en-US"/>
        </w:rPr>
      </w:pPr>
    </w:p>
    <w:p w14:paraId="23A815F7" w14:textId="77777777" w:rsidR="007954AD" w:rsidRDefault="00F17D01">
      <w:pPr>
        <w:pStyle w:val="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16"/>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t>========================= Start of TP#3 for TS 37.213 ================================</w:t>
            </w:r>
          </w:p>
          <w:p w14:paraId="4D48E8AD" w14:textId="77777777" w:rsidR="007954AD" w:rsidRDefault="00F17D01">
            <w:pPr>
              <w:rPr>
                <w:rFonts w:eastAsia="Malgun Gothic"/>
                <w:sz w:val="22"/>
              </w:rPr>
            </w:pPr>
            <w:r>
              <w:rPr>
                <w:sz w:val="22"/>
              </w:rPr>
              <w:t>4.2.2.2</w:t>
            </w:r>
            <w:r>
              <w:rPr>
                <w:sz w:val="22"/>
              </w:rPr>
              <w:tab/>
              <w:t>Contention window adjustment procedures for UL transmissions scheduled/configured by gNB</w:t>
            </w:r>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BD7E62">
              <w:rPr>
                <w:rFonts w:eastAsia="Malgun Gothic"/>
                <w:position w:val="-5"/>
                <w:sz w:val="22"/>
              </w:rPr>
              <w:pict w14:anchorId="0D3FCFBF">
                <v:shape id="_x0000_i1027" type="#_x0000_t75" style="width:7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BD7E62">
              <w:rPr>
                <w:rFonts w:eastAsia="Malgun Gothic"/>
                <w:position w:val="-5"/>
                <w:sz w:val="22"/>
              </w:rPr>
              <w:pict w14:anchorId="64118F00">
                <v:shape id="_x0000_i1028" type="#_x0000_t75" style="width:7pt;height:12pt"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BD7E62">
              <w:rPr>
                <w:rFonts w:eastAsia="Malgun Gothic"/>
                <w:position w:val="-6"/>
                <w:sz w:val="22"/>
              </w:rPr>
              <w:pict w14:anchorId="10A7F12F">
                <v:shape id="_x0000_i1029" type="#_x0000_t75" style="width:19.5pt;height:13.5pt"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BD7E62">
              <w:rPr>
                <w:rFonts w:eastAsia="Malgun Gothic"/>
                <w:position w:val="-6"/>
                <w:sz w:val="22"/>
              </w:rPr>
              <w:pict w14:anchorId="15DC470F">
                <v:shape id="_x0000_i1030" type="#_x0000_t75" style="width:19.5pt;height:13.5pt"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BD7E62">
              <w:rPr>
                <w:rFonts w:eastAsia="Malgun Gothic"/>
                <w:position w:val="-6"/>
                <w:sz w:val="22"/>
              </w:rPr>
              <w:pict w14:anchorId="3E9EB9A8">
                <v:shape id="_x0000_i1031" type="#_x0000_t75" style="width:19.5pt;height:13.5pt"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BD7E62">
              <w:rPr>
                <w:rFonts w:eastAsia="Malgun Gothic"/>
                <w:position w:val="-6"/>
                <w:sz w:val="22"/>
              </w:rPr>
              <w:pict w14:anchorId="6A452624">
                <v:shape id="_x0000_i1032" type="#_x0000_t75" style="width:19.5pt;height:13.5pt"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115"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on the channel using Type 1 channel access procedur</w:t>
            </w:r>
            <w:r>
              <w:rPr>
                <w:rFonts w:eastAsia="Malgun Gothic"/>
                <w:sz w:val="22"/>
                <w:lang w:eastAsia="zh-CN"/>
              </w:rPr>
              <w:lastRenderedPageBreak/>
              <w:t xml:space="preserve">es associated with the channel access priority class </w:t>
            </w:r>
            <w:r>
              <w:rPr>
                <w:rFonts w:eastAsia="Malgun Gothic"/>
                <w:sz w:val="22"/>
              </w:rPr>
              <w:fldChar w:fldCharType="begin"/>
            </w:r>
            <w:r>
              <w:rPr>
                <w:rFonts w:eastAsia="Malgun Gothic"/>
                <w:sz w:val="22"/>
              </w:rPr>
              <w:instrText xml:space="preserve"> QUOTE </w:instrText>
            </w:r>
            <w:r w:rsidR="00BD7E62">
              <w:rPr>
                <w:rFonts w:eastAsia="Malgun Gothic"/>
                <w:position w:val="-5"/>
                <w:sz w:val="22"/>
              </w:rPr>
              <w:pict w14:anchorId="79D5112F">
                <v:shape id="_x0000_i1033" type="#_x0000_t75" style="width:7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BD7E62">
              <w:rPr>
                <w:rFonts w:eastAsia="Malgun Gothic"/>
                <w:position w:val="-5"/>
                <w:sz w:val="22"/>
              </w:rPr>
              <w:pict w14:anchorId="7E013DAB">
                <v:shape id="_x0000_i1034" type="#_x0000_t75" style="width:7pt;height:12pt"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BD7E62">
              <w:rPr>
                <w:rFonts w:eastAsia="Malgun Gothic"/>
                <w:position w:val="-5"/>
                <w:sz w:val="22"/>
              </w:rPr>
              <w:pict w14:anchorId="10A7C43B">
                <v:shape id="_x0000_i1035" type="#_x0000_t75" style="width:7pt;height:12pt"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BD7E62">
              <w:rPr>
                <w:rFonts w:eastAsia="Malgun Gothic"/>
                <w:position w:val="-5"/>
                <w:sz w:val="22"/>
              </w:rPr>
              <w:pict w14:anchorId="0F1FCFB2">
                <v:shape id="_x0000_i1036" type="#_x0000_t75" style="width:7pt;height:12pt"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BD7E62">
              <w:rPr>
                <w:rFonts w:eastAsia="Malgun Gothic"/>
                <w:position w:val="-6"/>
                <w:sz w:val="22"/>
              </w:rPr>
              <w:pict w14:anchorId="526FA559">
                <v:shape id="_x0000_i1037" type="#_x0000_t75" style="width:66pt;height:13.5pt" equationxml="&lt;">
                  <v:imagedata r:id="rId63" o:title="" chromakey="white"/>
                </v:shape>
              </w:pict>
            </w:r>
            <w:r>
              <w:rPr>
                <w:rFonts w:eastAsia="Malgun Gothic"/>
                <w:sz w:val="22"/>
              </w:rPr>
              <w:instrText xml:space="preserve"> </w:instrText>
            </w:r>
            <w:r>
              <w:rPr>
                <w:rFonts w:eastAsia="Malgun Gothic"/>
                <w:sz w:val="22"/>
              </w:rPr>
              <w:fldChar w:fldCharType="separate"/>
            </w:r>
            <w:r w:rsidR="00BD7E62">
              <w:rPr>
                <w:rFonts w:eastAsia="Malgun Gothic"/>
                <w:position w:val="-6"/>
                <w:sz w:val="22"/>
              </w:rPr>
              <w:pict w14:anchorId="20271E53">
                <v:shape id="_x0000_i1038" type="#_x0000_t75" style="width:66pt;height:13.5pt"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lastRenderedPageBreak/>
        <w:t xml:space="preserve"> </w:t>
      </w:r>
    </w:p>
    <w:p w14:paraId="46880E3B" w14:textId="77777777" w:rsidR="007954AD" w:rsidRDefault="007954AD">
      <w:pPr>
        <w:rPr>
          <w:lang w:eastAsia="en-US"/>
        </w:rPr>
      </w:pPr>
    </w:p>
    <w:p w14:paraId="6C96C925" w14:textId="77777777" w:rsidR="007954AD" w:rsidRDefault="00F17D01">
      <w:pPr>
        <w:pStyle w:val="2"/>
      </w:pPr>
      <w:r>
        <w:t>Issue CA-6: DL COT Detection in Semi-static Channel Access</w:t>
      </w:r>
    </w:p>
    <w:p w14:paraId="6FAF76DE" w14:textId="77777777" w:rsidR="007954AD" w:rsidRDefault="00F17D01">
      <w:pPr>
        <w:rPr>
          <w:lang w:eastAsia="en-US"/>
        </w:rPr>
      </w:pPr>
      <w:r>
        <w:rPr>
          <w:lang w:eastAsia="en-US"/>
        </w:rPr>
        <w:t xml:space="preserve">In [6]], modifications to the rules for DL COT/FFP detection are proposed, such that later introduction </w:t>
      </w:r>
      <w:proofErr w:type="gramStart"/>
      <w:r>
        <w:rPr>
          <w:lang w:eastAsia="en-US"/>
        </w:rPr>
        <w:t>of  UE</w:t>
      </w:r>
      <w:proofErr w:type="gramEnd"/>
      <w:r>
        <w:rPr>
          <w:lang w:eastAsia="en-US"/>
        </w:rPr>
        <w:t xml:space="preserve"> initiated FFPs is possible in Rel-17. The related proposal and TP </w:t>
      </w:r>
      <w:proofErr w:type="gramStart"/>
      <w:r>
        <w:rPr>
          <w:lang w:eastAsia="en-US"/>
        </w:rPr>
        <w:t>is</w:t>
      </w:r>
      <w:proofErr w:type="gramEnd"/>
      <w:r>
        <w:rPr>
          <w:lang w:eastAsia="en-US"/>
        </w:rPr>
        <w:t xml:space="preserve"> as follows:</w:t>
      </w:r>
    </w:p>
    <w:p w14:paraId="3970082D" w14:textId="77777777" w:rsidR="007954AD" w:rsidRDefault="007954AD"/>
    <w:tbl>
      <w:tblPr>
        <w:tblStyle w:val="af8"/>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2"/>
              <w:ind w:left="576" w:hanging="576"/>
              <w:outlineLvl w:val="1"/>
            </w:pPr>
            <w:bookmarkStart w:id="116" w:name="_Toc66718973"/>
            <w:r>
              <w:t>4.3</w:t>
            </w:r>
            <w:r>
              <w:tab/>
              <w:t>Channel access procedures for semi-static channel occupancy</w:t>
            </w:r>
            <w:bookmarkEnd w:id="116"/>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BD7E62">
              <w:rPr>
                <w:position w:val="-5"/>
              </w:rPr>
              <w:pict w14:anchorId="17C32B93">
                <v:shape id="_x0000_i1039" type="#_x0000_t75" style="width:40pt;height:12pt" equationxml="&lt;">
                  <v:imagedata r:id="rId64" o:title="" chromakey="white"/>
                </v:shape>
              </w:pict>
            </w:r>
            <w:r>
              <w:instrText xml:space="preserve"> </w:instrText>
            </w:r>
            <w:r>
              <w:fldChar w:fldCharType="separate"/>
            </w:r>
            <w:r w:rsidR="00BD7E62">
              <w:rPr>
                <w:position w:val="-5"/>
              </w:rPr>
              <w:pict w14:anchorId="356B5C94">
                <v:shape id="_x0000_i1040" type="#_x0000_t75" style="width:40pt;height:12pt" equationxml="&lt;">
                  <v:imagedata r:id="rId64" o:title="" chromakey="white"/>
                </v:shape>
              </w:pict>
            </w:r>
            <w:r>
              <w:fldChar w:fldCharType="end"/>
            </w:r>
            <w:r>
              <w:t xml:space="preserve">. If the channel is sensed to be busy, the gNB shall not perform any transmission during the current period. </w:t>
            </w:r>
          </w:p>
          <w:p w14:paraId="1B2C96D2" w14:textId="77777777" w:rsidR="007954AD" w:rsidRDefault="00F17D01">
            <w:pPr>
              <w:ind w:left="568" w:hanging="284"/>
            </w:pPr>
            <w:r>
              <w:t>-</w:t>
            </w:r>
            <w:r>
              <w:tab/>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BD7E62">
              <w:rPr>
                <w:position w:val="-5"/>
              </w:rPr>
              <w:pict w14:anchorId="72CB59C0">
                <v:shape id="_x0000_i1041" type="#_x0000_t75" style="width:40pt;height:12pt" equationxml="&lt;">
                  <v:imagedata r:id="rId64" o:title="" chromakey="white"/>
                </v:shape>
              </w:pict>
            </w:r>
            <w:r>
              <w:instrText xml:space="preserve"> </w:instrText>
            </w:r>
            <w:r>
              <w:fldChar w:fldCharType="separate"/>
            </w:r>
            <w:r w:rsidR="00BD7E62">
              <w:rPr>
                <w:position w:val="-5"/>
              </w:rPr>
              <w:pict w14:anchorId="7E3F1F98">
                <v:shape id="_x0000_i1042" type="#_x0000_t75" style="width:40pt;height:12pt"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BD7E62">
              <w:rPr>
                <w:position w:val="-5"/>
              </w:rPr>
              <w:pict w14:anchorId="56AC0C5E">
                <v:shape id="_x0000_i1043" type="#_x0000_t75" style="width:21.5pt;height:12pt" equationxml="&lt;">
                  <v:imagedata r:id="rId65" o:title="" chromakey="white"/>
                </v:shape>
              </w:pict>
            </w:r>
            <w:r>
              <w:instrText xml:space="preserve"> </w:instrText>
            </w:r>
            <w:r>
              <w:fldChar w:fldCharType="separate"/>
            </w:r>
            <w:r w:rsidR="00BD7E62">
              <w:rPr>
                <w:position w:val="-5"/>
              </w:rPr>
              <w:pict w14:anchorId="21635F9F">
                <v:shape id="_x0000_i1044" type="#_x0000_t75" style="width:21.5pt;height:12pt" equationxml="&lt;">
                  <v:imagedata r:id="rId65" o:title="" chromakey="white"/>
                </v:shape>
              </w:pict>
            </w:r>
            <w:r>
              <w:fldChar w:fldCharType="end"/>
            </w:r>
            <w:r>
              <w:t>.</w:t>
            </w:r>
          </w:p>
          <w:p w14:paraId="18A2BC6D" w14:textId="77777777" w:rsidR="007954AD" w:rsidRDefault="00F17D01">
            <w:pPr>
              <w:ind w:left="568" w:hanging="284"/>
            </w:pPr>
            <w:r>
              <w:t>-</w:t>
            </w:r>
            <w:r>
              <w:tab/>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sidR="00BD7E62">
              <w:rPr>
                <w:position w:val="-5"/>
              </w:rPr>
              <w:pict w14:anchorId="7C5818B2">
                <v:shape id="_x0000_i1045" type="#_x0000_t75" style="width:24pt;height:12pt" equationxml="&lt;">
                  <v:imagedata r:id="rId66" o:title="" chromakey="white"/>
                </v:shape>
              </w:pict>
            </w:r>
            <w:r>
              <w:instrText xml:space="preserve"> </w:instrText>
            </w:r>
            <w:r>
              <w:fldChar w:fldCharType="separate"/>
            </w:r>
            <w:r w:rsidR="00BD7E62">
              <w:rPr>
                <w:position w:val="-5"/>
              </w:rPr>
              <w:pict w14:anchorId="5AB85EDF">
                <v:shape id="_x0000_i1046" type="#_x0000_t75" style="width:24pt;height:12pt"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BD7E62">
              <w:rPr>
                <w:position w:val="-5"/>
              </w:rPr>
              <w:pict w14:anchorId="6E1C74BD">
                <v:shape id="_x0000_i1047" type="#_x0000_t75" style="width:21.5pt;height:12pt" equationxml="&lt;">
                  <v:imagedata r:id="rId65" o:title="" chromakey="white"/>
                </v:shape>
              </w:pict>
            </w:r>
            <w:r>
              <w:instrText xml:space="preserve"> </w:instrText>
            </w:r>
            <w:r>
              <w:fldChar w:fldCharType="separate"/>
            </w:r>
            <w:r w:rsidR="00BD7E62">
              <w:rPr>
                <w:position w:val="-5"/>
              </w:rPr>
              <w:pict w14:anchorId="54B76DCC">
                <v:shape id="_x0000_i1048" type="#_x0000_t75" style="width:21.5pt;height:12pt"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t>-</w:t>
            </w:r>
            <w:r>
              <w:tab/>
              <w:t xml:space="preserve">If the gap between the UL and DL transmission bursts is more than </w:t>
            </w:r>
            <w:r>
              <w:fldChar w:fldCharType="begin"/>
            </w:r>
            <w:r>
              <w:instrText xml:space="preserve"> QUOTE </w:instrText>
            </w:r>
            <w:r w:rsidR="00BD7E62">
              <w:rPr>
                <w:position w:val="-5"/>
              </w:rPr>
              <w:pict w14:anchorId="1BFBFDC2">
                <v:shape id="_x0000_i1049" type="#_x0000_t75" style="width:21.5pt;height:12pt" equationxml="&lt;">
                  <v:imagedata r:id="rId65" o:title="" chromakey="white"/>
                </v:shape>
              </w:pict>
            </w:r>
            <w:r>
              <w:instrText xml:space="preserve"> </w:instrText>
            </w:r>
            <w:r>
              <w:fldChar w:fldCharType="separate"/>
            </w:r>
            <w:r w:rsidR="00BD7E62">
              <w:rPr>
                <w:position w:val="-5"/>
              </w:rPr>
              <w:pict w14:anchorId="2D42BC5E">
                <v:shape id="_x0000_i1050" type="#_x0000_t75" style="width:21.5pt;height:12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BD7E62">
              <w:rPr>
                <w:position w:val="-5"/>
              </w:rPr>
              <w:pict w14:anchorId="74412129">
                <v:shape id="_x0000_i1051" type="#_x0000_t75" style="width:40pt;height:12pt" equationxml="&lt;">
                  <v:imagedata r:id="rId64" o:title="" chromakey="white"/>
                </v:shape>
              </w:pict>
            </w:r>
            <w:r>
              <w:instrText xml:space="preserve"> </w:instrText>
            </w:r>
            <w:r>
              <w:fldChar w:fldCharType="separate"/>
            </w:r>
            <w:r w:rsidR="00BD7E62">
              <w:rPr>
                <w:position w:val="-5"/>
              </w:rPr>
              <w:pict w14:anchorId="01A218E3">
                <v:shape id="_x0000_i1052" type="#_x0000_t75" style="width:40pt;height:12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BD7E62">
              <w:rPr>
                <w:position w:val="-5"/>
              </w:rPr>
              <w:pict w14:anchorId="42A15AA9">
                <v:shape id="_x0000_i1053" type="#_x0000_t75" style="width:21.5pt;height:12pt" equationxml="&lt;">
                  <v:imagedata r:id="rId67" o:title="" chromakey="white"/>
                </v:shape>
              </w:pict>
            </w:r>
            <w:r>
              <w:instrText xml:space="preserve"> </w:instrText>
            </w:r>
            <w:r>
              <w:fldChar w:fldCharType="separate"/>
            </w:r>
            <w:r w:rsidR="00BD7E62">
              <w:rPr>
                <w:position w:val="-5"/>
              </w:rPr>
              <w:pict w14:anchorId="431FE6F4">
                <v:shape id="_x0000_i1054" type="#_x0000_t75" style="width:21.5pt;height:12pt"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sidR="00BD7E62">
              <w:rPr>
                <w:position w:val="-5"/>
              </w:rPr>
              <w:pict w14:anchorId="39EBF09D">
                <v:shape id="_x0000_i1055" type="#_x0000_t75" style="width:40pt;height:12pt" equationxml="&lt;">
                  <v:imagedata r:id="rId64" o:title="" chromakey="white"/>
                </v:shape>
              </w:pict>
            </w:r>
            <w:r>
              <w:instrText xml:space="preserve"> </w:instrText>
            </w:r>
            <w:r>
              <w:fldChar w:fldCharType="separate"/>
            </w:r>
            <w:r w:rsidR="00BD7E62">
              <w:rPr>
                <w:position w:val="-5"/>
              </w:rPr>
              <w:pict w14:anchorId="2B7A85F0">
                <v:shape id="_x0000_i1056" type="#_x0000_t75" style="width:40pt;height:12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BD7E62">
              <w:rPr>
                <w:position w:val="-5"/>
              </w:rPr>
              <w:pict w14:anchorId="167105EE">
                <v:shape id="_x0000_i1057" type="#_x0000_t75" style="width:21.5pt;height:12pt" equationxml="&lt;">
                  <v:imagedata r:id="rId67" o:title="" chromakey="white"/>
                </v:shape>
              </w:pict>
            </w:r>
            <w:r>
              <w:instrText xml:space="preserve"> </w:instrText>
            </w:r>
            <w:r>
              <w:fldChar w:fldCharType="separate"/>
            </w:r>
            <w:r w:rsidR="00BD7E62">
              <w:rPr>
                <w:position w:val="-5"/>
              </w:rPr>
              <w:pict w14:anchorId="08FD48B7">
                <v:shape id="_x0000_i1058" type="#_x0000_t75" style="width:21.5pt;height:12pt"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t>-</w:t>
            </w:r>
            <w:r>
              <w:rPr>
                <w:color w:val="000000"/>
              </w:rPr>
              <w:tab/>
              <w:t xml:space="preserve">The gNB and UEs shall not transmit any transmissions in a set of consecutive symbols for a duration of at least </w:t>
            </w:r>
            <w:r>
              <w:fldChar w:fldCharType="begin"/>
            </w:r>
            <w:r>
              <w:instrText xml:space="preserve"> QUOTE </w:instrText>
            </w:r>
            <w:r w:rsidR="00BD7E62">
              <w:rPr>
                <w:position w:val="-5"/>
              </w:rPr>
              <w:pict w14:anchorId="77DB525E">
                <v:shape id="_x0000_i1059" type="#_x0000_t75" style="width:109.5pt;height:12pt" equationxml="&lt;">
                  <v:imagedata r:id="rId68" o:title="" chromakey="white"/>
                </v:shape>
              </w:pict>
            </w:r>
            <w:r>
              <w:instrText xml:space="preserve"> </w:instrText>
            </w:r>
            <w:r>
              <w:fldChar w:fldCharType="separate"/>
            </w:r>
            <w:r w:rsidR="00BD7E62">
              <w:rPr>
                <w:position w:val="-5"/>
              </w:rPr>
              <w:pict w14:anchorId="33F3E1B3">
                <v:shape id="_x0000_i1060" type="#_x0000_t75" style="width:109.5pt;height:12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lastRenderedPageBreak/>
              <w:t>If a UE fails to access the channel(s) prior to an intended UL transmission to a gNB,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1"/>
        <w:tabs>
          <w:tab w:val="left" w:pos="9090"/>
        </w:tabs>
      </w:pPr>
      <w:r>
        <w:t>References</w:t>
      </w:r>
    </w:p>
    <w:p w14:paraId="740CFB56" w14:textId="77777777" w:rsidR="007954AD" w:rsidRDefault="007954AD">
      <w:pPr>
        <w:rPr>
          <w:rStyle w:val="13"/>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 xml:space="preserve">Huawei, </w:t>
            </w:r>
            <w:proofErr w:type="spellStart"/>
            <w:r>
              <w:rPr>
                <w:rFonts w:ascii="Arial" w:eastAsia="Times New Roman" w:hAnsi="Arial" w:cs="Arial"/>
                <w:snapToGrid/>
                <w:kern w:val="0"/>
                <w:sz w:val="16"/>
                <w:szCs w:val="16"/>
                <w:lang w:val="en-US" w:eastAsia="en-US"/>
              </w:rPr>
              <w:t>HiSilicon</w:t>
            </w:r>
            <w:proofErr w:type="spellEnd"/>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BD7E62">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afc"/>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headerReference w:type="even" r:id="rId75"/>
      <w:headerReference w:type="default" r:id="rId76"/>
      <w:footerReference w:type="even" r:id="rId77"/>
      <w:footerReference w:type="default" r:id="rId78"/>
      <w:headerReference w:type="first" r:id="rId79"/>
      <w:footerReference w:type="first" r:id="rId8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F27D" w14:textId="77777777" w:rsidR="00EA48D6" w:rsidRDefault="00EA48D6">
      <w:pPr>
        <w:spacing w:after="0" w:line="240" w:lineRule="auto"/>
      </w:pPr>
      <w:r>
        <w:separator/>
      </w:r>
    </w:p>
  </w:endnote>
  <w:endnote w:type="continuationSeparator" w:id="0">
    <w:p w14:paraId="26375E58" w14:textId="77777777" w:rsidR="00EA48D6" w:rsidRDefault="00EA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969D" w14:textId="77777777" w:rsidR="00BD7E62" w:rsidRDefault="00BD7E62">
    <w:pPr>
      <w:pStyle w:val="af"/>
      <w:rPr>
        <w:rStyle w:val="afa"/>
      </w:rPr>
    </w:pPr>
    <w:r>
      <w:rPr>
        <w:rStyle w:val="afa"/>
      </w:rPr>
      <w:fldChar w:fldCharType="begin"/>
    </w:r>
    <w:r>
      <w:rPr>
        <w:rStyle w:val="afa"/>
      </w:rPr>
      <w:instrText xml:space="preserve">PAGE  </w:instrText>
    </w:r>
    <w:r>
      <w:rPr>
        <w:rStyle w:val="afa"/>
      </w:rPr>
      <w:fldChar w:fldCharType="end"/>
    </w:r>
  </w:p>
  <w:p w14:paraId="217FF13C" w14:textId="77777777" w:rsidR="00BD7E62" w:rsidRDefault="00BD7E62">
    <w:pPr>
      <w:pStyle w:val="af"/>
    </w:pPr>
  </w:p>
  <w:p w14:paraId="4456495D" w14:textId="77777777" w:rsidR="00BD7E62" w:rsidRDefault="00BD7E62"/>
  <w:p w14:paraId="3D4941F6" w14:textId="77777777" w:rsidR="00BD7E62" w:rsidRDefault="00BD7E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80FB" w14:textId="77777777" w:rsidR="00BD7E62" w:rsidRDefault="00BD7E62">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12</w:t>
    </w:r>
    <w:r>
      <w:rPr>
        <w:rStyle w:val="afa"/>
      </w:rPr>
      <w:fldChar w:fldCharType="end"/>
    </w:r>
  </w:p>
  <w:p w14:paraId="6E87D275" w14:textId="77777777" w:rsidR="00BD7E62" w:rsidRDefault="00BD7E62">
    <w:pPr>
      <w:pStyle w:val="af"/>
    </w:pPr>
  </w:p>
  <w:p w14:paraId="6BA1B1F6" w14:textId="77777777" w:rsidR="00BD7E62" w:rsidRDefault="00BD7E62"/>
  <w:p w14:paraId="35351418" w14:textId="77777777" w:rsidR="00BD7E62" w:rsidRDefault="00BD7E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BB65" w14:textId="77777777" w:rsidR="00BD7E62" w:rsidRDefault="00BD7E6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324A6" w14:textId="77777777" w:rsidR="00EA48D6" w:rsidRDefault="00EA48D6">
      <w:pPr>
        <w:spacing w:after="0" w:line="240" w:lineRule="auto"/>
      </w:pPr>
      <w:r>
        <w:separator/>
      </w:r>
    </w:p>
  </w:footnote>
  <w:footnote w:type="continuationSeparator" w:id="0">
    <w:p w14:paraId="0E6A6F4B" w14:textId="77777777" w:rsidR="00EA48D6" w:rsidRDefault="00EA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96F9" w14:textId="77777777" w:rsidR="00BD7E62" w:rsidRDefault="00BD7E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DF13" w14:textId="77777777" w:rsidR="00BD7E62" w:rsidRDefault="00BD7E6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8C2E" w14:textId="77777777" w:rsidR="00BD7E62" w:rsidRDefault="00BD7E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42"/>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62"/>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8D6"/>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Pr>
      <w:rFonts w:ascii="Batang"/>
      <w:kern w:val="2"/>
      <w:szCs w:val="24"/>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宋体" w:hAnsi="Times" w:cs="Times"/>
      <w:sz w:val="24"/>
      <w:szCs w:val="24"/>
      <w:lang w:eastAsia="zh-CN"/>
    </w:rPr>
  </w:style>
  <w:style w:type="character" w:customStyle="1" w:styleId="13">
    <w:name w:val="강한 강조1"/>
    <w:basedOn w:val="a2"/>
    <w:uiPriority w:val="21"/>
    <w:qFormat/>
    <w:rPr>
      <w:i/>
      <w:iCs/>
      <w:color w:val="5B9BD5" w:themeColor="accent1"/>
    </w:rPr>
  </w:style>
  <w:style w:type="paragraph" w:customStyle="1" w:styleId="Note-Boxed">
    <w:name w:val="Note - Boxed"/>
    <w:basedOn w:val="a1"/>
    <w:next w:val="a1"/>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3.wmf"/><Relationship Id="rId11" Type="http://schemas.openxmlformats.org/officeDocument/2006/relationships/webSettings" Target="webSetting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hyperlink" Target="https://www.3gpp.org/ftp/TSG_RAN/WG1_RL1/TSGR1_104b-e/Docs/R1-2103732.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6.png"/><Relationship Id="rId82" Type="http://schemas.microsoft.com/office/2011/relationships/people" Target="people.xml"/><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settings" Target="settings.xml"/><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wmf"/><Relationship Id="rId39" Type="http://schemas.openxmlformats.org/officeDocument/2006/relationships/oleObject" Target="embeddings/oleObject1.bin"/><Relationship Id="rId34" Type="http://schemas.openxmlformats.org/officeDocument/2006/relationships/image" Target="media/image21.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6.wmf"/><Relationship Id="rId45" Type="http://schemas.openxmlformats.org/officeDocument/2006/relationships/image" Target="media/image30.wmf"/><Relationship Id="rId66"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83997F-45DB-4DA2-826F-A2F37AD0D1ED}">
  <ds:schemaRefs>
    <ds:schemaRef ds:uri="http://schemas.openxmlformats.org/officeDocument/2006/bibliography"/>
  </ds:schemaRefs>
</ds:datastoreItem>
</file>

<file path=customXml/itemProps7.xml><?xml version="1.0" encoding="utf-8"?>
<ds:datastoreItem xmlns:ds="http://schemas.openxmlformats.org/officeDocument/2006/customXml" ds:itemID="{CD56DB7D-C809-4983-8D69-4C6B95E8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6010</Words>
  <Characters>34257</Characters>
  <Application>Microsoft Office Word</Application>
  <DocSecurity>0</DocSecurity>
  <Lines>285</Lines>
  <Paragraphs>80</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Gen Li (vivo)</cp:lastModifiedBy>
  <cp:revision>2</cp:revision>
  <cp:lastPrinted>2019-01-10T09:30:00Z</cp:lastPrinted>
  <dcterms:created xsi:type="dcterms:W3CDTF">2021-04-13T08:17:00Z</dcterms:created>
  <dcterms:modified xsi:type="dcterms:W3CDTF">2021-04-13T08:17:00Z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