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p>
    <w:p w14:paraId="65D6EBA2" w14:textId="77777777" w:rsidR="00481F96" w:rsidRDefault="00B87EE5" w:rsidP="00481F96">
      <w:pPr>
        <w:rPr>
          <w:lang w:eastAsia="x-none"/>
        </w:rPr>
      </w:pPr>
      <w:hyperlink r:id="rId8" w:history="1">
        <w:r w:rsidR="00481F96" w:rsidRPr="00B616DF">
          <w:rPr>
            <w:rStyle w:val="Hyperlink"/>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Heading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TableGrid"/>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TableGrid"/>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TableGrid"/>
        <w:tblW w:w="5000" w:type="pct"/>
        <w:tblLook w:val="04A0" w:firstRow="1" w:lastRow="0" w:firstColumn="1" w:lastColumn="0" w:noHBand="0" w:noVBand="1"/>
      </w:tblPr>
      <w:tblGrid>
        <w:gridCol w:w="1661"/>
        <w:gridCol w:w="1389"/>
        <w:gridCol w:w="6257"/>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89"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403"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597F65">
        <w:trPr>
          <w:trHeight w:val="20"/>
        </w:trPr>
        <w:tc>
          <w:tcPr>
            <w:tcW w:w="807"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403"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issue,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r w:rsidR="00010769">
              <w:rPr>
                <w:sz w:val="20"/>
                <w:szCs w:val="20"/>
                <w:lang w:eastAsia="zh-CN"/>
              </w:rPr>
              <w:t>So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priority between SRS and the signals’</w:t>
            </w:r>
            <w:r w:rsidR="0082406A">
              <w:rPr>
                <w:rFonts w:hint="eastAsia"/>
                <w:sz w:val="20"/>
                <w:szCs w:val="20"/>
                <w:lang w:eastAsia="zh-CN"/>
              </w:rPr>
              <w:t>.</w:t>
            </w:r>
            <w:r w:rsidR="0082406A">
              <w:rPr>
                <w:sz w:val="20"/>
                <w:szCs w:val="20"/>
                <w:lang w:eastAsia="zh-CN"/>
              </w:rPr>
              <w:t xml:space="preserve">   So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r w:rsidRPr="000E3B32">
              <w:rPr>
                <w:i/>
                <w:iCs/>
                <w:color w:val="000000"/>
                <w:sz w:val="20"/>
                <w:szCs w:val="20"/>
              </w:rPr>
              <w:t>srs-SwitchFromServCellIndex</w:t>
            </w:r>
            <w:r w:rsidRPr="000E3B32">
              <w:rPr>
                <w:color w:val="000000"/>
                <w:sz w:val="20"/>
                <w:szCs w:val="20"/>
              </w:rPr>
              <w:t xml:space="preserve"> and </w:t>
            </w:r>
            <w:r w:rsidRPr="000E3B32">
              <w:rPr>
                <w:i/>
                <w:iCs/>
                <w:color w:val="000000"/>
                <w:sz w:val="20"/>
                <w:szCs w:val="20"/>
              </w:rPr>
              <w:t>srs-SwitchFromCarrier</w:t>
            </w:r>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r w:rsidRPr="000E3B32">
              <w:rPr>
                <w:i/>
                <w:iCs/>
                <w:sz w:val="20"/>
                <w:szCs w:val="20"/>
                <w:highlight w:val="yellow"/>
              </w:rPr>
              <w:t>switchingTimeUL</w:t>
            </w:r>
            <w:r w:rsidRPr="000E3B32">
              <w:rPr>
                <w:color w:val="000000"/>
                <w:sz w:val="20"/>
                <w:szCs w:val="20"/>
                <w:highlight w:val="yellow"/>
              </w:rPr>
              <w:t xml:space="preserve"> and </w:t>
            </w:r>
            <w:r w:rsidRPr="000E3B32">
              <w:rPr>
                <w:i/>
                <w:iCs/>
                <w:sz w:val="20"/>
                <w:szCs w:val="20"/>
                <w:highlight w:val="yellow"/>
              </w:rPr>
              <w:t>switchingTimeDL</w:t>
            </w:r>
            <w:r w:rsidRPr="000E3B32">
              <w:rPr>
                <w:color w:val="000000"/>
                <w:sz w:val="20"/>
                <w:szCs w:val="20"/>
                <w:highlight w:val="yellow"/>
              </w:rPr>
              <w:t xml:space="preserve"> of </w:t>
            </w:r>
            <w:r w:rsidRPr="000E3B32">
              <w:rPr>
                <w:i/>
                <w:iCs/>
                <w:color w:val="000000"/>
                <w:sz w:val="20"/>
                <w:szCs w:val="20"/>
                <w:highlight w:val="yellow"/>
              </w:rPr>
              <w:t>srs-SwitchingTimeNR</w:t>
            </w:r>
            <w:r w:rsidRPr="000E3B32">
              <w:rPr>
                <w:color w:val="000000"/>
                <w:sz w:val="20"/>
                <w:szCs w:val="20"/>
                <w:highlight w:val="yellow"/>
              </w:rPr>
              <w:t xml:space="preserve">), the UE temporarily suspends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89"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403" w:type="pct"/>
            <w:vAlign w:val="center"/>
          </w:tcPr>
          <w:p w14:paraId="4208E723" w14:textId="77777777" w:rsidR="00DC1A10" w:rsidRPr="00DD4A8F" w:rsidRDefault="003906F2" w:rsidP="00BE2EBA">
            <w:pPr>
              <w:spacing w:after="0"/>
              <w:rPr>
                <w:rFonts w:eastAsia="PMingLiU"/>
                <w:sz w:val="20"/>
                <w:szCs w:val="20"/>
                <w:lang w:eastAsia="zh-TW"/>
              </w:rPr>
            </w:pPr>
            <w:r w:rsidRPr="00DD4A8F">
              <w:rPr>
                <w:rFonts w:eastAsia="PMingLiU"/>
                <w:sz w:val="20"/>
                <w:szCs w:val="20"/>
                <w:lang w:eastAsia="zh-TW"/>
              </w:rPr>
              <w:t>Please see our comments below.</w:t>
            </w:r>
          </w:p>
          <w:p w14:paraId="61A85478" w14:textId="77777777" w:rsidR="003906F2" w:rsidRPr="00DD4A8F" w:rsidRDefault="003906F2" w:rsidP="00BE2EBA">
            <w:pPr>
              <w:spacing w:after="0"/>
              <w:rPr>
                <w:rFonts w:eastAsia="PMingLiU"/>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ListParagraph"/>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ListParagraph"/>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ListParagraph"/>
              <w:numPr>
                <w:ilvl w:val="0"/>
                <w:numId w:val="29"/>
              </w:numPr>
              <w:spacing w:after="0"/>
              <w:ind w:firstLineChars="0"/>
              <w:rPr>
                <w:sz w:val="20"/>
                <w:szCs w:val="20"/>
              </w:rPr>
            </w:pPr>
            <w:r w:rsidRPr="00DD4A8F">
              <w:rPr>
                <w:bCs/>
                <w:iCs/>
                <w:sz w:val="20"/>
                <w:szCs w:val="20"/>
              </w:rPr>
              <w:t xml:space="preserve">The following paragraph in Section 6.2.1.3 of TS 38.214 captures UE behavior on switching-from CC (source CC). However, it seems to be redundant </w:t>
            </w:r>
            <w:r w:rsidR="00DD4A8F" w:rsidRPr="00DD4A8F">
              <w:rPr>
                <w:bCs/>
                <w:iCs/>
                <w:sz w:val="20"/>
                <w:szCs w:val="20"/>
              </w:rPr>
              <w:t xml:space="preserve">on top of the prioritization rule. We suggest to remove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ListParagraph"/>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r w:rsidRPr="00DD4A8F">
              <w:rPr>
                <w:i/>
                <w:iCs/>
                <w:color w:val="000000"/>
                <w:sz w:val="20"/>
                <w:szCs w:val="20"/>
              </w:rPr>
              <w:t>srs-SwitchFromServCellIndex</w:t>
            </w:r>
            <w:r w:rsidRPr="00DD4A8F">
              <w:rPr>
                <w:color w:val="000000"/>
                <w:sz w:val="20"/>
                <w:szCs w:val="20"/>
              </w:rPr>
              <w:t xml:space="preserve"> and </w:t>
            </w:r>
            <w:r w:rsidRPr="00DD4A8F">
              <w:rPr>
                <w:i/>
                <w:iCs/>
                <w:color w:val="000000"/>
                <w:sz w:val="20"/>
                <w:szCs w:val="20"/>
              </w:rPr>
              <w:t>srs-SwitchFromCarrier</w:t>
            </w:r>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r w:rsidRPr="00DD4A8F">
              <w:rPr>
                <w:i/>
                <w:sz w:val="20"/>
                <w:szCs w:val="20"/>
              </w:rPr>
              <w:t>switchingTimeUL</w:t>
            </w:r>
            <w:r w:rsidRPr="00DD4A8F">
              <w:rPr>
                <w:color w:val="000000"/>
                <w:sz w:val="20"/>
                <w:szCs w:val="20"/>
              </w:rPr>
              <w:t xml:space="preserve"> and </w:t>
            </w:r>
            <w:r w:rsidRPr="00DD4A8F">
              <w:rPr>
                <w:i/>
                <w:sz w:val="20"/>
                <w:szCs w:val="20"/>
              </w:rPr>
              <w:t>switchingTimeDL</w:t>
            </w:r>
            <w:r w:rsidRPr="00DD4A8F">
              <w:rPr>
                <w:color w:val="000000"/>
                <w:sz w:val="20"/>
                <w:szCs w:val="20"/>
              </w:rPr>
              <w:t xml:space="preserve"> of </w:t>
            </w:r>
            <w:r w:rsidRPr="00DD4A8F">
              <w:rPr>
                <w:i/>
                <w:color w:val="000000"/>
                <w:sz w:val="20"/>
                <w:szCs w:val="20"/>
              </w:rPr>
              <w:t>SRS-SwitchingTimeNR</w:t>
            </w:r>
            <w:r w:rsidRPr="00DD4A8F">
              <w:rPr>
                <w:color w:val="000000"/>
                <w:sz w:val="20"/>
                <w:szCs w:val="20"/>
              </w:rPr>
              <w:t xml:space="preserve">), the UE temporarily suspends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ListParagraph"/>
              <w:numPr>
                <w:ilvl w:val="0"/>
                <w:numId w:val="29"/>
              </w:numPr>
              <w:spacing w:after="0"/>
              <w:ind w:firstLineChars="0"/>
              <w:rPr>
                <w:sz w:val="18"/>
                <w:szCs w:val="20"/>
              </w:rPr>
            </w:pPr>
            <w:r w:rsidRPr="00DD4A8F">
              <w:rPr>
                <w:bCs/>
                <w:iCs/>
                <w:sz w:val="20"/>
              </w:rPr>
              <w:t>The UE behavior in some cases is not defined. E.g,</w:t>
            </w:r>
          </w:p>
          <w:p w14:paraId="0FE00A59" w14:textId="15A5C710"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 is defined in current spec, but there is no counterpart for P/SP-SRS on the carrier of the serving cell d.</w:t>
            </w:r>
          </w:p>
          <w:p w14:paraId="7B8CCD57" w14:textId="77777777"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597F65">
        <w:trPr>
          <w:trHeight w:val="20"/>
        </w:trPr>
        <w:tc>
          <w:tcPr>
            <w:tcW w:w="807" w:type="pct"/>
            <w:vAlign w:val="center"/>
          </w:tcPr>
          <w:p w14:paraId="6A1DDD4E" w14:textId="4046595E" w:rsidR="00DC1A10" w:rsidRPr="00F1378D" w:rsidRDefault="00F1378D" w:rsidP="00BE2EBA">
            <w:pPr>
              <w:spacing w:after="0"/>
              <w:jc w:val="center"/>
              <w:rPr>
                <w:rFonts w:eastAsia="Malgun Gothic"/>
                <w:sz w:val="20"/>
                <w:szCs w:val="20"/>
                <w:lang w:eastAsia="ko-KR"/>
              </w:rPr>
            </w:pPr>
            <w:r>
              <w:rPr>
                <w:rFonts w:eastAsia="Malgun Gothic" w:hint="eastAsia"/>
                <w:sz w:val="20"/>
                <w:szCs w:val="20"/>
                <w:lang w:eastAsia="ko-KR"/>
              </w:rPr>
              <w:lastRenderedPageBreak/>
              <w:t>Sam</w:t>
            </w:r>
            <w:r>
              <w:rPr>
                <w:rFonts w:eastAsia="Malgun Gothic"/>
                <w:sz w:val="20"/>
                <w:szCs w:val="20"/>
                <w:lang w:eastAsia="ko-KR"/>
              </w:rPr>
              <w:t>sung</w:t>
            </w:r>
          </w:p>
        </w:tc>
        <w:tc>
          <w:tcPr>
            <w:tcW w:w="789" w:type="pct"/>
          </w:tcPr>
          <w:p w14:paraId="16BFF006" w14:textId="1A0CD29B" w:rsidR="00DC1A10" w:rsidRPr="00F1378D" w:rsidRDefault="00F1378D" w:rsidP="00BE2EBA">
            <w:pPr>
              <w:spacing w:after="0"/>
              <w:rPr>
                <w:rFonts w:eastAsia="Malgun Gothic"/>
                <w:sz w:val="20"/>
                <w:szCs w:val="20"/>
                <w:lang w:eastAsia="ko-KR"/>
              </w:rPr>
            </w:pPr>
            <w:r>
              <w:rPr>
                <w:rFonts w:eastAsia="Malgun Gothic" w:hint="eastAsia"/>
                <w:sz w:val="20"/>
                <w:szCs w:val="20"/>
                <w:lang w:eastAsia="ko-KR"/>
              </w:rPr>
              <w:t>No</w:t>
            </w:r>
            <w:r>
              <w:rPr>
                <w:rFonts w:eastAsia="Malgun Gothic"/>
                <w:sz w:val="20"/>
                <w:szCs w:val="20"/>
                <w:lang w:eastAsia="ko-KR"/>
              </w:rPr>
              <w:t>. Need to check NBC issue.</w:t>
            </w:r>
          </w:p>
        </w:tc>
        <w:tc>
          <w:tcPr>
            <w:tcW w:w="3403" w:type="pct"/>
            <w:vAlign w:val="center"/>
          </w:tcPr>
          <w:p w14:paraId="405E8670" w14:textId="23BFF617" w:rsidR="00F1378D" w:rsidRDefault="00F1378D" w:rsidP="00F1378D">
            <w:pPr>
              <w:spacing w:after="0"/>
              <w:rPr>
                <w:rFonts w:eastAsia="Malgun Gothic"/>
                <w:sz w:val="20"/>
                <w:szCs w:val="20"/>
                <w:lang w:eastAsia="ko-KR"/>
              </w:rPr>
            </w:pPr>
            <w:r>
              <w:rPr>
                <w:rFonts w:eastAsia="Malgun Gothic"/>
                <w:sz w:val="20"/>
                <w:szCs w:val="20"/>
                <w:lang w:eastAsia="ko-KR"/>
              </w:rPr>
              <w:t xml:space="preserve">First of all, SRS carrier switching in </w:t>
            </w:r>
            <w:r w:rsidR="009702EF">
              <w:rPr>
                <w:rFonts w:eastAsia="Malgun Gothic"/>
                <w:sz w:val="20"/>
                <w:szCs w:val="20"/>
                <w:lang w:eastAsia="ko-KR"/>
              </w:rPr>
              <w:t xml:space="preserve">the </w:t>
            </w:r>
            <w:r>
              <w:rPr>
                <w:rFonts w:eastAsia="Malgun Gothic"/>
                <w:sz w:val="20"/>
                <w:szCs w:val="20"/>
                <w:lang w:eastAsia="ko-KR"/>
              </w:rPr>
              <w:t xml:space="preserve">current NR specification is similar to </w:t>
            </w:r>
            <w:r w:rsidR="009702EF">
              <w:rPr>
                <w:rFonts w:eastAsia="Malgun Gothic"/>
                <w:sz w:val="20"/>
                <w:szCs w:val="20"/>
                <w:lang w:eastAsia="ko-KR"/>
              </w:rPr>
              <w:t xml:space="preserve">LTE spec </w:t>
            </w:r>
            <w:r>
              <w:rPr>
                <w:rFonts w:eastAsia="Malgun Gothic"/>
                <w:sz w:val="20"/>
                <w:szCs w:val="20"/>
                <w:lang w:eastAsia="ko-KR"/>
              </w:rPr>
              <w:t>36.213 (v14.4.0) that is before updating the agreement on LTE carrier switching in RAN1#90. I think this is because there was misalignment between updating LTE spec and capturing LTE spec for NR. Followings are a part of SRS carrier switching in 36.213 v14.4.0 and v14.5.0:</w:t>
            </w:r>
          </w:p>
          <w:p w14:paraId="05585E3E" w14:textId="77777777" w:rsidR="00F1378D" w:rsidRDefault="00F1378D" w:rsidP="00F1378D">
            <w:pPr>
              <w:spacing w:after="0"/>
              <w:rPr>
                <w:rFonts w:eastAsia="Malgun Gothic"/>
                <w:sz w:val="20"/>
                <w:szCs w:val="20"/>
                <w:lang w:eastAsia="ko-KR"/>
              </w:rPr>
            </w:pPr>
          </w:p>
          <w:p w14:paraId="2A24250D" w14:textId="77777777" w:rsidR="00F1378D" w:rsidRPr="004E6C41" w:rsidRDefault="00F1378D" w:rsidP="00F1378D">
            <w:pPr>
              <w:spacing w:after="0"/>
              <w:rPr>
                <w:rFonts w:eastAsia="Malgun Gothic"/>
                <w:sz w:val="20"/>
                <w:szCs w:val="20"/>
                <w:lang w:eastAsia="ko-KR"/>
              </w:rPr>
            </w:pPr>
            <w:r>
              <w:rPr>
                <w:rFonts w:eastAsia="Malgun Gothic"/>
                <w:sz w:val="20"/>
                <w:szCs w:val="20"/>
                <w:lang w:eastAsia="ko-KR"/>
              </w:rPr>
              <w:t>[36.213 v14.4.0]</w:t>
            </w:r>
          </w:p>
          <w:p w14:paraId="47AE23DC" w14:textId="77777777" w:rsidR="00F1378D" w:rsidRDefault="00F1378D" w:rsidP="00F1378D">
            <w:pPr>
              <w:spacing w:after="0"/>
              <w:rPr>
                <w:rFonts w:eastAsia="Times New Roman"/>
                <w:sz w:val="20"/>
                <w:szCs w:val="20"/>
                <w:lang w:val="en-GB" w:eastAsia="en-GB"/>
              </w:rPr>
            </w:pPr>
            <w:r>
              <w:rPr>
                <w:rFonts w:eastAsia="Times New Roman"/>
                <w:sz w:val="20"/>
                <w:szCs w:val="20"/>
                <w:lang w:val="en-GB" w:eastAsia="en-GB"/>
              </w:rPr>
              <w:t>“</w:t>
            </w:r>
            <w:r w:rsidRPr="0065127A">
              <w:rPr>
                <w:rFonts w:eastAsia="Times New Roman"/>
                <w:sz w:val="20"/>
                <w:szCs w:val="20"/>
                <w:lang w:val="en-GB" w:eastAsia="en-GB"/>
              </w:rPr>
              <w:t>For a TDD serving cell not configured for PUSCH/PUCCH transmission, the UE shall not transmit SRS whenever SRS transmission (including any interruption due to uplink or downlink RF retuning time [10]) on the serving cell and PUSCH/PUCCH transmission 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65127A">
              <w:rPr>
                <w:rFonts w:eastAsia="Times New Roman"/>
                <w:sz w:val="20"/>
                <w:szCs w:val="20"/>
                <w:lang w:val="en-GB" w:eastAsia="en-GB"/>
              </w:rPr>
              <w:t xml:space="preserve">and that can result </w:t>
            </w:r>
            <w:r w:rsidRPr="0065127A">
              <w:rPr>
                <w:rFonts w:ascii="Times" w:eastAsia="Times New Roman" w:hAnsi="Times"/>
                <w:sz w:val="20"/>
                <w:szCs w:val="20"/>
                <w:lang w:val="en-GB" w:eastAsia="en-GB"/>
              </w:rPr>
              <w:t xml:space="preserve">in uplink transmissions beyond the UE’s indicated uplink </w:t>
            </w:r>
            <w:r w:rsidRPr="0065127A">
              <w:rPr>
                <w:rFonts w:eastAsia="Times New Roman"/>
                <w:sz w:val="20"/>
                <w:szCs w:val="20"/>
                <w:lang w:val="en-GB" w:eastAsia="en-GB"/>
              </w:rPr>
              <w:t>carrier aggregation</w:t>
            </w:r>
            <w:r w:rsidRPr="0065127A">
              <w:rPr>
                <w:rFonts w:ascii="Times" w:eastAsia="Times New Roman" w:hAnsi="Times"/>
                <w:sz w:val="20"/>
                <w:szCs w:val="20"/>
                <w:lang w:val="en-GB" w:eastAsia="en-GB"/>
              </w:rPr>
              <w:t xml:space="preserve"> capability </w:t>
            </w:r>
            <w:r w:rsidRPr="0065127A">
              <w:rPr>
                <w:rFonts w:eastAsia="Times New Roman"/>
                <w:sz w:val="20"/>
                <w:szCs w:val="20"/>
                <w:lang w:val="en-GB" w:eastAsia="en-GB"/>
              </w:rPr>
              <w:t xml:space="preserve">included in the </w:t>
            </w:r>
            <w:r w:rsidRPr="0065127A">
              <w:rPr>
                <w:rFonts w:eastAsia="Times New Roman"/>
                <w:i/>
                <w:iCs/>
                <w:sz w:val="20"/>
                <w:szCs w:val="20"/>
                <w:lang w:val="en-GB" w:eastAsia="en-GB"/>
              </w:rPr>
              <w:t>UE-EUTRA-Capability</w:t>
            </w:r>
            <w:r w:rsidRPr="0065127A">
              <w:rPr>
                <w:rFonts w:eastAsia="Times New Roman"/>
                <w:sz w:val="20"/>
                <w:szCs w:val="20"/>
                <w:lang w:val="en-GB" w:eastAsia="en-GB"/>
              </w:rPr>
              <w:t xml:space="preserve"> </w:t>
            </w:r>
            <w:r w:rsidRPr="0065127A">
              <w:rPr>
                <w:rFonts w:ascii="Times" w:eastAsia="Times New Roman" w:hAnsi="Times"/>
                <w:sz w:val="20"/>
                <w:szCs w:val="20"/>
                <w:lang w:val="en-GB" w:eastAsia="en-GB"/>
              </w:rPr>
              <w:t>[12]</w:t>
            </w:r>
            <w:r w:rsidRPr="0065127A">
              <w:rPr>
                <w:rFonts w:eastAsia="Times New Roman"/>
                <w:sz w:val="20"/>
                <w:szCs w:val="20"/>
                <w:lang w:val="en-GB" w:eastAsia="en-GB"/>
              </w:rPr>
              <w:t>.</w:t>
            </w:r>
            <w:r>
              <w:rPr>
                <w:rFonts w:eastAsia="Times New Roman"/>
                <w:sz w:val="20"/>
                <w:szCs w:val="20"/>
                <w:lang w:val="en-GB" w:eastAsia="en-GB"/>
              </w:rPr>
              <w:t>”</w:t>
            </w:r>
          </w:p>
          <w:p w14:paraId="7EA29B57" w14:textId="77777777" w:rsidR="00F1378D" w:rsidRDefault="00F1378D" w:rsidP="00F1378D">
            <w:pPr>
              <w:spacing w:after="0"/>
              <w:rPr>
                <w:rFonts w:eastAsia="Malgun Gothic"/>
                <w:sz w:val="20"/>
                <w:szCs w:val="20"/>
                <w:lang w:eastAsia="ko-KR"/>
              </w:rPr>
            </w:pPr>
          </w:p>
          <w:p w14:paraId="3F2E5270" w14:textId="77777777" w:rsidR="00F1378D" w:rsidRDefault="00F1378D" w:rsidP="00F1378D">
            <w:pPr>
              <w:spacing w:after="0"/>
              <w:rPr>
                <w:rFonts w:eastAsia="Malgun Gothic"/>
                <w:sz w:val="20"/>
                <w:szCs w:val="20"/>
                <w:lang w:eastAsia="ko-KR"/>
              </w:rPr>
            </w:pPr>
            <w:r>
              <w:rPr>
                <w:rFonts w:eastAsia="Malgun Gothic" w:hint="eastAsia"/>
                <w:sz w:val="20"/>
                <w:szCs w:val="20"/>
                <w:lang w:eastAsia="ko-KR"/>
              </w:rPr>
              <w:t>[36.213 v14.5.0</w:t>
            </w:r>
            <w:r>
              <w:rPr>
                <w:rFonts w:eastAsia="Malgun Gothic"/>
                <w:sz w:val="20"/>
                <w:szCs w:val="20"/>
                <w:lang w:eastAsia="ko-KR"/>
              </w:rPr>
              <w:t>]</w:t>
            </w:r>
          </w:p>
          <w:p w14:paraId="6F1D7A03" w14:textId="77777777" w:rsidR="00F1378D" w:rsidRPr="002329CC" w:rsidRDefault="00F1378D" w:rsidP="00F1378D">
            <w:pPr>
              <w:rPr>
                <w:rFonts w:ascii="Times" w:hAnsi="Times"/>
                <w:sz w:val="20"/>
              </w:rPr>
            </w:pPr>
            <w:r>
              <w:rPr>
                <w:rFonts w:eastAsia="Malgun Gothic"/>
                <w:sz w:val="20"/>
                <w:szCs w:val="20"/>
                <w:lang w:eastAsia="ko-KR"/>
              </w:rPr>
              <w:t>“</w:t>
            </w:r>
            <w:r w:rsidRPr="002329CC">
              <w:rPr>
                <w:rFonts w:ascii="Times" w:hAnsi="Times"/>
                <w:sz w:val="20"/>
              </w:rPr>
              <w:t xml:space="preserve">For a TDD serving cell </w:t>
            </w:r>
            <w:r w:rsidRPr="002329CC">
              <w:rPr>
                <w:rFonts w:ascii="Times" w:hAnsi="Times"/>
                <w:i/>
                <w:sz w:val="20"/>
              </w:rPr>
              <w:t>d</w:t>
            </w:r>
            <w:r w:rsidRPr="002329CC">
              <w:rPr>
                <w:rFonts w:ascii="Times" w:hAnsi="Times"/>
                <w:sz w:val="20"/>
              </w:rPr>
              <w:t xml:space="preserve"> not configured for PUSCH/PUCCH transmission, denote as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w:t>
            </w:r>
            <w:r w:rsidRPr="002329CC">
              <w:rPr>
                <w:rFonts w:ascii="Times" w:hAnsi="Times"/>
                <w:i/>
                <w:sz w:val="20"/>
              </w:rPr>
              <w:t xml:space="preserve"> </w:t>
            </w:r>
            <w:r w:rsidRPr="002329CC">
              <w:rPr>
                <w:rFonts w:ascii="Times" w:hAnsi="Times"/>
                <w:sz w:val="20"/>
              </w:rPr>
              <w:t xml:space="preserve">the corresponding serving cell whose UL transmissions may be interrupted as signalled by </w:t>
            </w:r>
            <w:r w:rsidRPr="002329CC">
              <w:rPr>
                <w:rFonts w:ascii="Times" w:hAnsi="Times"/>
                <w:i/>
                <w:sz w:val="20"/>
              </w:rPr>
              <w:t>srs-SwitchFromServCellIndex</w:t>
            </w:r>
            <w:r w:rsidRPr="002329CC">
              <w:rPr>
                <w:rFonts w:ascii="Times" w:hAnsi="Times"/>
                <w:sz w:val="20"/>
              </w:rPr>
              <w:t xml:space="preserve">. Define the set </w:t>
            </w:r>
            <w:r w:rsidRPr="002329CC">
              <w:rPr>
                <w:rFonts w:ascii="Times" w:hAnsi="Times"/>
                <w:i/>
                <w:sz w:val="20"/>
              </w:rPr>
              <w:t>S</w:t>
            </w:r>
            <w:r w:rsidRPr="002329CC">
              <w:rPr>
                <w:rFonts w:ascii="Times" w:hAnsi="Times"/>
                <w:sz w:val="20"/>
              </w:rPr>
              <w:t>(</w:t>
            </w:r>
            <w:r w:rsidRPr="002329CC">
              <w:rPr>
                <w:rFonts w:ascii="Times" w:hAnsi="Times"/>
                <w:i/>
                <w:sz w:val="20"/>
              </w:rPr>
              <w:t>d</w:t>
            </w:r>
            <w:r w:rsidRPr="002329CC">
              <w:rPr>
                <w:rFonts w:ascii="Times" w:hAnsi="Times"/>
                <w:sz w:val="20"/>
              </w:rPr>
              <w:t>)</w:t>
            </w:r>
            <w:r w:rsidRPr="002329CC">
              <w:rPr>
                <w:rFonts w:ascii="Times" w:hAnsi="Times"/>
                <w:i/>
                <w:sz w:val="20"/>
              </w:rPr>
              <w:t>=</w:t>
            </w:r>
            <w:r w:rsidRPr="002329CC">
              <w:rPr>
                <w:sz w:val="20"/>
              </w:rPr>
              <w:t xml:space="preserve">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 xml:space="preserve">)… </w:t>
            </w:r>
            <w:r w:rsidRPr="002329CC">
              <w:rPr>
                <w:i/>
                <w:sz w:val="20"/>
              </w:rPr>
              <w:t>s</w:t>
            </w:r>
            <w:r w:rsidRPr="002329CC">
              <w:rPr>
                <w:sz w:val="20"/>
                <w:vertAlign w:val="subscript"/>
              </w:rPr>
              <w:t>N-1</w:t>
            </w:r>
            <w:r w:rsidRPr="002329CC">
              <w:rPr>
                <w:sz w:val="20"/>
              </w:rPr>
              <w:t>(</w:t>
            </w:r>
            <w:r w:rsidRPr="002329CC">
              <w:rPr>
                <w:i/>
                <w:sz w:val="20"/>
              </w:rPr>
              <w:t>d</w:t>
            </w:r>
            <w:r w:rsidRPr="002329CC">
              <w:rPr>
                <w:sz w:val="20"/>
              </w:rPr>
              <w:t xml:space="preserve">)} </w:t>
            </w:r>
            <w:r w:rsidRPr="002329CC">
              <w:rPr>
                <w:rFonts w:ascii="Times" w:hAnsi="Times"/>
                <w:sz w:val="20"/>
              </w:rPr>
              <w:t xml:space="preserve">as the set of serving cells that meet the all the </w:t>
            </w:r>
            <w:r w:rsidRPr="002329CC">
              <w:rPr>
                <w:rFonts w:ascii="Times" w:hAnsi="Times"/>
                <w:sz w:val="20"/>
              </w:rPr>
              <w:lastRenderedPageBreak/>
              <w:t>following conditions:</w:t>
            </w:r>
          </w:p>
          <w:p w14:paraId="58DEB16F"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band as </w:t>
            </w:r>
            <w:r w:rsidRPr="002329CC">
              <w:rPr>
                <w:i/>
                <w:sz w:val="18"/>
              </w:rPr>
              <w:t>s</w:t>
            </w:r>
            <w:r w:rsidRPr="002329CC">
              <w:rPr>
                <w:sz w:val="18"/>
                <w:vertAlign w:val="subscript"/>
              </w:rPr>
              <w:t>0</w:t>
            </w:r>
            <w:r w:rsidRPr="002329CC">
              <w:rPr>
                <w:sz w:val="18"/>
              </w:rPr>
              <w:t>(</w:t>
            </w:r>
            <w:r w:rsidRPr="002329CC">
              <w:rPr>
                <w:i/>
                <w:sz w:val="18"/>
              </w:rPr>
              <w:t>d</w:t>
            </w:r>
            <w:r w:rsidRPr="002329CC">
              <w:rPr>
                <w:sz w:val="18"/>
              </w:rPr>
              <w:t>).</w:t>
            </w:r>
          </w:p>
          <w:p w14:paraId="7249E256"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have the same CP as </w:t>
            </w:r>
            <w:r w:rsidRPr="002329CC">
              <w:rPr>
                <w:i/>
                <w:sz w:val="18"/>
              </w:rPr>
              <w:t>s</w:t>
            </w:r>
            <w:r w:rsidRPr="002329CC">
              <w:rPr>
                <w:sz w:val="18"/>
                <w:vertAlign w:val="subscript"/>
              </w:rPr>
              <w:t>0</w:t>
            </w:r>
            <w:r w:rsidRPr="002329CC">
              <w:rPr>
                <w:sz w:val="18"/>
              </w:rPr>
              <w:t>(d).</w:t>
            </w:r>
          </w:p>
          <w:p w14:paraId="177CF67B"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TAG as </w:t>
            </w:r>
            <w:r w:rsidRPr="002329CC">
              <w:rPr>
                <w:i/>
                <w:sz w:val="18"/>
              </w:rPr>
              <w:t>s</w:t>
            </w:r>
            <w:r w:rsidRPr="002329CC">
              <w:rPr>
                <w:sz w:val="18"/>
                <w:vertAlign w:val="subscript"/>
              </w:rPr>
              <w:t>0</w:t>
            </w:r>
            <w:r w:rsidRPr="002329CC">
              <w:rPr>
                <w:sz w:val="18"/>
              </w:rPr>
              <w:t>(d).</w:t>
            </w:r>
          </w:p>
          <w:p w14:paraId="30087C44" w14:textId="77777777" w:rsidR="00F1378D" w:rsidRPr="002329CC" w:rsidRDefault="00F1378D" w:rsidP="00F1378D">
            <w:pPr>
              <w:tabs>
                <w:tab w:val="left" w:pos="450"/>
              </w:tabs>
              <w:rPr>
                <w:sz w:val="20"/>
              </w:rPr>
            </w:pPr>
            <w:r w:rsidRPr="002329CC">
              <w:rPr>
                <w:sz w:val="20"/>
              </w:rPr>
              <w:t xml:space="preserve">The following prioritization rules shall be applied when transmitting SRS over serving cell </w:t>
            </w:r>
            <w:r w:rsidRPr="002329CC">
              <w:rPr>
                <w:i/>
                <w:sz w:val="20"/>
              </w:rPr>
              <w:t>d</w:t>
            </w:r>
            <w:r w:rsidRPr="002329CC">
              <w:rPr>
                <w:sz w:val="20"/>
              </w:rPr>
              <w:t xml:space="preserve"> when the simultaneous transmission of SRS and other signal/channel would result in </w:t>
            </w:r>
            <w:r w:rsidRPr="002329CC">
              <w:rPr>
                <w:rFonts w:ascii="Times" w:hAnsi="Times"/>
                <w:sz w:val="20"/>
              </w:rPr>
              <w:t xml:space="preserve">uplink transmissions beyond the UE's indicated uplink </w:t>
            </w:r>
            <w:r w:rsidRPr="002329CC">
              <w:rPr>
                <w:sz w:val="20"/>
              </w:rPr>
              <w:t>carrier aggregation</w:t>
            </w:r>
            <w:r w:rsidRPr="002329CC">
              <w:rPr>
                <w:rFonts w:ascii="Times" w:hAnsi="Times"/>
                <w:sz w:val="20"/>
              </w:rPr>
              <w:t xml:space="preserve"> capability </w:t>
            </w:r>
            <w:r w:rsidRPr="002329CC">
              <w:rPr>
                <w:sz w:val="20"/>
              </w:rPr>
              <w:t xml:space="preserve">included in the </w:t>
            </w:r>
            <w:r w:rsidRPr="002329CC">
              <w:rPr>
                <w:i/>
                <w:iCs/>
                <w:sz w:val="20"/>
              </w:rPr>
              <w:t>UE-EUTRA-Capability</w:t>
            </w:r>
            <w:r w:rsidRPr="002329CC">
              <w:rPr>
                <w:sz w:val="20"/>
              </w:rPr>
              <w:t xml:space="preserve"> </w:t>
            </w:r>
            <w:r w:rsidRPr="002329CC">
              <w:rPr>
                <w:rFonts w:ascii="Times" w:hAnsi="Times"/>
                <w:sz w:val="20"/>
              </w:rPr>
              <w:t>[12]</w:t>
            </w:r>
            <w:r w:rsidRPr="002329CC">
              <w:rPr>
                <w:sz w:val="20"/>
              </w:rPr>
              <w:t>:</w:t>
            </w:r>
          </w:p>
          <w:p w14:paraId="5093FD4A" w14:textId="77777777" w:rsidR="00F1378D" w:rsidRPr="002329CC" w:rsidRDefault="00F1378D" w:rsidP="00F1378D">
            <w:pPr>
              <w:pStyle w:val="B1"/>
              <w:rPr>
                <w:sz w:val="18"/>
              </w:rPr>
            </w:pPr>
            <w:r w:rsidRPr="002329CC">
              <w:rPr>
                <w:sz w:val="18"/>
              </w:rPr>
              <w:t>-</w:t>
            </w:r>
            <w:r w:rsidRPr="002329CC">
              <w:rPr>
                <w:sz w:val="18"/>
              </w:rPr>
              <w:tab/>
              <w:t>If PUSCH/PUCCH transmission carrying HARQ-ACK/positive SR/</w:t>
            </w:r>
            <w:r w:rsidRPr="002329CC">
              <w:rPr>
                <w:rFonts w:eastAsia="MS Mincho"/>
                <w:sz w:val="18"/>
                <w:lang w:eastAsia="ja-JP"/>
              </w:rPr>
              <w:t>RI/PTI/CRI</w:t>
            </w:r>
            <w:r w:rsidRPr="002329CC">
              <w:rPr>
                <w:sz w:val="18"/>
              </w:rPr>
              <w:t xml:space="preserve"> and/or PRACH on a serving cell in set </w:t>
            </w:r>
            <w:r w:rsidRPr="002329CC">
              <w:rPr>
                <w:i/>
                <w:sz w:val="18"/>
              </w:rPr>
              <w:t xml:space="preserve">S(d) </w:t>
            </w:r>
            <w:r w:rsidRPr="002329CC">
              <w:rPr>
                <w:sz w:val="18"/>
              </w:rPr>
              <w:t xml:space="preserve">overlaps in the same symbol with the SRS transmission (including any interruption due to uplink or downlink RF retuning time [10]) on serving cell </w:t>
            </w:r>
            <w:r w:rsidRPr="002329CC">
              <w:rPr>
                <w:i/>
                <w:sz w:val="18"/>
              </w:rPr>
              <w:t>d</w:t>
            </w:r>
            <w:r w:rsidRPr="002329CC">
              <w:rPr>
                <w:sz w:val="18"/>
              </w:rPr>
              <w:t>, then the UE shall not transmit SRS. Otherwise,</w:t>
            </w:r>
          </w:p>
          <w:p w14:paraId="5868EFC0" w14:textId="77777777" w:rsidR="00F1378D" w:rsidRDefault="00F1378D" w:rsidP="00F1378D">
            <w:pPr>
              <w:pStyle w:val="B1"/>
              <w:rPr>
                <w:rFonts w:eastAsia="Malgun Gothic"/>
                <w:lang w:eastAsia="ko-KR"/>
              </w:rPr>
            </w:pPr>
            <w:r w:rsidRPr="002329CC">
              <w:rPr>
                <w:sz w:val="18"/>
              </w:rPr>
              <w:t>- …</w:t>
            </w:r>
            <w:r>
              <w:rPr>
                <w:rFonts w:eastAsia="Malgun Gothic"/>
                <w:lang w:eastAsia="ko-KR"/>
              </w:rPr>
              <w:t>”</w:t>
            </w:r>
          </w:p>
          <w:p w14:paraId="4CC279DB" w14:textId="77777777" w:rsidR="00F1378D" w:rsidRDefault="00F1378D" w:rsidP="00F1378D">
            <w:pPr>
              <w:spacing w:after="0"/>
              <w:rPr>
                <w:rFonts w:eastAsia="Malgun Gothic"/>
                <w:sz w:val="20"/>
                <w:szCs w:val="20"/>
                <w:lang w:eastAsia="ko-KR"/>
              </w:rPr>
            </w:pPr>
          </w:p>
          <w:p w14:paraId="5BC9AFFB" w14:textId="563D20EE" w:rsidR="00F1378D" w:rsidRDefault="00F1378D" w:rsidP="00F1378D">
            <w:pPr>
              <w:spacing w:after="0"/>
              <w:rPr>
                <w:rFonts w:eastAsia="Malgun Gothic"/>
                <w:sz w:val="20"/>
                <w:szCs w:val="20"/>
                <w:lang w:eastAsia="ko-KR"/>
              </w:rPr>
            </w:pPr>
            <w:r>
              <w:rPr>
                <w:rFonts w:eastAsia="Malgun Gothic"/>
                <w:sz w:val="20"/>
                <w:szCs w:val="20"/>
                <w:lang w:eastAsia="ko-KR"/>
              </w:rPr>
              <w:t xml:space="preserve">As above part of 36.213 v14.5.0, the agreement in RAN1#90 was updated and the other enhancements for LTE </w:t>
            </w:r>
            <w:r w:rsidR="00122BC3">
              <w:rPr>
                <w:rFonts w:eastAsia="Malgun Gothic"/>
                <w:sz w:val="20"/>
                <w:szCs w:val="20"/>
                <w:lang w:eastAsia="ko-KR"/>
              </w:rPr>
              <w:t>(e</w:t>
            </w:r>
            <w:r>
              <w:rPr>
                <w:rFonts w:eastAsia="Malgun Gothic"/>
                <w:sz w:val="20"/>
                <w:szCs w:val="20"/>
                <w:lang w:eastAsia="ko-KR"/>
              </w:rPr>
              <w:t>.</w:t>
            </w:r>
            <w:r w:rsidR="00122BC3">
              <w:rPr>
                <w:rFonts w:eastAsia="Malgun Gothic"/>
                <w:sz w:val="20"/>
                <w:szCs w:val="20"/>
                <w:lang w:eastAsia="ko-KR"/>
              </w:rPr>
              <w:t>g</w:t>
            </w:r>
            <w:r>
              <w:rPr>
                <w:rFonts w:eastAsia="Malgun Gothic"/>
                <w:sz w:val="20"/>
                <w:szCs w:val="20"/>
                <w:lang w:eastAsia="ko-KR"/>
              </w:rPr>
              <w:t>.</w:t>
            </w:r>
            <w:r w:rsidR="00122BC3">
              <w:rPr>
                <w:rFonts w:eastAsia="Malgun Gothic"/>
                <w:sz w:val="20"/>
                <w:szCs w:val="20"/>
                <w:lang w:eastAsia="ko-KR"/>
              </w:rPr>
              <w:t>,</w:t>
            </w:r>
            <w:r>
              <w:rPr>
                <w:rFonts w:eastAsia="Malgun Gothic"/>
                <w:sz w:val="20"/>
                <w:szCs w:val="20"/>
                <w:lang w:eastAsia="ko-KR"/>
              </w:rPr>
              <w:t xml:space="preserve"> </w:t>
            </w:r>
            <w:r w:rsidRPr="0065127A">
              <w:rPr>
                <w:rFonts w:eastAsia="Malgun Gothic"/>
                <w:sz w:val="20"/>
                <w:szCs w:val="20"/>
                <w:lang w:eastAsia="ko-KR"/>
              </w:rPr>
              <w:t>Corrections related to capabilities for SRS Carrier Switching</w:t>
            </w:r>
            <w:r>
              <w:rPr>
                <w:rFonts w:eastAsia="Malgun Gothic"/>
                <w:sz w:val="20"/>
                <w:szCs w:val="20"/>
                <w:lang w:eastAsia="ko-KR"/>
              </w:rPr>
              <w:t xml:space="preserve"> for 36.213 14.8.0) were updated independently of NR. But, NR specification was not modified as LTE’s updates. As a result, LTE </w:t>
            </w:r>
            <w:r w:rsidR="006F79F5">
              <w:rPr>
                <w:rFonts w:eastAsia="Malgun Gothic"/>
                <w:sz w:val="20"/>
                <w:szCs w:val="20"/>
                <w:lang w:eastAsia="ko-KR"/>
              </w:rPr>
              <w:t xml:space="preserve">spec </w:t>
            </w:r>
            <w:r>
              <w:rPr>
                <w:rFonts w:eastAsia="Malgun Gothic"/>
                <w:sz w:val="20"/>
                <w:szCs w:val="20"/>
                <w:lang w:eastAsia="ko-KR"/>
              </w:rPr>
              <w:t xml:space="preserve">and NR spec </w:t>
            </w:r>
            <w:r w:rsidR="006F79F5">
              <w:rPr>
                <w:rFonts w:eastAsia="Malgun Gothic"/>
                <w:sz w:val="20"/>
                <w:szCs w:val="20"/>
                <w:lang w:eastAsia="ko-KR"/>
              </w:rPr>
              <w:t xml:space="preserve">for SRS carrier switching </w:t>
            </w:r>
            <w:r>
              <w:rPr>
                <w:rFonts w:eastAsia="Malgun Gothic"/>
                <w:sz w:val="20"/>
                <w:szCs w:val="20"/>
                <w:lang w:eastAsia="ko-KR"/>
              </w:rPr>
              <w:t xml:space="preserve">becomes </w:t>
            </w:r>
            <w:r w:rsidR="006F79F5">
              <w:rPr>
                <w:rFonts w:eastAsia="Malgun Gothic"/>
                <w:sz w:val="20"/>
                <w:szCs w:val="20"/>
                <w:lang w:eastAsia="ko-KR"/>
              </w:rPr>
              <w:t>different</w:t>
            </w:r>
            <w:r>
              <w:rPr>
                <w:rFonts w:eastAsia="Malgun Gothic"/>
                <w:sz w:val="20"/>
                <w:szCs w:val="20"/>
                <w:lang w:eastAsia="ko-KR"/>
              </w:rPr>
              <w:t xml:space="preserve">. </w:t>
            </w:r>
          </w:p>
          <w:p w14:paraId="63711FD3" w14:textId="77777777" w:rsidR="00F1378D" w:rsidRDefault="00F1378D" w:rsidP="00F1378D">
            <w:pPr>
              <w:spacing w:after="0"/>
              <w:rPr>
                <w:rFonts w:eastAsia="Malgun Gothic"/>
                <w:sz w:val="20"/>
                <w:szCs w:val="20"/>
                <w:lang w:eastAsia="ko-KR"/>
              </w:rPr>
            </w:pPr>
          </w:p>
          <w:p w14:paraId="05DED439" w14:textId="77777777" w:rsidR="00F1378D" w:rsidRDefault="00F1378D" w:rsidP="00F1378D">
            <w:pPr>
              <w:spacing w:after="0"/>
              <w:rPr>
                <w:rFonts w:eastAsia="Malgun Gothic"/>
                <w:sz w:val="20"/>
                <w:szCs w:val="20"/>
                <w:lang w:eastAsia="ko-KR"/>
              </w:rPr>
            </w:pPr>
            <w:r>
              <w:rPr>
                <w:rFonts w:eastAsia="Malgun Gothic"/>
                <w:sz w:val="20"/>
                <w:szCs w:val="20"/>
                <w:lang w:eastAsia="ko-KR"/>
              </w:rPr>
              <w:t xml:space="preserve">Based on the above history, we are not sure that there is no NBC issue for NR SRS carrier switching if we adopt this CR. So, we should check the NBC carefully and then decide whether this CR can be adopted or not. </w:t>
            </w:r>
          </w:p>
          <w:p w14:paraId="5C67E53A" w14:textId="77777777" w:rsidR="00DC1A10" w:rsidRPr="00004E89" w:rsidRDefault="00DC1A10" w:rsidP="00BE2EBA">
            <w:pPr>
              <w:spacing w:after="0"/>
              <w:rPr>
                <w:sz w:val="20"/>
                <w:szCs w:val="20"/>
              </w:rPr>
            </w:pPr>
          </w:p>
        </w:tc>
      </w:tr>
      <w:tr w:rsidR="00DC1A10" w:rsidRPr="00004E89" w14:paraId="6CB9331B" w14:textId="77777777" w:rsidTr="00597F65">
        <w:trPr>
          <w:trHeight w:val="20"/>
        </w:trPr>
        <w:tc>
          <w:tcPr>
            <w:tcW w:w="807" w:type="pct"/>
            <w:vAlign w:val="center"/>
          </w:tcPr>
          <w:p w14:paraId="44C3218B" w14:textId="04F824D1" w:rsidR="00DC1A10" w:rsidRPr="00004E89" w:rsidRDefault="00DA3D04" w:rsidP="00BE2EBA">
            <w:pPr>
              <w:spacing w:after="0"/>
              <w:jc w:val="center"/>
              <w:rPr>
                <w:sz w:val="20"/>
                <w:szCs w:val="20"/>
              </w:rPr>
            </w:pPr>
            <w:r>
              <w:rPr>
                <w:sz w:val="20"/>
                <w:szCs w:val="20"/>
              </w:rPr>
              <w:lastRenderedPageBreak/>
              <w:t>Huawei/HiSilicon</w:t>
            </w:r>
          </w:p>
        </w:tc>
        <w:tc>
          <w:tcPr>
            <w:tcW w:w="789" w:type="pct"/>
          </w:tcPr>
          <w:p w14:paraId="0CEAB681" w14:textId="3EA91B20" w:rsidR="00DC1A10" w:rsidRPr="00004E89" w:rsidRDefault="00DA3D04" w:rsidP="00BE2EBA">
            <w:pPr>
              <w:spacing w:after="0"/>
              <w:rPr>
                <w:sz w:val="20"/>
                <w:szCs w:val="20"/>
              </w:rPr>
            </w:pPr>
            <w:r>
              <w:rPr>
                <w:sz w:val="20"/>
                <w:szCs w:val="20"/>
              </w:rPr>
              <w:t>Yes</w:t>
            </w:r>
          </w:p>
        </w:tc>
        <w:tc>
          <w:tcPr>
            <w:tcW w:w="3403" w:type="pct"/>
            <w:vAlign w:val="center"/>
          </w:tcPr>
          <w:p w14:paraId="726DD646" w14:textId="77777777" w:rsidR="00DC1A10" w:rsidRDefault="00DA3D04" w:rsidP="00BE2EBA">
            <w:pPr>
              <w:spacing w:after="0"/>
              <w:rPr>
                <w:sz w:val="20"/>
                <w:szCs w:val="20"/>
              </w:rPr>
            </w:pPr>
            <w:r>
              <w:rPr>
                <w:sz w:val="20"/>
                <w:szCs w:val="20"/>
              </w:rPr>
              <w:t>Thank you for the comments. Herein, we try to clarify some issues brought up so far:</w:t>
            </w:r>
          </w:p>
          <w:p w14:paraId="48AA18AA" w14:textId="214476BC" w:rsidR="00DA3D04" w:rsidRPr="00D52BD1" w:rsidRDefault="00DA3D04" w:rsidP="00F60F36">
            <w:pPr>
              <w:pStyle w:val="ListParagraph"/>
              <w:numPr>
                <w:ilvl w:val="0"/>
                <w:numId w:val="34"/>
              </w:numPr>
              <w:spacing w:after="0"/>
              <w:ind w:firstLineChars="0"/>
              <w:rPr>
                <w:sz w:val="20"/>
                <w:szCs w:val="20"/>
              </w:rPr>
            </w:pPr>
            <w:r>
              <w:rPr>
                <w:sz w:val="20"/>
                <w:szCs w:val="20"/>
              </w:rPr>
              <w:t xml:space="preserve">NBC issue (by ZTE </w:t>
            </w:r>
            <w:r w:rsidR="00A848CA">
              <w:rPr>
                <w:sz w:val="20"/>
                <w:szCs w:val="20"/>
              </w:rPr>
              <w:t xml:space="preserve">comment#1 </w:t>
            </w:r>
            <w:r>
              <w:rPr>
                <w:sz w:val="20"/>
                <w:szCs w:val="20"/>
              </w:rPr>
              <w:t xml:space="preserve">and Samsung): We do not see how the proposed CR can cause an NBC issue. As per the aforementioned agreement in RAN1#90, PA is shared among all cells belonging to S(d). Therefore, </w:t>
            </w:r>
            <w:r w:rsidR="00CA3DE9">
              <w:rPr>
                <w:sz w:val="20"/>
                <w:szCs w:val="20"/>
              </w:rPr>
              <w:t>if</w:t>
            </w:r>
            <w:r>
              <w:rPr>
                <w:sz w:val="20"/>
                <w:szCs w:val="20"/>
              </w:rPr>
              <w:t xml:space="preserve"> PA is “borrowed” from s_0(d) that is indicated in </w:t>
            </w:r>
            <w:r w:rsidRPr="002329CC">
              <w:rPr>
                <w:rFonts w:ascii="Times" w:hAnsi="Times"/>
                <w:i/>
                <w:sz w:val="20"/>
              </w:rPr>
              <w:t>srs-SwitchFromServCellIndex</w:t>
            </w:r>
            <w:r>
              <w:rPr>
                <w:rFonts w:ascii="Times" w:hAnsi="Times"/>
                <w:sz w:val="20"/>
              </w:rPr>
              <w:t xml:space="preserve"> to transmit carrier switching SRS in carrier d, the PA would be in fact be borrowed from all cells </w:t>
            </w:r>
            <w:r w:rsidR="002F4A8E">
              <w:rPr>
                <w:rFonts w:ascii="Times" w:hAnsi="Times"/>
                <w:sz w:val="20"/>
              </w:rPr>
              <w:t xml:space="preserve">in S(d). This is a behavior that, in practice, UE </w:t>
            </w:r>
            <w:r w:rsidR="00CA3DE9">
              <w:rPr>
                <w:rFonts w:ascii="Times" w:hAnsi="Times"/>
                <w:sz w:val="20"/>
              </w:rPr>
              <w:t>has</w:t>
            </w:r>
            <w:r w:rsidR="002F4A8E">
              <w:rPr>
                <w:rFonts w:ascii="Times" w:hAnsi="Times"/>
                <w:sz w:val="20"/>
              </w:rPr>
              <w:t xml:space="preserve"> even if it is not explicitly mentioned in the specifications. This CR only tries to specify this behavior that UE, anyway, would show in practice. This is exactly the same reason that a similar agreement was made in LTE as reflected in changes in </w:t>
            </w:r>
            <w:r w:rsidR="002F4A8E">
              <w:rPr>
                <w:rFonts w:eastAsia="Malgun Gothic"/>
                <w:sz w:val="20"/>
                <w:szCs w:val="20"/>
                <w:lang w:eastAsia="ko-KR"/>
              </w:rPr>
              <w:t xml:space="preserve">36.213 </w:t>
            </w:r>
            <w:r w:rsidR="002F4A8E">
              <w:rPr>
                <w:rFonts w:eastAsia="Malgun Gothic" w:hint="eastAsia"/>
                <w:sz w:val="20"/>
                <w:szCs w:val="20"/>
                <w:lang w:eastAsia="ko-KR"/>
              </w:rPr>
              <w:t>v14.5.0</w:t>
            </w:r>
            <w:r w:rsidR="002F4A8E">
              <w:rPr>
                <w:rFonts w:eastAsia="Malgun Gothic"/>
                <w:sz w:val="20"/>
                <w:szCs w:val="20"/>
                <w:lang w:eastAsia="ko-KR"/>
              </w:rPr>
              <w:t xml:space="preserve">. Further, CR relaxes the stringent current priority conditions in 38.214 to something that is more relaxed and aligned with UE’s actual </w:t>
            </w:r>
            <w:r w:rsidR="00F60F36">
              <w:rPr>
                <w:rFonts w:ascii="Times" w:hAnsi="Times"/>
                <w:sz w:val="20"/>
              </w:rPr>
              <w:t>behavior</w:t>
            </w:r>
            <w:r w:rsidR="002F4A8E" w:rsidRPr="002F4A8E">
              <w:rPr>
                <w:rFonts w:ascii="Times" w:hAnsi="Times"/>
                <w:sz w:val="20"/>
              </w:rPr>
              <w:t>: For instance, “</w:t>
            </w:r>
            <w:r w:rsidR="002F4A8E" w:rsidRPr="002F4A8E">
              <w:rPr>
                <w:rFonts w:ascii="Times" w:hAnsi="Times"/>
                <w:sz w:val="20"/>
              </w:rPr>
              <w:t>the UE shall drop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w:t>
            </w:r>
            <w:ins w:id="3" w:author="Huawei" w:date="2021-02-09T14:36:00Z">
              <w:r w:rsidR="002F4A8E" w:rsidRPr="002F4A8E">
                <w:rPr>
                  <w:rFonts w:ascii="Times" w:hAnsi="Times"/>
                  <w:sz w:val="20"/>
                </w:rPr>
                <w:t xml:space="preserve">on a carrier of a serving cell in set S(d) </w:t>
              </w:r>
            </w:ins>
            <w:r w:rsidR="002F4A8E" w:rsidRPr="002F4A8E">
              <w:rPr>
                <w:rFonts w:ascii="Times" w:hAnsi="Times"/>
                <w:sz w:val="20"/>
              </w:rPr>
              <w:t>whenever the transmission and aperiodic SRS transmission</w:t>
            </w:r>
            <w:r w:rsidR="002F4A8E" w:rsidRPr="002F4A8E">
              <w:rPr>
                <w:rFonts w:ascii="Times" w:hAnsi="Times"/>
                <w:sz w:val="20"/>
              </w:rPr>
              <w:t xml:space="preserve"> […] </w:t>
            </w:r>
            <w:r w:rsidR="002F4A8E" w:rsidRPr="002F4A8E">
              <w:rPr>
                <w:rFonts w:ascii="Times" w:hAnsi="Times"/>
                <w:sz w:val="20"/>
              </w:rPr>
              <w:t xml:space="preserve">on the carrier of the serving cell </w:t>
            </w:r>
            <w:ins w:id="4" w:author="Huawei" w:date="2021-02-09T14:36:00Z">
              <w:r w:rsidR="002F4A8E" w:rsidRPr="002F4A8E">
                <w:rPr>
                  <w:rFonts w:ascii="Times" w:hAnsi="Times"/>
                  <w:sz w:val="20"/>
                </w:rPr>
                <w:t xml:space="preserve">d </w:t>
              </w:r>
            </w:ins>
            <w:r w:rsidR="002F4A8E" w:rsidRPr="002F4A8E">
              <w:rPr>
                <w:rFonts w:ascii="Times" w:hAnsi="Times"/>
                <w:sz w:val="20"/>
              </w:rPr>
              <w:t>happen to overlap in the same symbol</w:t>
            </w:r>
            <w:r w:rsidR="002F4A8E" w:rsidRPr="002F4A8E">
              <w:rPr>
                <w:rFonts w:ascii="Times" w:hAnsi="Times"/>
                <w:sz w:val="20"/>
              </w:rPr>
              <w:t xml:space="preserve">” instead of dropping the </w:t>
            </w:r>
            <w:r w:rsidR="002F4A8E" w:rsidRPr="002F4A8E">
              <w:rPr>
                <w:rFonts w:ascii="Times" w:hAnsi="Times"/>
                <w:sz w:val="20"/>
              </w:rPr>
              <w:t>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on</w:t>
            </w:r>
            <w:r w:rsidR="00CA3DE9">
              <w:rPr>
                <w:rFonts w:ascii="Times" w:hAnsi="Times"/>
                <w:sz w:val="20"/>
              </w:rPr>
              <w:t xml:space="preserve"> </w:t>
            </w:r>
            <w:r w:rsidR="00CA3DE9" w:rsidRPr="00CA3DE9">
              <w:rPr>
                <w:rFonts w:ascii="Times" w:hAnsi="Times"/>
                <w:sz w:val="20"/>
                <w:u w:val="single"/>
              </w:rPr>
              <w:t>only</w:t>
            </w:r>
            <w:r w:rsidR="002F4A8E" w:rsidRPr="00CA3DE9">
              <w:rPr>
                <w:rFonts w:ascii="Times" w:hAnsi="Times"/>
                <w:sz w:val="20"/>
                <w:u w:val="single"/>
              </w:rPr>
              <w:t xml:space="preserve"> s</w:t>
            </w:r>
            <w:r w:rsidR="002F4A8E" w:rsidRPr="00CA3DE9">
              <w:rPr>
                <w:rFonts w:ascii="Times" w:hAnsi="Times"/>
                <w:sz w:val="20"/>
                <w:u w:val="single"/>
              </w:rPr>
              <w:t>_0(d)</w:t>
            </w:r>
            <w:r w:rsidR="002F4A8E" w:rsidRPr="002F4A8E">
              <w:rPr>
                <w:rFonts w:ascii="Times" w:hAnsi="Times"/>
                <w:sz w:val="20"/>
              </w:rPr>
              <w:t xml:space="preserve"> as the current spec indicate. </w:t>
            </w:r>
          </w:p>
          <w:p w14:paraId="5A4CFDE2" w14:textId="77777777" w:rsidR="00D52BD1" w:rsidRPr="00F60F36" w:rsidRDefault="00D52BD1" w:rsidP="00D52BD1">
            <w:pPr>
              <w:pStyle w:val="ListParagraph"/>
              <w:spacing w:after="0"/>
              <w:ind w:left="720" w:firstLineChars="0" w:firstLine="0"/>
              <w:rPr>
                <w:sz w:val="20"/>
                <w:szCs w:val="20"/>
              </w:rPr>
            </w:pPr>
          </w:p>
          <w:p w14:paraId="22A80B0E" w14:textId="77777777" w:rsidR="00F60F36" w:rsidRDefault="00A848CA" w:rsidP="00F60F36">
            <w:pPr>
              <w:pStyle w:val="ListParagraph"/>
              <w:numPr>
                <w:ilvl w:val="0"/>
                <w:numId w:val="34"/>
              </w:numPr>
              <w:spacing w:after="0"/>
              <w:ind w:firstLineChars="0"/>
              <w:rPr>
                <w:sz w:val="20"/>
                <w:szCs w:val="20"/>
              </w:rPr>
            </w:pPr>
            <w:r>
              <w:rPr>
                <w:sz w:val="20"/>
                <w:szCs w:val="20"/>
              </w:rPr>
              <w:t xml:space="preserve">ZTE comment#2: In fact, as Samsung also brought up the relevant part of the LTE spec, originally, 36.213 had a similar text as the current 38.214 6.2.1.3: </w:t>
            </w:r>
          </w:p>
          <w:p w14:paraId="027C6D22" w14:textId="08846616" w:rsidR="00A848CA" w:rsidRDefault="00A848CA" w:rsidP="00D52BD1">
            <w:pPr>
              <w:pStyle w:val="ListParagraph"/>
              <w:spacing w:after="0"/>
              <w:ind w:left="720" w:firstLineChars="0" w:firstLine="0"/>
              <w:rPr>
                <w:rFonts w:ascii="Times" w:eastAsia="Times New Roman" w:hAnsi="Times"/>
                <w:sz w:val="20"/>
                <w:szCs w:val="20"/>
                <w:lang w:val="en-GB" w:eastAsia="en-GB"/>
              </w:rPr>
            </w:pPr>
            <w:r>
              <w:rPr>
                <w:rFonts w:eastAsia="Times New Roman"/>
                <w:sz w:val="20"/>
                <w:szCs w:val="20"/>
                <w:lang w:val="en-GB" w:eastAsia="en-GB"/>
              </w:rPr>
              <w:t xml:space="preserve">[36.213 v14.4.0]: “…. </w:t>
            </w:r>
            <w:r w:rsidRPr="0065127A">
              <w:rPr>
                <w:rFonts w:eastAsia="Times New Roman"/>
                <w:sz w:val="20"/>
                <w:szCs w:val="20"/>
                <w:lang w:val="en-GB" w:eastAsia="en-GB"/>
              </w:rPr>
              <w:t>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A848CA">
              <w:rPr>
                <w:rFonts w:eastAsia="Times New Roman"/>
                <w:sz w:val="20"/>
                <w:szCs w:val="20"/>
                <w:highlight w:val="yellow"/>
                <w:lang w:val="en-GB" w:eastAsia="en-GB"/>
              </w:rPr>
              <w:t xml:space="preserve">and that can result </w:t>
            </w:r>
            <w:r w:rsidRPr="00A848CA">
              <w:rPr>
                <w:rFonts w:ascii="Times" w:eastAsia="Times New Roman" w:hAnsi="Times"/>
                <w:sz w:val="20"/>
                <w:szCs w:val="20"/>
                <w:highlight w:val="yellow"/>
                <w:lang w:val="en-GB" w:eastAsia="en-GB"/>
              </w:rPr>
              <w:t xml:space="preserve">in uplink transmissions beyond the UE’s </w:t>
            </w:r>
            <w:r w:rsidRPr="00A848CA">
              <w:rPr>
                <w:rFonts w:ascii="Times" w:eastAsia="Times New Roman" w:hAnsi="Times"/>
                <w:sz w:val="20"/>
                <w:szCs w:val="20"/>
                <w:highlight w:val="yellow"/>
                <w:lang w:val="en-GB" w:eastAsia="en-GB"/>
              </w:rPr>
              <w:lastRenderedPageBreak/>
              <w:t xml:space="preserve">indicated uplink </w:t>
            </w:r>
            <w:r w:rsidRPr="00A848CA">
              <w:rPr>
                <w:rFonts w:eastAsia="Times New Roman"/>
                <w:sz w:val="20"/>
                <w:szCs w:val="20"/>
                <w:highlight w:val="yellow"/>
                <w:lang w:val="en-GB" w:eastAsia="en-GB"/>
              </w:rPr>
              <w:t>carrier aggregation</w:t>
            </w:r>
            <w:r w:rsidRPr="00A848CA">
              <w:rPr>
                <w:rFonts w:ascii="Times" w:eastAsia="Times New Roman" w:hAnsi="Times"/>
                <w:sz w:val="20"/>
                <w:szCs w:val="20"/>
                <w:highlight w:val="yellow"/>
                <w:lang w:val="en-GB" w:eastAsia="en-GB"/>
              </w:rPr>
              <w:t xml:space="preserve"> capability </w:t>
            </w:r>
            <w:r w:rsidRPr="00A848CA">
              <w:rPr>
                <w:rFonts w:eastAsia="Times New Roman"/>
                <w:sz w:val="20"/>
                <w:szCs w:val="20"/>
                <w:highlight w:val="yellow"/>
                <w:lang w:val="en-GB" w:eastAsia="en-GB"/>
              </w:rPr>
              <w:t xml:space="preserve">included in the </w:t>
            </w:r>
            <w:r w:rsidRPr="00A848CA">
              <w:rPr>
                <w:rFonts w:eastAsia="Times New Roman"/>
                <w:i/>
                <w:iCs/>
                <w:sz w:val="20"/>
                <w:szCs w:val="20"/>
                <w:highlight w:val="yellow"/>
                <w:lang w:val="en-GB" w:eastAsia="en-GB"/>
              </w:rPr>
              <w:t>UE-EUTRA-Capability</w:t>
            </w:r>
            <w:r w:rsidRPr="00A848CA">
              <w:rPr>
                <w:rFonts w:eastAsia="Times New Roman"/>
                <w:sz w:val="20"/>
                <w:szCs w:val="20"/>
                <w:highlight w:val="yellow"/>
                <w:lang w:val="en-GB" w:eastAsia="en-GB"/>
              </w:rPr>
              <w:t xml:space="preserve"> </w:t>
            </w:r>
            <w:r w:rsidRPr="00A848CA">
              <w:rPr>
                <w:rFonts w:ascii="Times" w:eastAsia="Times New Roman" w:hAnsi="Times"/>
                <w:sz w:val="20"/>
                <w:szCs w:val="20"/>
                <w:highlight w:val="yellow"/>
                <w:lang w:val="en-GB" w:eastAsia="en-GB"/>
              </w:rPr>
              <w:t>[12]</w:t>
            </w:r>
            <w:r>
              <w:rPr>
                <w:rFonts w:ascii="Times" w:eastAsia="Times New Roman" w:hAnsi="Times"/>
                <w:sz w:val="20"/>
                <w:szCs w:val="20"/>
                <w:lang w:val="en-GB" w:eastAsia="en-GB"/>
              </w:rPr>
              <w:t>”. However, th</w:t>
            </w:r>
            <w:r w:rsidR="00D52BD1">
              <w:rPr>
                <w:rFonts w:ascii="Times" w:eastAsia="Times New Roman" w:hAnsi="Times"/>
                <w:sz w:val="20"/>
                <w:szCs w:val="20"/>
                <w:lang w:val="en-GB" w:eastAsia="en-GB"/>
              </w:rPr>
              <w:t>e yellow part was</w:t>
            </w:r>
            <w:r>
              <w:rPr>
                <w:rFonts w:ascii="Times" w:eastAsia="Times New Roman" w:hAnsi="Times"/>
                <w:sz w:val="20"/>
                <w:szCs w:val="20"/>
                <w:lang w:val="en-GB" w:eastAsia="en-GB"/>
              </w:rPr>
              <w:t xml:space="preserve"> removed and </w:t>
            </w:r>
            <w:r w:rsidR="00D52BD1">
              <w:rPr>
                <w:rFonts w:ascii="Times" w:eastAsia="Times New Roman" w:hAnsi="Times"/>
                <w:sz w:val="20"/>
                <w:szCs w:val="20"/>
                <w:lang w:val="en-GB" w:eastAsia="en-GB"/>
              </w:rPr>
              <w:t>the priority rules were clarified as in the current LTE specifications. We believe that a similar approach should also be taken in NR as per the agreement in RAN1 90-bis brought up in Section 2 of this document.</w:t>
            </w:r>
          </w:p>
          <w:p w14:paraId="56B4A12A" w14:textId="77777777" w:rsidR="00D52BD1" w:rsidRDefault="00D52BD1" w:rsidP="00D52BD1">
            <w:pPr>
              <w:pStyle w:val="ListParagraph"/>
              <w:spacing w:after="0"/>
              <w:ind w:left="720" w:firstLineChars="0" w:firstLine="0"/>
              <w:rPr>
                <w:sz w:val="20"/>
                <w:szCs w:val="20"/>
              </w:rPr>
            </w:pPr>
          </w:p>
          <w:p w14:paraId="32AD94EC" w14:textId="149FF446" w:rsidR="00D52BD1" w:rsidRDefault="00D52BD1" w:rsidP="00D52BD1">
            <w:pPr>
              <w:pStyle w:val="ListParagraph"/>
              <w:numPr>
                <w:ilvl w:val="0"/>
                <w:numId w:val="34"/>
              </w:numPr>
              <w:spacing w:after="0"/>
              <w:ind w:firstLineChars="0"/>
              <w:rPr>
                <w:sz w:val="20"/>
                <w:szCs w:val="20"/>
              </w:rPr>
            </w:pPr>
            <w:r>
              <w:rPr>
                <w:sz w:val="20"/>
                <w:szCs w:val="20"/>
              </w:rPr>
              <w:t>ZTE comment#3 and</w:t>
            </w:r>
            <w:r w:rsidR="00CA3DE9">
              <w:rPr>
                <w:sz w:val="20"/>
                <w:szCs w:val="20"/>
              </w:rPr>
              <w:t xml:space="preserve"> MediaTek comment#2: We </w:t>
            </w:r>
            <w:bookmarkStart w:id="5" w:name="_GoBack"/>
            <w:bookmarkEnd w:id="5"/>
            <w:r>
              <w:rPr>
                <w:sz w:val="20"/>
                <w:szCs w:val="20"/>
              </w:rPr>
              <w:t xml:space="preserve">agree that the mentioned paragraph is redundant and can be removed. </w:t>
            </w:r>
          </w:p>
          <w:p w14:paraId="5A8BD72C" w14:textId="77777777" w:rsidR="00CA3DE9" w:rsidRDefault="00CA3DE9" w:rsidP="00CA3DE9">
            <w:pPr>
              <w:pStyle w:val="ListParagraph"/>
              <w:spacing w:after="0"/>
              <w:ind w:left="720" w:firstLineChars="0" w:firstLine="0"/>
              <w:rPr>
                <w:sz w:val="20"/>
                <w:szCs w:val="20"/>
              </w:rPr>
            </w:pPr>
          </w:p>
          <w:p w14:paraId="236820A6" w14:textId="4836F461" w:rsidR="00D52BD1" w:rsidRPr="00DA3D04" w:rsidRDefault="00D52BD1" w:rsidP="00D52BD1">
            <w:pPr>
              <w:pStyle w:val="ListParagraph"/>
              <w:numPr>
                <w:ilvl w:val="0"/>
                <w:numId w:val="34"/>
              </w:numPr>
              <w:spacing w:after="0"/>
              <w:ind w:firstLineChars="0"/>
              <w:rPr>
                <w:sz w:val="20"/>
                <w:szCs w:val="20"/>
              </w:rPr>
            </w:pPr>
            <w:r>
              <w:rPr>
                <w:sz w:val="20"/>
                <w:szCs w:val="20"/>
              </w:rPr>
              <w:t>MediaTek comment#3: Agree. The mentioned cases need to be further discussed for Rel-16.</w:t>
            </w:r>
          </w:p>
        </w:tc>
      </w:tr>
      <w:tr w:rsidR="007A79F4" w:rsidRPr="00004E89" w14:paraId="08E55A50" w14:textId="77777777" w:rsidTr="00597F65">
        <w:trPr>
          <w:trHeight w:val="20"/>
        </w:trPr>
        <w:tc>
          <w:tcPr>
            <w:tcW w:w="807" w:type="pct"/>
            <w:vAlign w:val="center"/>
          </w:tcPr>
          <w:p w14:paraId="69A505E8" w14:textId="7A7355D7" w:rsidR="007A79F4" w:rsidRDefault="007A79F4" w:rsidP="00BE2EBA">
            <w:pPr>
              <w:spacing w:after="0"/>
              <w:jc w:val="center"/>
              <w:rPr>
                <w:sz w:val="20"/>
                <w:szCs w:val="20"/>
                <w:lang w:eastAsia="zh-CN"/>
              </w:rPr>
            </w:pPr>
          </w:p>
        </w:tc>
        <w:tc>
          <w:tcPr>
            <w:tcW w:w="789" w:type="pct"/>
          </w:tcPr>
          <w:p w14:paraId="7AE07962" w14:textId="67747704" w:rsidR="007A79F4" w:rsidRDefault="007A79F4" w:rsidP="00BE2EBA">
            <w:pPr>
              <w:spacing w:after="0"/>
              <w:rPr>
                <w:sz w:val="20"/>
                <w:szCs w:val="20"/>
              </w:rPr>
            </w:pPr>
          </w:p>
        </w:tc>
        <w:tc>
          <w:tcPr>
            <w:tcW w:w="3403" w:type="pct"/>
            <w:vAlign w:val="center"/>
          </w:tcPr>
          <w:p w14:paraId="109D9838" w14:textId="77777777" w:rsidR="007A79F4" w:rsidRPr="00004E89" w:rsidRDefault="007A79F4" w:rsidP="00BE2EBA">
            <w:pPr>
              <w:spacing w:after="0"/>
              <w:rPr>
                <w:sz w:val="20"/>
                <w:szCs w:val="20"/>
              </w:rPr>
            </w:pPr>
          </w:p>
        </w:tc>
      </w:tr>
      <w:tr w:rsidR="00254D8D" w:rsidRPr="00004E89" w14:paraId="177042DA" w14:textId="77777777" w:rsidTr="00597F65">
        <w:trPr>
          <w:trHeight w:val="20"/>
        </w:trPr>
        <w:tc>
          <w:tcPr>
            <w:tcW w:w="807" w:type="pct"/>
            <w:vAlign w:val="center"/>
          </w:tcPr>
          <w:p w14:paraId="3881F574" w14:textId="33FDD19B" w:rsidR="00254D8D" w:rsidRDefault="00254D8D" w:rsidP="00BE2EBA">
            <w:pPr>
              <w:spacing w:after="0"/>
              <w:jc w:val="center"/>
              <w:rPr>
                <w:sz w:val="20"/>
                <w:szCs w:val="20"/>
                <w:lang w:eastAsia="zh-CN"/>
              </w:rPr>
            </w:pPr>
          </w:p>
        </w:tc>
        <w:tc>
          <w:tcPr>
            <w:tcW w:w="789" w:type="pct"/>
          </w:tcPr>
          <w:p w14:paraId="6CB23A5B" w14:textId="6EB51544" w:rsidR="00254D8D" w:rsidRDefault="00254D8D" w:rsidP="00BE2EBA">
            <w:pPr>
              <w:spacing w:after="0"/>
              <w:rPr>
                <w:sz w:val="20"/>
                <w:szCs w:val="20"/>
              </w:rPr>
            </w:pPr>
          </w:p>
        </w:tc>
        <w:tc>
          <w:tcPr>
            <w:tcW w:w="3403" w:type="pct"/>
            <w:vAlign w:val="center"/>
          </w:tcPr>
          <w:p w14:paraId="0C759F63" w14:textId="77777777" w:rsidR="00254D8D" w:rsidRPr="00004E89" w:rsidRDefault="00254D8D" w:rsidP="00BE2EBA">
            <w:pPr>
              <w:spacing w:after="0"/>
              <w:rPr>
                <w:sz w:val="20"/>
                <w:szCs w:val="20"/>
              </w:rPr>
            </w:pPr>
          </w:p>
        </w:tc>
      </w:tr>
      <w:tr w:rsidR="002E032F" w:rsidRPr="00004E89" w14:paraId="16AD7D67" w14:textId="77777777" w:rsidTr="00597F65">
        <w:trPr>
          <w:trHeight w:val="20"/>
        </w:trPr>
        <w:tc>
          <w:tcPr>
            <w:tcW w:w="807" w:type="pct"/>
            <w:vAlign w:val="center"/>
          </w:tcPr>
          <w:p w14:paraId="49EFE3A5" w14:textId="7717DC56" w:rsidR="002E032F" w:rsidRPr="002E032F" w:rsidRDefault="002E032F" w:rsidP="00BE2EBA">
            <w:pPr>
              <w:spacing w:after="0"/>
              <w:jc w:val="center"/>
              <w:rPr>
                <w:rFonts w:eastAsia="MS Mincho"/>
                <w:sz w:val="20"/>
                <w:szCs w:val="20"/>
                <w:lang w:eastAsia="ja-JP"/>
              </w:rPr>
            </w:pPr>
          </w:p>
        </w:tc>
        <w:tc>
          <w:tcPr>
            <w:tcW w:w="789" w:type="pct"/>
          </w:tcPr>
          <w:p w14:paraId="12FCFECC" w14:textId="2B5F038C" w:rsidR="002E032F" w:rsidRPr="002E032F" w:rsidRDefault="002E032F" w:rsidP="00BE2EBA">
            <w:pPr>
              <w:spacing w:after="0"/>
              <w:rPr>
                <w:rFonts w:eastAsia="MS Mincho"/>
                <w:sz w:val="20"/>
                <w:szCs w:val="20"/>
                <w:lang w:eastAsia="ja-JP"/>
              </w:rPr>
            </w:pPr>
          </w:p>
        </w:tc>
        <w:tc>
          <w:tcPr>
            <w:tcW w:w="3403" w:type="pct"/>
            <w:vAlign w:val="center"/>
          </w:tcPr>
          <w:p w14:paraId="0EC78106" w14:textId="77777777" w:rsidR="002E032F" w:rsidRPr="00004E89" w:rsidRDefault="002E032F" w:rsidP="00BE2EBA">
            <w:pPr>
              <w:spacing w:after="0"/>
              <w:rPr>
                <w:sz w:val="20"/>
                <w:szCs w:val="20"/>
              </w:rPr>
            </w:pPr>
          </w:p>
        </w:tc>
      </w:tr>
      <w:tr w:rsidR="00E050CB" w:rsidRPr="00004E89" w14:paraId="17907C1B" w14:textId="77777777" w:rsidTr="00597F65">
        <w:trPr>
          <w:trHeight w:val="20"/>
        </w:trPr>
        <w:tc>
          <w:tcPr>
            <w:tcW w:w="807" w:type="pct"/>
            <w:vAlign w:val="center"/>
          </w:tcPr>
          <w:p w14:paraId="251B851C" w14:textId="0BC9F7E9" w:rsidR="00E050CB" w:rsidRDefault="00E050CB" w:rsidP="00BE2EBA">
            <w:pPr>
              <w:spacing w:after="0"/>
              <w:jc w:val="center"/>
              <w:rPr>
                <w:rFonts w:eastAsia="MS Mincho"/>
                <w:sz w:val="20"/>
                <w:szCs w:val="20"/>
                <w:lang w:eastAsia="ja-JP"/>
              </w:rPr>
            </w:pPr>
          </w:p>
        </w:tc>
        <w:tc>
          <w:tcPr>
            <w:tcW w:w="789" w:type="pct"/>
          </w:tcPr>
          <w:p w14:paraId="2BCE5C6A" w14:textId="696CBE35" w:rsidR="00E050CB" w:rsidRDefault="00E050CB" w:rsidP="00BE2EBA">
            <w:pPr>
              <w:spacing w:after="0"/>
              <w:rPr>
                <w:rFonts w:eastAsia="MS Mincho"/>
                <w:sz w:val="20"/>
                <w:szCs w:val="20"/>
                <w:lang w:eastAsia="ja-JP"/>
              </w:rPr>
            </w:pPr>
          </w:p>
        </w:tc>
        <w:tc>
          <w:tcPr>
            <w:tcW w:w="3403" w:type="pct"/>
            <w:vAlign w:val="center"/>
          </w:tcPr>
          <w:p w14:paraId="26BC0ECC" w14:textId="77777777" w:rsidR="00E050CB" w:rsidRPr="00004E89" w:rsidRDefault="00E050CB"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Heading1"/>
      </w:pPr>
      <w:bookmarkStart w:id="6" w:name="_Ref129681832"/>
      <w:r w:rsidRPr="00CF195E">
        <w:t>Conclusion</w:t>
      </w:r>
      <w:r w:rsidR="006B1FD5" w:rsidRPr="00CF195E">
        <w:t>s</w:t>
      </w:r>
    </w:p>
    <w:p w14:paraId="633B1BA0" w14:textId="31CBDB8A" w:rsidR="001D780E" w:rsidRPr="00CF195E" w:rsidRDefault="001D780E" w:rsidP="00CF195E">
      <w:pPr>
        <w:pStyle w:val="Heading1"/>
        <w:numPr>
          <w:ilvl w:val="0"/>
          <w:numId w:val="0"/>
        </w:numPr>
        <w:ind w:left="432" w:hanging="432"/>
      </w:pPr>
      <w:bookmarkStart w:id="7" w:name="_Ref124589665"/>
      <w:bookmarkStart w:id="8" w:name="_Ref71620620"/>
      <w:bookmarkStart w:id="9" w:name="_Ref124671424"/>
      <w:r w:rsidRPr="00CF195E">
        <w:t>References</w:t>
      </w:r>
    </w:p>
    <w:bookmarkEnd w:id="6"/>
    <w:bookmarkEnd w:id="7"/>
    <w:bookmarkEnd w:id="8"/>
    <w:bookmarkEnd w:id="9"/>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Heading1"/>
        <w:numPr>
          <w:ilvl w:val="0"/>
          <w:numId w:val="0"/>
        </w:numPr>
        <w:ind w:left="432" w:hanging="432"/>
      </w:pPr>
      <w:r>
        <w:t>Appendix: Proposed CR</w:t>
      </w:r>
      <w:r w:rsidR="00714D09">
        <w:t xml:space="preserve"> in R1-</w:t>
      </w:r>
      <w:r w:rsidR="00CC51B4">
        <w:t>2103759</w:t>
      </w:r>
    </w:p>
    <w:tbl>
      <w:tblPr>
        <w:tblStyle w:val="TableGrid"/>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10" w:name="_Toc60777114"/>
            <w:bookmarkStart w:id="11" w:name="_Toc45810538"/>
            <w:bookmarkStart w:id="12" w:name="_Toc36645493"/>
            <w:bookmarkStart w:id="13" w:name="_Toc29674263"/>
            <w:bookmarkStart w:id="14" w:name="_Toc29673270"/>
            <w:bookmarkStart w:id="15" w:name="_Toc29673129"/>
            <w:bookmarkStart w:id="16" w:name="_Toc27299864"/>
            <w:bookmarkStart w:id="17" w:name="_Toc20317966"/>
            <w:bookmarkStart w:id="18" w:name="_Toc11352076"/>
            <w:r>
              <w:rPr>
                <w:rFonts w:ascii="Arial" w:hAnsi="Arial"/>
                <w:color w:val="000000"/>
                <w:sz w:val="32"/>
                <w:lang w:val="x-none"/>
              </w:rPr>
              <w:t>3.3</w:t>
            </w:r>
            <w:r>
              <w:rPr>
                <w:rFonts w:ascii="Arial" w:hAnsi="Arial"/>
                <w:color w:val="000000"/>
                <w:sz w:val="32"/>
                <w:lang w:val="x-none"/>
              </w:rPr>
              <w:tab/>
              <w:t>Abbreviations</w:t>
            </w:r>
            <w:bookmarkEnd w:id="10"/>
            <w:bookmarkEnd w:id="11"/>
            <w:bookmarkEnd w:id="12"/>
            <w:bookmarkEnd w:id="13"/>
            <w:bookmarkEnd w:id="14"/>
            <w:bookmarkEnd w:id="15"/>
            <w:bookmarkEnd w:id="16"/>
            <w:bookmarkEnd w:id="17"/>
            <w:bookmarkEnd w:id="18"/>
          </w:p>
          <w:p w14:paraId="4FB93FC7" w14:textId="77777777" w:rsidR="00031D29" w:rsidRDefault="00031D29" w:rsidP="00031D29">
            <w:pPr>
              <w:keepLines/>
              <w:spacing w:after="0"/>
              <w:ind w:left="1702" w:hanging="1418"/>
            </w:pPr>
            <w:ins w:id="19"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20" w:name="_Toc60777211"/>
            <w:bookmarkStart w:id="21" w:name="_Toc45810635"/>
            <w:bookmarkStart w:id="22" w:name="_Toc36645586"/>
            <w:bookmarkStart w:id="23" w:name="_Toc29674356"/>
            <w:bookmarkStart w:id="24" w:name="_Toc29673363"/>
            <w:bookmarkStart w:id="25" w:name="_Toc29673222"/>
            <w:bookmarkStart w:id="26" w:name="_Toc27299948"/>
            <w:bookmarkStart w:id="27" w:name="_Toc20318050"/>
            <w:bookmarkStart w:id="28"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20"/>
            <w:bookmarkEnd w:id="21"/>
            <w:bookmarkEnd w:id="22"/>
            <w:bookmarkEnd w:id="23"/>
            <w:bookmarkEnd w:id="24"/>
            <w:bookmarkEnd w:id="25"/>
            <w:bookmarkEnd w:id="26"/>
            <w:bookmarkEnd w:id="27"/>
            <w:bookmarkEnd w:id="28"/>
          </w:p>
          <w:p w14:paraId="5FAFD1D0" w14:textId="77777777" w:rsidR="00031D29" w:rsidRDefault="00031D29" w:rsidP="00031D29">
            <w:pPr>
              <w:overflowPunct w:val="0"/>
              <w:textAlignment w:val="baseline"/>
              <w:rPr>
                <w:ins w:id="29" w:author="Huawei" w:date="2021-02-09T12:46:00Z"/>
                <w:rFonts w:ascii="Times" w:eastAsia="Times New Roman" w:hAnsi="Times"/>
                <w:sz w:val="20"/>
                <w:lang w:val="en-GB" w:eastAsia="en-GB"/>
              </w:rPr>
            </w:pPr>
            <w:ins w:id="30" w:author="Huawei" w:date="2021-02-09T12:45:00Z">
              <w:r>
                <w:rPr>
                  <w:color w:val="000000"/>
                </w:rPr>
                <w:t xml:space="preserve">For a carrier of a serving cell </w:t>
              </w:r>
            </w:ins>
            <w:ins w:id="31" w:author="Huawei" w:date="2021-02-09T14:12:00Z">
              <w:r>
                <w:rPr>
                  <w:rFonts w:eastAsia="Times New Roman"/>
                  <w:i/>
                  <w:lang w:eastAsia="en-GB"/>
                </w:rPr>
                <w:t>d</w:t>
              </w:r>
              <w:r>
                <w:rPr>
                  <w:color w:val="000000"/>
                </w:rPr>
                <w:t xml:space="preserve"> </w:t>
              </w:r>
            </w:ins>
            <w:ins w:id="32"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3"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4"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5" w:author="Huawei" w:date="2021-02-09T12:46:00Z">
              <w:r>
                <w:rPr>
                  <w:rFonts w:ascii="Times" w:eastAsia="Times New Roman" w:hAnsi="Times"/>
                  <w:lang w:eastAsia="en-GB"/>
                </w:rPr>
                <w:t xml:space="preserve"> as signalled by </w:t>
              </w:r>
            </w:ins>
            <w:ins w:id="36" w:author="Huawei" w:date="2021-02-09T12:48:00Z">
              <w:r>
                <w:rPr>
                  <w:color w:val="000000"/>
                </w:rPr>
                <w:t xml:space="preserve">higher layer parameter </w:t>
              </w:r>
              <w:r>
                <w:rPr>
                  <w:i/>
                  <w:iCs/>
                  <w:color w:val="000000"/>
                </w:rPr>
                <w:t>srs-SwitchFromServCellIndex</w:t>
              </w:r>
              <w:r>
                <w:rPr>
                  <w:color w:val="000000"/>
                </w:rPr>
                <w:t xml:space="preserve"> and </w:t>
              </w:r>
              <w:r>
                <w:rPr>
                  <w:i/>
                  <w:iCs/>
                  <w:color w:val="000000"/>
                </w:rPr>
                <w:t>srs-SwitchFromCarrier</w:t>
              </w:r>
            </w:ins>
            <w:ins w:id="37"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8" w:author="Huawei" w:date="2021-02-09T12:49:00Z">
              <w:r>
                <w:rPr>
                  <w:rFonts w:ascii="Times" w:eastAsia="Times New Roman" w:hAnsi="Times"/>
                  <w:lang w:eastAsia="en-GB"/>
                </w:rPr>
                <w:t xml:space="preserve">carriers of </w:t>
              </w:r>
            </w:ins>
            <w:ins w:id="39"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40" w:author="Huawei" w:date="2021-02-09T12:46:00Z"/>
                <w:rFonts w:eastAsia="Times New Roman"/>
                <w:lang w:eastAsia="en-GB"/>
              </w:rPr>
            </w:pPr>
            <w:ins w:id="41"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2" w:author="Huawei" w:date="2021-02-09T12:46:00Z"/>
                <w:rFonts w:eastAsia="Times New Roman"/>
                <w:lang w:eastAsia="en-GB"/>
              </w:rPr>
            </w:pPr>
            <w:ins w:id="43"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4" w:author="Huawei" w:date="2021-02-10T10:43:00Z">
              <w:r>
                <w:rPr>
                  <w:rFonts w:eastAsia="Times New Roman"/>
                  <w:lang w:eastAsia="en-GB"/>
                </w:rPr>
                <w:t>SCS</w:t>
              </w:r>
            </w:ins>
            <w:ins w:id="45"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6" w:author="Huawei" w:date="2021-02-09T12:46:00Z"/>
                <w:rFonts w:eastAsia="Times New Roman"/>
                <w:lang w:eastAsia="en-GB"/>
              </w:rPr>
            </w:pPr>
            <w:ins w:id="47"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8" w:author="Huawei" w:date="2021-02-09T12:51:00Z"/>
                <w:rFonts w:eastAsia="Times New Roman"/>
                <w:lang w:eastAsia="en-GB"/>
              </w:rPr>
            </w:pPr>
            <w:ins w:id="49" w:author="Huawei" w:date="2021-02-09T12:51:00Z">
              <w:r>
                <w:rPr>
                  <w:rFonts w:eastAsia="Times New Roman"/>
                  <w:lang w:eastAsia="en-GB"/>
                </w:rPr>
                <w:t xml:space="preserve">The following prioritization rules shall be applied in case of collision between a transmission of SRS over </w:t>
              </w:r>
            </w:ins>
            <w:ins w:id="50" w:author="Huawei" w:date="2021-02-09T12:52:00Z">
              <w:r>
                <w:rPr>
                  <w:rFonts w:eastAsia="Times New Roman"/>
                  <w:lang w:eastAsia="en-GB"/>
                </w:rPr>
                <w:t>carrier</w:t>
              </w:r>
            </w:ins>
            <w:ins w:id="51"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2" w:author="Huawei" w:date="2021-02-09T12:52:00Z">
              <w:r>
                <w:rPr>
                  <w:rFonts w:eastAsia="Times New Roman"/>
                  <w:lang w:eastAsia="en-GB"/>
                </w:rPr>
                <w:t>carrier of a serving cell</w:t>
              </w:r>
            </w:ins>
            <w:ins w:id="53"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4" w:author="Huawei" w:date="2021-02-09T14:38:00Z">
              <w:r>
                <w:rPr>
                  <w:rFonts w:eastAsia="Times New Roman"/>
                  <w:lang w:eastAsia="en-GB"/>
                </w:rPr>
                <w:t>-</w:t>
              </w:r>
              <w:r>
                <w:rPr>
                  <w:rFonts w:eastAsia="Times New Roman"/>
                  <w:lang w:eastAsia="en-GB"/>
                </w:rPr>
                <w:tab/>
              </w:r>
            </w:ins>
            <w:del w:id="55"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6"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7"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 xml:space="preserve">to overlap in </w:t>
            </w:r>
            <w:r>
              <w:rPr>
                <w:color w:val="000000"/>
                <w:lang w:eastAsia="ko-KR"/>
              </w:rPr>
              <w:lastRenderedPageBreak/>
              <w:t>the same symbol</w:t>
            </w:r>
            <w:del w:id="58"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9" w:author="Huawei" w:date="2021-02-09T14:38:00Z">
              <w:r>
                <w:rPr>
                  <w:rFonts w:eastAsia="Times New Roman"/>
                  <w:lang w:eastAsia="en-GB"/>
                </w:rPr>
                <w:t>-</w:t>
              </w:r>
              <w:r>
                <w:rPr>
                  <w:rFonts w:eastAsia="Times New Roman"/>
                  <w:lang w:eastAsia="en-GB"/>
                </w:rPr>
                <w:tab/>
              </w:r>
            </w:ins>
            <w:del w:id="60"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61"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2"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3"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4" w:author="Huawei" w:date="2021-02-09T14:38:00Z">
              <w:r>
                <w:rPr>
                  <w:rFonts w:eastAsia="Times New Roman"/>
                  <w:lang w:eastAsia="en-GB"/>
                </w:rPr>
                <w:t>-</w:t>
              </w:r>
              <w:r>
                <w:rPr>
                  <w:rFonts w:eastAsia="Times New Roman"/>
                  <w:lang w:eastAsia="en-GB"/>
                </w:rPr>
                <w:tab/>
              </w:r>
            </w:ins>
            <w:del w:id="65"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6" w:author="Huawei" w:date="2021-02-09T14:29:00Z">
              <w:r>
                <w:rPr>
                  <w:rFonts w:eastAsia="Times New Roman"/>
                  <w:lang w:eastAsia="en-GB"/>
                </w:rPr>
                <w:t xml:space="preserve">a carrier of a serving cell in set </w:t>
              </w:r>
              <w:r>
                <w:rPr>
                  <w:rFonts w:eastAsia="Times New Roman"/>
                  <w:i/>
                  <w:lang w:eastAsia="en-GB"/>
                </w:rPr>
                <w:t xml:space="preserve">S(d) </w:t>
              </w:r>
            </w:ins>
            <w:del w:id="67"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8" w:author="Huawei" w:date="2021-02-09T14:31:00Z">
              <w:r>
                <w:rPr>
                  <w:color w:val="000000"/>
                </w:rPr>
                <w:t xml:space="preserve">the carrier of </w:t>
              </w:r>
            </w:ins>
            <w:r>
              <w:rPr>
                <w:color w:val="000000"/>
              </w:rPr>
              <w:t xml:space="preserve">the serving cell </w:t>
            </w:r>
            <w:ins w:id="69" w:author="Huawei" w:date="2021-02-09T14:31:00Z">
              <w:r>
                <w:rPr>
                  <w:rFonts w:eastAsia="Times New Roman"/>
                  <w:i/>
                  <w:lang w:eastAsia="en-GB"/>
                </w:rPr>
                <w:t>d</w:t>
              </w:r>
              <w:r>
                <w:rPr>
                  <w:color w:val="000000"/>
                </w:rPr>
                <w:t xml:space="preserve"> </w:t>
              </w:r>
            </w:ins>
            <w:r>
              <w:rPr>
                <w:color w:val="000000"/>
              </w:rPr>
              <w:t>happen to overlap in the same symbol</w:t>
            </w:r>
            <w:del w:id="70"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71" w:author="Huawei" w:date="2021-02-09T14:38:00Z">
              <w:r>
                <w:rPr>
                  <w:rFonts w:eastAsia="Times New Roman"/>
                  <w:lang w:eastAsia="en-GB"/>
                </w:rPr>
                <w:t>-</w:t>
              </w:r>
              <w:r>
                <w:rPr>
                  <w:rFonts w:eastAsia="Times New Roman"/>
                  <w:lang w:eastAsia="en-GB"/>
                </w:rPr>
                <w:tab/>
              </w:r>
            </w:ins>
            <w:del w:id="72"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3"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4" w:author="Huawei" w:date="2021-02-09T14:36:00Z">
              <w:r>
                <w:rPr>
                  <w:rFonts w:eastAsia="Times New Roman"/>
                  <w:i/>
                  <w:lang w:eastAsia="en-GB"/>
                </w:rPr>
                <w:t>d</w:t>
              </w:r>
              <w:r>
                <w:rPr>
                  <w:color w:val="000000"/>
                </w:rPr>
                <w:t xml:space="preserve"> </w:t>
              </w:r>
            </w:ins>
            <w:r>
              <w:t>happen to overlap in the same symbol</w:t>
            </w:r>
            <w:del w:id="75"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CF41C" w14:textId="77777777" w:rsidR="00B87EE5" w:rsidRDefault="00B87EE5">
      <w:r>
        <w:separator/>
      </w:r>
    </w:p>
  </w:endnote>
  <w:endnote w:type="continuationSeparator" w:id="0">
    <w:p w14:paraId="65043D3E" w14:textId="77777777" w:rsidR="00B87EE5" w:rsidRDefault="00B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95384" w14:textId="77777777" w:rsidR="00B87EE5" w:rsidRDefault="00B87EE5">
      <w:r>
        <w:separator/>
      </w:r>
    </w:p>
  </w:footnote>
  <w:footnote w:type="continuationSeparator" w:id="0">
    <w:p w14:paraId="09FCE179" w14:textId="77777777" w:rsidR="00B87EE5" w:rsidRDefault="00B87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PMingLiU" w:eastAsia="PMingLiU" w:hAnsi="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PMingLiU" w:eastAsia="PMingLiU" w:hAnsi="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426BC3"/>
    <w:multiLevelType w:val="hybridMultilevel"/>
    <w:tmpl w:val="EDDC95DC"/>
    <w:lvl w:ilvl="0" w:tplc="0142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9"/>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 w:numId="34">
    <w:abstractNumId w:val="2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5F37"/>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2BC3"/>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A8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55D"/>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6F79F5"/>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2E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48CA"/>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87EE5"/>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DE9"/>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BD1"/>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D04"/>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3C"/>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08D"/>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78D"/>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0F36"/>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Normal"/>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Normal"/>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6BC67-9346-4EB7-BEF0-ED68F9BA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2516</Words>
  <Characters>14344</Characters>
  <Application>Microsoft Office Word</Application>
  <DocSecurity>0</DocSecurity>
  <Lines>119</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Keyvan 3</cp:lastModifiedBy>
  <cp:revision>4</cp:revision>
  <cp:lastPrinted>2007-06-18T22:08:00Z</cp:lastPrinted>
  <dcterms:created xsi:type="dcterms:W3CDTF">2021-04-13T20:07:00Z</dcterms:created>
  <dcterms:modified xsi:type="dcterms:W3CDTF">2021-04-13T21:03:00Z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