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A4B" w:rsidRDefault="002B2EC1">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#104b</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103279</w:t>
      </w:r>
    </w:p>
    <w:p w:rsidR="00B94A4B" w:rsidRDefault="002B2EC1">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xml:space="preserve">, </w:t>
      </w:r>
      <w:r>
        <w:rPr>
          <w:rFonts w:ascii="Arial" w:hAnsi="Arial" w:cs="Arial"/>
          <w:b/>
          <w:bCs/>
          <w:sz w:val="22"/>
          <w:szCs w:val="22"/>
          <w:lang w:eastAsia="ja-JP"/>
        </w:rPr>
        <w:t>April 12</w:t>
      </w:r>
      <w:r>
        <w:rPr>
          <w:rFonts w:ascii="Arial" w:hAnsi="Arial" w:cs="Arial"/>
          <w:b/>
          <w:bCs/>
          <w:sz w:val="22"/>
          <w:szCs w:val="22"/>
          <w:vertAlign w:val="superscript"/>
          <w:lang w:eastAsia="ja-JP"/>
        </w:rPr>
        <w:t>th</w:t>
      </w:r>
      <w:r>
        <w:rPr>
          <w:rFonts w:ascii="Arial" w:hAnsi="Arial" w:cs="Arial"/>
          <w:b/>
          <w:bCs/>
          <w:sz w:val="22"/>
          <w:szCs w:val="22"/>
          <w:lang w:eastAsia="ja-JP"/>
        </w:rPr>
        <w:t xml:space="preserve"> – 20</w:t>
      </w:r>
      <w:r>
        <w:rPr>
          <w:rFonts w:ascii="Arial" w:hAnsi="Arial" w:cs="Arial"/>
          <w:b/>
          <w:bCs/>
          <w:sz w:val="22"/>
          <w:szCs w:val="22"/>
          <w:vertAlign w:val="superscript"/>
          <w:lang w:eastAsia="ja-JP"/>
        </w:rPr>
        <w:t>th</w:t>
      </w:r>
      <w:r>
        <w:rPr>
          <w:rFonts w:ascii="Arial" w:hAnsi="Arial" w:cs="Arial" w:hint="eastAsia"/>
          <w:b/>
          <w:bCs/>
          <w:sz w:val="22"/>
          <w:szCs w:val="22"/>
        </w:rPr>
        <w:t>, 2021</w:t>
      </w:r>
    </w:p>
    <w:p w:rsidR="00B94A4B" w:rsidRDefault="002B2EC1" w:rsidP="002B2EC1">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On XR Evaluation Methodology</w:t>
      </w:r>
    </w:p>
    <w:p w:rsidR="00B94A4B" w:rsidRDefault="002B2EC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B94A4B" w:rsidRDefault="002B2EC1">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8.14.2</w:t>
      </w:r>
    </w:p>
    <w:p w:rsidR="00B94A4B" w:rsidRDefault="002B2EC1">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94A4B" w:rsidRDefault="002B2EC1">
      <w:pPr>
        <w:pStyle w:val="1"/>
        <w:spacing w:before="120" w:after="120"/>
        <w:ind w:left="0"/>
        <w:rPr>
          <w:rFonts w:eastAsia="宋体"/>
        </w:rPr>
      </w:pPr>
      <w:r>
        <w:rPr>
          <w:rFonts w:eastAsia="宋体" w:hint="eastAsia"/>
        </w:rPr>
        <w:t>Introduction</w:t>
      </w:r>
    </w:p>
    <w:p w:rsidR="00B94A4B" w:rsidRDefault="002B2EC1">
      <w:pPr>
        <w:spacing w:before="120" w:after="120"/>
      </w:pPr>
      <w:r>
        <w:rPr>
          <w:rFonts w:hint="eastAsia"/>
        </w:rPr>
        <w:t>In 3GPP TSG RAN1#104-e meeting, the following agreements on traffic models and simulation assumptions were reached</w:t>
      </w:r>
      <w:r>
        <w:t xml:space="preserve"> </w:t>
      </w:r>
      <w:r>
        <w:rPr>
          <w:rFonts w:hint="eastAsia"/>
        </w:rPr>
        <w:t>[1]. Some items need further study. So, in this contribution, remaining issues and more considerations are discussed.</w:t>
      </w:r>
    </w:p>
    <w:tbl>
      <w:tblPr>
        <w:tblStyle w:val="ac"/>
        <w:tblW w:w="0" w:type="auto"/>
        <w:tblLook w:val="04A0" w:firstRow="1" w:lastRow="0" w:firstColumn="1" w:lastColumn="0" w:noHBand="0" w:noVBand="1"/>
      </w:tblPr>
      <w:tblGrid>
        <w:gridCol w:w="9876"/>
      </w:tblGrid>
      <w:tr w:rsidR="00B94A4B">
        <w:tc>
          <w:tcPr>
            <w:tcW w:w="0" w:type="auto"/>
          </w:tcPr>
          <w:p w:rsidR="00B94A4B" w:rsidRDefault="002B2EC1">
            <w:pPr>
              <w:spacing w:beforeLines="0" w:afterLines="0" w:line="240" w:lineRule="auto"/>
              <w:rPr>
                <w:sz w:val="18"/>
                <w:szCs w:val="18"/>
              </w:rPr>
            </w:pPr>
            <w:r>
              <w:rPr>
                <w:sz w:val="18"/>
                <w:szCs w:val="18"/>
                <w:highlight w:val="green"/>
              </w:rPr>
              <w:t>Agreement</w:t>
            </w:r>
            <w:r>
              <w:rPr>
                <w:sz w:val="18"/>
                <w:szCs w:val="18"/>
              </w:rPr>
              <w:t>: adopt following update for TDD configuration for XR/CG evaluation</w:t>
            </w:r>
          </w:p>
          <w:p w:rsidR="00B94A4B" w:rsidRDefault="002B2EC1">
            <w:pPr>
              <w:numPr>
                <w:ilvl w:val="0"/>
                <w:numId w:val="7"/>
              </w:numPr>
              <w:spacing w:beforeLines="0" w:afterLines="0" w:line="240" w:lineRule="auto"/>
              <w:rPr>
                <w:rFonts w:eastAsia="Times New Roman"/>
                <w:sz w:val="18"/>
                <w:szCs w:val="18"/>
              </w:rPr>
            </w:pPr>
            <w:r>
              <w:rPr>
                <w:rFonts w:eastAsia="Times New Roman"/>
                <w:sz w:val="18"/>
                <w:szCs w:val="18"/>
              </w:rPr>
              <w:t>FR1:</w:t>
            </w:r>
          </w:p>
          <w:p w:rsidR="00B94A4B" w:rsidRDefault="002B2EC1">
            <w:pPr>
              <w:numPr>
                <w:ilvl w:val="1"/>
                <w:numId w:val="8"/>
              </w:numPr>
              <w:spacing w:beforeLines="0" w:afterLines="0" w:line="240" w:lineRule="auto"/>
              <w:rPr>
                <w:rFonts w:eastAsia="Times New Roman"/>
                <w:sz w:val="18"/>
                <w:szCs w:val="18"/>
              </w:rPr>
            </w:pPr>
            <w:r>
              <w:rPr>
                <w:rFonts w:eastAsia="Times New Roman"/>
                <w:sz w:val="18"/>
                <w:szCs w:val="18"/>
              </w:rPr>
              <w:t>Option 1: DDDSU</w:t>
            </w:r>
          </w:p>
          <w:p w:rsidR="00B94A4B" w:rsidRDefault="002B2EC1">
            <w:pPr>
              <w:numPr>
                <w:ilvl w:val="1"/>
                <w:numId w:val="8"/>
              </w:numPr>
              <w:spacing w:beforeLines="0" w:afterLines="0" w:line="240" w:lineRule="auto"/>
              <w:rPr>
                <w:rFonts w:eastAsia="Times New Roman"/>
                <w:sz w:val="18"/>
                <w:szCs w:val="18"/>
              </w:rPr>
            </w:pPr>
            <w:r>
              <w:rPr>
                <w:rFonts w:eastAsia="Times New Roman"/>
                <w:sz w:val="18"/>
                <w:szCs w:val="18"/>
              </w:rPr>
              <w:t>Option 2: DDDUU</w:t>
            </w:r>
          </w:p>
          <w:p w:rsidR="00B94A4B" w:rsidRDefault="002B2EC1">
            <w:pPr>
              <w:numPr>
                <w:ilvl w:val="0"/>
                <w:numId w:val="9"/>
              </w:numPr>
              <w:spacing w:beforeLines="0" w:afterLines="0" w:line="240" w:lineRule="auto"/>
              <w:rPr>
                <w:rFonts w:eastAsia="Times New Roman"/>
                <w:sz w:val="18"/>
                <w:szCs w:val="18"/>
              </w:rPr>
            </w:pPr>
            <w:r>
              <w:rPr>
                <w:rFonts w:eastAsia="Times New Roman"/>
                <w:sz w:val="18"/>
                <w:szCs w:val="18"/>
              </w:rPr>
              <w:t>FR2:</w:t>
            </w:r>
          </w:p>
          <w:p w:rsidR="00B94A4B" w:rsidRDefault="002B2EC1">
            <w:pPr>
              <w:numPr>
                <w:ilvl w:val="1"/>
                <w:numId w:val="10"/>
              </w:numPr>
              <w:spacing w:beforeLines="0" w:afterLines="0" w:line="240" w:lineRule="auto"/>
              <w:rPr>
                <w:rFonts w:eastAsia="Times New Roman"/>
                <w:sz w:val="18"/>
                <w:szCs w:val="18"/>
              </w:rPr>
            </w:pPr>
            <w:r>
              <w:rPr>
                <w:rFonts w:eastAsia="Times New Roman"/>
                <w:sz w:val="18"/>
                <w:szCs w:val="18"/>
              </w:rPr>
              <w:t>Option 1: DDDSU</w:t>
            </w:r>
          </w:p>
          <w:p w:rsidR="00B94A4B" w:rsidRDefault="002B2EC1">
            <w:pPr>
              <w:numPr>
                <w:ilvl w:val="1"/>
                <w:numId w:val="10"/>
              </w:numPr>
              <w:spacing w:beforeLines="0" w:afterLines="0" w:line="240" w:lineRule="auto"/>
              <w:rPr>
                <w:rFonts w:eastAsia="Times New Roman"/>
                <w:sz w:val="18"/>
                <w:szCs w:val="18"/>
              </w:rPr>
            </w:pPr>
            <w:r>
              <w:rPr>
                <w:rFonts w:eastAsia="Times New Roman"/>
                <w:sz w:val="18"/>
                <w:szCs w:val="18"/>
              </w:rPr>
              <w:t>Option 2: DDDUU</w:t>
            </w:r>
          </w:p>
          <w:p w:rsidR="00B94A4B" w:rsidRDefault="002B2EC1">
            <w:pPr>
              <w:spacing w:beforeLines="0" w:afterLines="0" w:line="240" w:lineRule="auto"/>
              <w:rPr>
                <w:rFonts w:eastAsia="Calibri"/>
                <w:sz w:val="18"/>
                <w:szCs w:val="18"/>
              </w:rPr>
            </w:pPr>
            <w:r>
              <w:rPr>
                <w:sz w:val="18"/>
                <w:szCs w:val="18"/>
              </w:rPr>
              <w:t>Detailed S slot format is 10D:2F:2U. Other S slot format(s) can also be optionally evaluated.</w:t>
            </w:r>
          </w:p>
          <w:p w:rsidR="00B94A4B" w:rsidRDefault="002B2EC1">
            <w:pPr>
              <w:spacing w:beforeLines="0" w:afterLines="0" w:line="240" w:lineRule="auto"/>
              <w:rPr>
                <w:sz w:val="18"/>
                <w:szCs w:val="18"/>
              </w:rPr>
            </w:pPr>
            <w:r>
              <w:rPr>
                <w:sz w:val="18"/>
                <w:szCs w:val="18"/>
              </w:rPr>
              <w:t>Further clarify that for option 2 for FR1/FR2, there is [2]-symbol gap at the end of third “D” slot of  DDDUU.</w:t>
            </w:r>
          </w:p>
          <w:p w:rsidR="00B94A4B" w:rsidRDefault="002B2EC1">
            <w:pPr>
              <w:spacing w:beforeLines="0" w:afterLines="0" w:line="240" w:lineRule="auto"/>
              <w:rPr>
                <w:sz w:val="18"/>
                <w:szCs w:val="18"/>
              </w:rPr>
            </w:pPr>
            <w:r>
              <w:rPr>
                <w:sz w:val="18"/>
                <w:szCs w:val="18"/>
              </w:rPr>
              <w:t>FFS whether or not to differentiate the two options (e.g., mandatory vs. optional)</w:t>
            </w:r>
          </w:p>
          <w:p w:rsidR="00B94A4B" w:rsidRDefault="002B2EC1">
            <w:pPr>
              <w:spacing w:beforeLines="0" w:afterLines="0" w:line="240" w:lineRule="auto"/>
              <w:rPr>
                <w:sz w:val="18"/>
                <w:szCs w:val="18"/>
              </w:rPr>
            </w:pPr>
            <w:r>
              <w:rPr>
                <w:sz w:val="18"/>
                <w:szCs w:val="18"/>
                <w:highlight w:val="green"/>
              </w:rPr>
              <w:t>Agreements</w:t>
            </w:r>
            <w:r>
              <w:rPr>
                <w:b/>
                <w:bCs/>
                <w:sz w:val="18"/>
                <w:szCs w:val="18"/>
              </w:rPr>
              <w:t>:</w:t>
            </w:r>
            <w:r>
              <w:rPr>
                <w:sz w:val="18"/>
                <w:szCs w:val="18"/>
              </w:rPr>
              <w:t xml:space="preserve">At least for XR/CG capacity evaluation, for DL and UL </w:t>
            </w:r>
          </w:p>
          <w:p w:rsidR="00B94A4B" w:rsidRDefault="002B2EC1">
            <w:pPr>
              <w:numPr>
                <w:ilvl w:val="0"/>
                <w:numId w:val="11"/>
              </w:numPr>
              <w:spacing w:beforeLines="0" w:afterLines="0" w:line="240" w:lineRule="auto"/>
              <w:rPr>
                <w:sz w:val="18"/>
                <w:szCs w:val="18"/>
              </w:rPr>
            </w:pPr>
            <w:r>
              <w:rPr>
                <w:sz w:val="18"/>
                <w:szCs w:val="18"/>
              </w:rPr>
              <w:t>Baseline: DL and UL performances are evaluated independently</w:t>
            </w:r>
          </w:p>
          <w:p w:rsidR="00B94A4B" w:rsidRDefault="002B2EC1">
            <w:pPr>
              <w:numPr>
                <w:ilvl w:val="0"/>
                <w:numId w:val="11"/>
              </w:numPr>
              <w:spacing w:beforeLines="0" w:afterLines="0" w:line="240" w:lineRule="auto"/>
              <w:rPr>
                <w:sz w:val="18"/>
                <w:szCs w:val="18"/>
              </w:rPr>
            </w:pPr>
            <w:r>
              <w:rPr>
                <w:sz w:val="18"/>
                <w:szCs w:val="18"/>
              </w:rPr>
              <w:t xml:space="preserve">Optional: DL and UL performance are evaluated together </w:t>
            </w:r>
          </w:p>
          <w:p w:rsidR="00B94A4B" w:rsidRDefault="002B2EC1">
            <w:pPr>
              <w:numPr>
                <w:ilvl w:val="0"/>
                <w:numId w:val="11"/>
              </w:numPr>
              <w:spacing w:beforeLines="0" w:afterLines="0" w:line="240" w:lineRule="auto"/>
              <w:rPr>
                <w:sz w:val="18"/>
                <w:szCs w:val="18"/>
              </w:rPr>
            </w:pPr>
            <w:r>
              <w:rPr>
                <w:sz w:val="18"/>
                <w:szCs w:val="18"/>
              </w:rPr>
              <w:t>FFS details both the baseline and the optional evaluations</w:t>
            </w:r>
          </w:p>
          <w:p w:rsidR="00B94A4B" w:rsidRDefault="002B2EC1">
            <w:pPr>
              <w:spacing w:beforeLines="0" w:afterLines="0" w:line="240" w:lineRule="auto"/>
              <w:rPr>
                <w:rFonts w:eastAsia="Calibri"/>
                <w:sz w:val="18"/>
                <w:szCs w:val="18"/>
              </w:rPr>
            </w:pPr>
            <w:r>
              <w:rPr>
                <w:sz w:val="18"/>
                <w:szCs w:val="18"/>
                <w:highlight w:val="green"/>
              </w:rPr>
              <w:t>Agreements</w:t>
            </w:r>
            <w:r>
              <w:rPr>
                <w:sz w:val="18"/>
                <w:szCs w:val="18"/>
              </w:rPr>
              <w:t xml:space="preserve"> To facilitate further discussion on evaluation of power saving effect of different power saving schemes, the following references are defined.</w:t>
            </w:r>
          </w:p>
          <w:p w:rsidR="00B94A4B" w:rsidRDefault="002B2EC1">
            <w:pPr>
              <w:numPr>
                <w:ilvl w:val="0"/>
                <w:numId w:val="12"/>
              </w:numPr>
              <w:spacing w:beforeLines="0" w:afterLines="0" w:line="240" w:lineRule="auto"/>
              <w:rPr>
                <w:rFonts w:eastAsia="Times New Roman"/>
                <w:sz w:val="18"/>
                <w:szCs w:val="18"/>
              </w:rPr>
            </w:pPr>
            <w:r>
              <w:rPr>
                <w:rFonts w:eastAsia="Times New Roman"/>
                <w:sz w:val="18"/>
                <w:szCs w:val="18"/>
              </w:rPr>
              <w:t xml:space="preserve">Case 1 </w:t>
            </w:r>
            <w:r>
              <w:rPr>
                <w:rFonts w:eastAsia="Times New Roman"/>
                <w:color w:val="FF0000"/>
                <w:sz w:val="18"/>
                <w:szCs w:val="18"/>
              </w:rPr>
              <w:t>(baseline)</w:t>
            </w:r>
            <w:r>
              <w:rPr>
                <w:rFonts w:eastAsia="Times New Roman"/>
                <w:sz w:val="18"/>
                <w:szCs w:val="18"/>
              </w:rPr>
              <w:t>: UE power consumption assuming UE is always ON, i.e., UE is always available for gNB scheduling.</w:t>
            </w:r>
          </w:p>
          <w:p w:rsidR="00B94A4B" w:rsidRDefault="002B2EC1">
            <w:pPr>
              <w:numPr>
                <w:ilvl w:val="0"/>
                <w:numId w:val="12"/>
              </w:numPr>
              <w:spacing w:beforeLines="0" w:afterLines="0" w:line="240" w:lineRule="auto"/>
              <w:rPr>
                <w:rFonts w:eastAsia="Times New Roman"/>
                <w:sz w:val="18"/>
                <w:szCs w:val="18"/>
              </w:rPr>
            </w:pPr>
            <w:r>
              <w:rPr>
                <w:rFonts w:eastAsia="Times New Roman"/>
                <w:sz w:val="18"/>
                <w:szCs w:val="18"/>
              </w:rPr>
              <w:t xml:space="preserve">Case 2 </w:t>
            </w:r>
            <w:r>
              <w:rPr>
                <w:rFonts w:eastAsia="Times New Roman"/>
                <w:color w:val="FF0000"/>
                <w:sz w:val="18"/>
                <w:szCs w:val="18"/>
              </w:rPr>
              <w:t>(FFS optional or baseline):</w:t>
            </w:r>
            <w:r>
              <w:rPr>
                <w:rFonts w:eastAsia="Times New Roman"/>
                <w:sz w:val="18"/>
                <w:szCs w:val="18"/>
              </w:rPr>
              <w:t xml:space="preserve"> UE power consumption assuming Rel-15/16 CDRX configuration</w:t>
            </w:r>
          </w:p>
          <w:p w:rsidR="00B94A4B" w:rsidRDefault="002B2EC1">
            <w:pPr>
              <w:numPr>
                <w:ilvl w:val="1"/>
                <w:numId w:val="12"/>
              </w:numPr>
              <w:spacing w:beforeLines="0" w:afterLines="0" w:line="240" w:lineRule="auto"/>
              <w:rPr>
                <w:rFonts w:eastAsia="Times New Roman"/>
                <w:sz w:val="18"/>
                <w:szCs w:val="18"/>
              </w:rPr>
            </w:pPr>
            <w:r>
              <w:rPr>
                <w:rFonts w:eastAsia="Times New Roman"/>
                <w:sz w:val="18"/>
                <w:szCs w:val="18"/>
              </w:rPr>
              <w:t>FFS CDRX configuration details</w:t>
            </w:r>
          </w:p>
          <w:p w:rsidR="00B94A4B" w:rsidRDefault="002B2EC1">
            <w:pPr>
              <w:numPr>
                <w:ilvl w:val="0"/>
                <w:numId w:val="12"/>
              </w:numPr>
              <w:spacing w:beforeLines="0" w:afterLines="0" w:line="240" w:lineRule="auto"/>
              <w:rPr>
                <w:rFonts w:eastAsia="Times New Roman"/>
                <w:sz w:val="18"/>
                <w:szCs w:val="18"/>
              </w:rPr>
            </w:pPr>
            <w:r>
              <w:rPr>
                <w:rFonts w:eastAsia="Times New Roman"/>
                <w:sz w:val="18"/>
                <w:szCs w:val="18"/>
              </w:rPr>
              <w:t xml:space="preserve">Company can </w:t>
            </w:r>
            <w:r>
              <w:rPr>
                <w:rFonts w:eastAsia="Times New Roman"/>
                <w:color w:val="FF0000"/>
                <w:sz w:val="18"/>
                <w:szCs w:val="18"/>
              </w:rPr>
              <w:t xml:space="preserve">also </w:t>
            </w:r>
            <w:r>
              <w:rPr>
                <w:rFonts w:eastAsia="Times New Roman"/>
                <w:sz w:val="18"/>
                <w:szCs w:val="18"/>
              </w:rPr>
              <w:t xml:space="preserve">optionally evaluate </w:t>
            </w:r>
            <w:r>
              <w:rPr>
                <w:rFonts w:eastAsia="Times New Roman"/>
                <w:strike/>
                <w:color w:val="FF0000"/>
                <w:sz w:val="18"/>
                <w:szCs w:val="18"/>
              </w:rPr>
              <w:t>for</w:t>
            </w:r>
            <w:r>
              <w:rPr>
                <w:rFonts w:eastAsia="Times New Roman"/>
                <w:color w:val="FF0000"/>
                <w:sz w:val="18"/>
                <w:szCs w:val="18"/>
              </w:rPr>
              <w:t xml:space="preserve"> </w:t>
            </w:r>
            <w:r>
              <w:rPr>
                <w:rFonts w:eastAsia="Times New Roman"/>
                <w:sz w:val="18"/>
                <w:szCs w:val="18"/>
              </w:rPr>
              <w:t>other cases, e.g.</w:t>
            </w:r>
          </w:p>
          <w:p w:rsidR="00B94A4B" w:rsidRDefault="002B2EC1">
            <w:pPr>
              <w:numPr>
                <w:ilvl w:val="1"/>
                <w:numId w:val="12"/>
              </w:numPr>
              <w:spacing w:beforeLines="0" w:afterLines="0" w:line="240" w:lineRule="auto"/>
              <w:rPr>
                <w:rFonts w:eastAsia="Times New Roman"/>
                <w:sz w:val="18"/>
                <w:szCs w:val="18"/>
              </w:rPr>
            </w:pPr>
            <w:r>
              <w:rPr>
                <w:rFonts w:eastAsia="Times New Roman"/>
                <w:sz w:val="18"/>
                <w:szCs w:val="18"/>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p>
          <w:p w:rsidR="00B94A4B" w:rsidRDefault="002B2EC1">
            <w:pPr>
              <w:numPr>
                <w:ilvl w:val="1"/>
                <w:numId w:val="12"/>
              </w:numPr>
              <w:spacing w:beforeLines="0" w:afterLines="0" w:line="240" w:lineRule="auto"/>
              <w:rPr>
                <w:rFonts w:eastAsia="Times New Roman"/>
                <w:sz w:val="18"/>
                <w:szCs w:val="18"/>
              </w:rPr>
            </w:pPr>
            <w:r>
              <w:rPr>
                <w:rFonts w:eastAsia="Times New Roman"/>
                <w:sz w:val="18"/>
                <w:szCs w:val="18"/>
              </w:rPr>
              <w:t>R15/16/17 power saving techniques for connected mode, e.g., BWP, PDCCH skipping, search space switching, etc.</w:t>
            </w:r>
          </w:p>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highlight w:val="green"/>
              </w:rPr>
              <w:t>Agreements:</w:t>
            </w:r>
            <w:r>
              <w:rPr>
                <w:rStyle w:val="ad"/>
                <w:rFonts w:ascii="Times New Roman" w:hAnsi="Times New Roman" w:cs="Times New Roman"/>
                <w:sz w:val="18"/>
                <w:szCs w:val="18"/>
                <w:lang w:val="en-GB"/>
              </w:rPr>
              <w:t xml:space="preserve"> </w:t>
            </w:r>
            <w:r>
              <w:rPr>
                <w:rFonts w:ascii="Times New Roman" w:hAnsi="Times New Roman" w:cs="Times New Roman"/>
                <w:sz w:val="18"/>
                <w:szCs w:val="18"/>
              </w:rPr>
              <w:t xml:space="preserve">UE power consumption </w:t>
            </w:r>
            <w:r>
              <w:rPr>
                <w:rFonts w:ascii="Times New Roman" w:hAnsi="Times New Roman" w:cs="Times New Roman"/>
                <w:sz w:val="18"/>
                <w:szCs w:val="18"/>
                <w:lang w:val="en-GB"/>
              </w:rPr>
              <w:t xml:space="preserve">(i.e., power saving gain of the evaluated scheme) </w:t>
            </w:r>
            <w:r>
              <w:rPr>
                <w:rFonts w:ascii="Times New Roman" w:hAnsi="Times New Roman" w:cs="Times New Roman"/>
                <w:sz w:val="18"/>
                <w:szCs w:val="18"/>
              </w:rPr>
              <w:t xml:space="preserve">for XR is evaluated in conjunction with impact on latency, user experience, and capacity.  In this regard, the following table is used to collect results </w:t>
            </w:r>
            <w:r>
              <w:rPr>
                <w:rFonts w:ascii="Times New Roman" w:hAnsi="Times New Roman" w:cs="Times New Roman"/>
                <w:color w:val="FF0000"/>
                <w:sz w:val="18"/>
                <w:szCs w:val="18"/>
              </w:rPr>
              <w:t xml:space="preserve">for system level simulation </w:t>
            </w:r>
            <w:r>
              <w:rPr>
                <w:rFonts w:ascii="Times New Roman" w:hAnsi="Times New Roman" w:cs="Times New Roman"/>
                <w:sz w:val="18"/>
                <w:szCs w:val="18"/>
              </w:rPr>
              <w:t xml:space="preserve">from companies as a starting point. </w:t>
            </w:r>
          </w:p>
          <w:p w:rsidR="00B94A4B" w:rsidRDefault="002B2EC1">
            <w:pPr>
              <w:pStyle w:val="af1"/>
              <w:numPr>
                <w:ilvl w:val="1"/>
                <w:numId w:val="13"/>
              </w:numPr>
              <w:spacing w:afterLines="0" w:line="240" w:lineRule="auto"/>
              <w:rPr>
                <w:color w:val="FF0000"/>
                <w:sz w:val="18"/>
                <w:szCs w:val="18"/>
              </w:rPr>
            </w:pPr>
            <w:r>
              <w:rPr>
                <w:color w:val="FF0000"/>
                <w:sz w:val="18"/>
                <w:szCs w:val="18"/>
              </w:rPr>
              <w:t>FFS all UEs or only satisfied UEs are included for obtaining the PS gain</w:t>
            </w:r>
          </w:p>
          <w:p w:rsidR="00B94A4B" w:rsidRDefault="002B2EC1">
            <w:pPr>
              <w:pStyle w:val="xxmsonormal"/>
              <w:keepNext/>
              <w:spacing w:beforeLines="0" w:afterLines="0" w:line="240" w:lineRule="auto"/>
              <w:rPr>
                <w:rFonts w:ascii="Times New Roman" w:hAnsi="Times New Roman" w:cs="Times New Roman"/>
                <w:sz w:val="18"/>
                <w:szCs w:val="18"/>
              </w:rPr>
            </w:pPr>
            <w:r>
              <w:rPr>
                <w:rStyle w:val="ad"/>
                <w:rFonts w:ascii="Times New Roman" w:hAnsi="Times New Roman" w:cs="Times New Roman"/>
                <w:sz w:val="18"/>
                <w:szCs w:val="18"/>
                <w:lang w:val="en-GB"/>
              </w:rPr>
              <w:t xml:space="preserve">Table 1 </w:t>
            </w:r>
            <w:r>
              <w:rPr>
                <w:rStyle w:val="ad"/>
                <w:rFonts w:ascii="Times New Roman" w:hAnsi="Times New Roman" w:cs="Times New Roman"/>
                <w:sz w:val="18"/>
                <w:szCs w:val="18"/>
              </w:rPr>
              <w:t>Evaluation of UE power saving schemes for e.g., {dense urban, AR, FR1}</w:t>
            </w:r>
          </w:p>
          <w:tbl>
            <w:tblPr>
              <w:tblW w:w="0" w:type="auto"/>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B94A4B">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#satisfied UEs per cell</w:t>
                  </w:r>
                  <w:r>
                    <w:rPr>
                      <w:rFonts w:ascii="Times New Roman" w:hAnsi="Times New Roman" w:cs="Times New Roman"/>
                      <w:sz w:val="18"/>
                      <w:szCs w:val="18"/>
                      <w:vertAlign w:val="superscript"/>
                    </w:rPr>
                    <w:t>2</w:t>
                  </w:r>
                  <w:r>
                    <w:rPr>
                      <w:rFonts w:ascii="Times New Roman" w:hAnsi="Times New Roman" w:cs="Times New Roman"/>
                      <w:sz w:val="18"/>
                      <w:szCs w:val="18"/>
                    </w:rPr>
                    <w:t xml:space="preserve"> / #UEs per cell</w:t>
                  </w:r>
                  <w:r>
                    <w:rPr>
                      <w:rFonts w:ascii="Times New Roman" w:hAnsi="Times New Roman" w:cs="Times New Roman"/>
                      <w:sz w:val="18"/>
                      <w:szCs w:val="18"/>
                      <w:vertAlign w:val="superscript"/>
                    </w:rPr>
                    <w:t>3</w:t>
                  </w:r>
                </w:p>
              </w:tc>
            </w:tr>
            <w:tr w:rsidR="00B94A4B">
              <w:tc>
                <w:tcPr>
                  <w:tcW w:w="0" w:type="auto"/>
                  <w:vMerge/>
                  <w:tcBorders>
                    <w:top w:val="single" w:sz="8" w:space="0" w:color="auto"/>
                    <w:left w:val="single" w:sz="8" w:space="0" w:color="auto"/>
                    <w:bottom w:val="single" w:sz="8" w:space="0" w:color="auto"/>
                    <w:right w:val="single" w:sz="8" w:space="0" w:color="auto"/>
                  </w:tcBorders>
                  <w:vAlign w:val="center"/>
                </w:tcPr>
                <w:p w:rsidR="00B94A4B" w:rsidRDefault="00B94A4B">
                  <w:pPr>
                    <w:spacing w:beforeLines="0" w:afterLines="0" w:line="240" w:lineRule="auto"/>
                    <w:rPr>
                      <w:sz w:val="18"/>
                      <w:szCs w:val="18"/>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Optional</w:t>
                  </w:r>
                </w:p>
              </w:tc>
              <w:tc>
                <w:tcPr>
                  <w:tcW w:w="0" w:type="auto"/>
                  <w:vMerge/>
                  <w:tcBorders>
                    <w:top w:val="single" w:sz="8" w:space="0" w:color="auto"/>
                    <w:left w:val="nil"/>
                    <w:bottom w:val="single" w:sz="8" w:space="0" w:color="auto"/>
                    <w:right w:val="single" w:sz="8" w:space="0" w:color="auto"/>
                  </w:tcBorders>
                  <w:vAlign w:val="center"/>
                </w:tcPr>
                <w:p w:rsidR="00B94A4B" w:rsidRDefault="00B94A4B">
                  <w:pPr>
                    <w:spacing w:beforeLines="0" w:afterLines="0" w:line="240" w:lineRule="auto"/>
                    <w:rPr>
                      <w:sz w:val="18"/>
                      <w:szCs w:val="18"/>
                    </w:rPr>
                  </w:pPr>
                </w:p>
              </w:tc>
            </w:tr>
            <w:tr w:rsidR="00B94A4B">
              <w:tc>
                <w:tcPr>
                  <w:tcW w:w="0" w:type="auto"/>
                  <w:vMerge/>
                  <w:tcBorders>
                    <w:top w:val="single" w:sz="8" w:space="0" w:color="auto"/>
                    <w:left w:val="single" w:sz="8" w:space="0" w:color="auto"/>
                    <w:bottom w:val="single" w:sz="8" w:space="0" w:color="auto"/>
                    <w:right w:val="single" w:sz="8" w:space="0" w:color="auto"/>
                  </w:tcBorders>
                  <w:vAlign w:val="center"/>
                </w:tcPr>
                <w:p w:rsidR="00B94A4B" w:rsidRDefault="00B94A4B">
                  <w:pPr>
                    <w:spacing w:beforeLines="0" w:afterLines="0" w:line="240" w:lineRule="auto"/>
                    <w:rPr>
                      <w:sz w:val="18"/>
                      <w:szCs w:val="18"/>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PS gain of 5%-tile UE in PSG CDF</w:t>
                  </w:r>
                  <w:r>
                    <w:rPr>
                      <w:rFonts w:ascii="Times New Roman" w:hAnsi="Times New Roman" w:cs="Times New Roman"/>
                      <w:sz w:val="18"/>
                      <w:szCs w:val="18"/>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PS gain of 50%-tile UE in PSG CDF</w:t>
                  </w:r>
                  <w:r>
                    <w:rPr>
                      <w:rFonts w:ascii="Times New Roman" w:hAnsi="Times New Roman" w:cs="Times New Roman"/>
                      <w:sz w:val="18"/>
                      <w:szCs w:val="18"/>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PS gain of 95%-tile UE in PSG CDF</w:t>
                  </w:r>
                  <w:r>
                    <w:rPr>
                      <w:rFonts w:ascii="Times New Roman" w:hAnsi="Times New Roman" w:cs="Times New Roman"/>
                      <w:sz w:val="18"/>
                      <w:szCs w:val="18"/>
                      <w:vertAlign w:val="superscript"/>
                    </w:rPr>
                    <w:t>1</w:t>
                  </w:r>
                </w:p>
              </w:tc>
              <w:tc>
                <w:tcPr>
                  <w:tcW w:w="0" w:type="auto"/>
                  <w:vMerge/>
                  <w:tcBorders>
                    <w:top w:val="single" w:sz="8" w:space="0" w:color="auto"/>
                    <w:left w:val="nil"/>
                    <w:bottom w:val="single" w:sz="8" w:space="0" w:color="auto"/>
                    <w:right w:val="single" w:sz="8" w:space="0" w:color="auto"/>
                  </w:tcBorders>
                  <w:vAlign w:val="center"/>
                </w:tcPr>
                <w:p w:rsidR="00B94A4B" w:rsidRDefault="00B94A4B">
                  <w:pPr>
                    <w:spacing w:beforeLines="0" w:afterLines="0" w:line="240" w:lineRule="auto"/>
                    <w:rPr>
                      <w:sz w:val="18"/>
                      <w:szCs w:val="18"/>
                    </w:rPr>
                  </w:pPr>
                </w:p>
              </w:tc>
            </w:tr>
            <w:tr w:rsidR="00B94A4B">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K1 / N</w:t>
                  </w:r>
                </w:p>
              </w:tc>
            </w:tr>
            <w:tr w:rsidR="00B94A4B">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K2/ N</w:t>
                  </w:r>
                </w:p>
              </w:tc>
            </w:tr>
            <w:tr w:rsidR="00B94A4B">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rsidR="00B94A4B" w:rsidRDefault="002B2EC1">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K3 / N</w:t>
                  </w:r>
                </w:p>
              </w:tc>
            </w:tr>
            <w:tr w:rsidR="00B94A4B">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 </w:t>
                  </w:r>
                </w:p>
              </w:tc>
            </w:tr>
          </w:tbl>
          <w:p w:rsidR="00B94A4B" w:rsidRDefault="00B94A4B">
            <w:pPr>
              <w:spacing w:beforeLines="0" w:afterLines="0" w:line="240" w:lineRule="auto"/>
              <w:rPr>
                <w:rFonts w:eastAsia="Times New Roman"/>
                <w:sz w:val="18"/>
                <w:szCs w:val="18"/>
              </w:rPr>
            </w:pPr>
          </w:p>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 xml:space="preserve">Note 1: CDF of power saving gains of </w:t>
            </w:r>
            <w:r>
              <w:rPr>
                <w:rFonts w:ascii="Times New Roman" w:hAnsi="Times New Roman" w:cs="Times New Roman"/>
                <w:strike/>
                <w:color w:val="FF0000"/>
                <w:sz w:val="18"/>
                <w:szCs w:val="18"/>
              </w:rPr>
              <w:t>each</w:t>
            </w:r>
            <w:r>
              <w:rPr>
                <w:rFonts w:ascii="Times New Roman" w:hAnsi="Times New Roman" w:cs="Times New Roman"/>
                <w:color w:val="FF0000"/>
                <w:sz w:val="18"/>
                <w:szCs w:val="18"/>
              </w:rPr>
              <w:t xml:space="preserve"> </w:t>
            </w:r>
            <w:r>
              <w:rPr>
                <w:rFonts w:ascii="Times New Roman" w:hAnsi="Times New Roman" w:cs="Times New Roman"/>
                <w:sz w:val="18"/>
                <w:szCs w:val="18"/>
              </w:rPr>
              <w:t>UE</w:t>
            </w:r>
          </w:p>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Note 2: # of satisfied UEs per cell among # of UEs per cell (=N). </w:t>
            </w:r>
          </w:p>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Note 3: # of dropped UEs per cell (=N) that needs to be the same for all power saving schemes to be evaluated.</w:t>
            </w:r>
          </w:p>
          <w:p w:rsidR="00B94A4B" w:rsidRDefault="002B2EC1">
            <w:pPr>
              <w:pStyle w:val="xxmsonormal"/>
              <w:spacing w:beforeLines="0" w:afterLines="0" w:line="240" w:lineRule="auto"/>
              <w:rPr>
                <w:rFonts w:ascii="Times New Roman" w:hAnsi="Times New Roman" w:cs="Times New Roman"/>
                <w:sz w:val="18"/>
                <w:szCs w:val="18"/>
              </w:rPr>
            </w:pPr>
            <w:r>
              <w:rPr>
                <w:rFonts w:ascii="Times New Roman" w:hAnsi="Times New Roman" w:cs="Times New Roman"/>
                <w:sz w:val="18"/>
                <w:szCs w:val="18"/>
              </w:rPr>
              <w:t>Note 4: company to provide the detailed simulation assumptions including parameter values for each case, e.g. CDRX parameters</w:t>
            </w:r>
          </w:p>
          <w:p w:rsidR="00B94A4B" w:rsidRDefault="002B2EC1">
            <w:pPr>
              <w:spacing w:beforeLines="0" w:afterLines="0" w:line="240" w:lineRule="auto"/>
              <w:rPr>
                <w:sz w:val="18"/>
                <w:szCs w:val="18"/>
              </w:rPr>
            </w:pPr>
            <w:r>
              <w:rPr>
                <w:sz w:val="18"/>
                <w:szCs w:val="18"/>
                <w:highlight w:val="green"/>
              </w:rPr>
              <w:t>Agreements:</w:t>
            </w:r>
            <w:r>
              <w:rPr>
                <w:sz w:val="18"/>
                <w:szCs w:val="18"/>
              </w:rPr>
              <w:t xml:space="preserve"> For UL UE power consumption evaluation for UE with transmit power X [0,23] dBm, adopt the following </w:t>
            </w:r>
          </w:p>
          <w:p w:rsidR="00B94A4B" w:rsidRDefault="002B2EC1">
            <w:pPr>
              <w:numPr>
                <w:ilvl w:val="0"/>
                <w:numId w:val="14"/>
              </w:numPr>
              <w:spacing w:beforeLines="0" w:afterLines="0" w:line="240" w:lineRule="auto"/>
              <w:rPr>
                <w:sz w:val="18"/>
                <w:szCs w:val="18"/>
              </w:rPr>
            </w:pPr>
            <w:r>
              <w:rPr>
                <w:color w:val="FF0000"/>
                <w:sz w:val="18"/>
                <w:szCs w:val="18"/>
              </w:rPr>
              <w:t xml:space="preserve">Option 1 </w:t>
            </w:r>
            <w:r>
              <w:rPr>
                <w:strike/>
                <w:color w:val="FF0000"/>
                <w:sz w:val="18"/>
                <w:szCs w:val="18"/>
              </w:rPr>
              <w:t>(Baseline)</w:t>
            </w:r>
            <w:r>
              <w:rPr>
                <w:sz w:val="18"/>
                <w:szCs w:val="18"/>
              </w:rPr>
              <w:t xml:space="preserve">: Consider only two Tx power values as defined in TR 38.840 </w:t>
            </w:r>
          </w:p>
          <w:p w:rsidR="00B94A4B" w:rsidRDefault="002B2EC1">
            <w:pPr>
              <w:numPr>
                <w:ilvl w:val="1"/>
                <w:numId w:val="14"/>
              </w:numPr>
              <w:spacing w:beforeLines="0" w:afterLines="0" w:line="240" w:lineRule="auto"/>
              <w:rPr>
                <w:sz w:val="18"/>
                <w:szCs w:val="18"/>
              </w:rPr>
            </w:pPr>
            <w:r>
              <w:rPr>
                <w:color w:val="FF0000"/>
                <w:sz w:val="18"/>
                <w:szCs w:val="18"/>
              </w:rPr>
              <w:t xml:space="preserve">Power number is given as </w:t>
            </w:r>
            <w:r>
              <w:rPr>
                <w:rStyle w:val="ad"/>
                <w:color w:val="FF0000"/>
                <w:sz w:val="18"/>
                <w:szCs w:val="18"/>
              </w:rPr>
              <w:t>A</w:t>
            </w:r>
            <w:r>
              <w:rPr>
                <w:color w:val="FF0000"/>
                <w:sz w:val="18"/>
                <w:szCs w:val="18"/>
              </w:rPr>
              <w:t xml:space="preserve"> for X= [0, M)dBm and </w:t>
            </w:r>
            <w:r>
              <w:rPr>
                <w:rStyle w:val="ad"/>
                <w:color w:val="FF0000"/>
                <w:sz w:val="18"/>
                <w:szCs w:val="18"/>
              </w:rPr>
              <w:t>B</w:t>
            </w:r>
            <w:r>
              <w:rPr>
                <w:color w:val="FF0000"/>
                <w:sz w:val="18"/>
                <w:szCs w:val="18"/>
              </w:rPr>
              <w:t xml:space="preserve"> for X =[M, 23]dBm, where </w:t>
            </w:r>
            <w:r>
              <w:rPr>
                <w:rStyle w:val="ad"/>
                <w:color w:val="FF0000"/>
                <w:sz w:val="18"/>
                <w:szCs w:val="18"/>
              </w:rPr>
              <w:t>A</w:t>
            </w:r>
            <w:r>
              <w:rPr>
                <w:color w:val="FF0000"/>
                <w:sz w:val="18"/>
                <w:szCs w:val="18"/>
              </w:rPr>
              <w:t xml:space="preserve"> and </w:t>
            </w:r>
            <w:r>
              <w:rPr>
                <w:rStyle w:val="ad"/>
                <w:color w:val="FF0000"/>
                <w:sz w:val="18"/>
                <w:szCs w:val="18"/>
              </w:rPr>
              <w:t>B</w:t>
            </w:r>
            <w:r>
              <w:rPr>
                <w:color w:val="FF0000"/>
                <w:sz w:val="18"/>
                <w:szCs w:val="18"/>
              </w:rPr>
              <w:t xml:space="preserve"> (defined in 38.840) correspond to power consumption numbers for a given uplink slot for 0dBm and 23dBm respectively.</w:t>
            </w:r>
            <w:r>
              <w:rPr>
                <w:sz w:val="18"/>
                <w:szCs w:val="18"/>
              </w:rPr>
              <w:t xml:space="preserve"> </w:t>
            </w:r>
          </w:p>
          <w:p w:rsidR="00B94A4B" w:rsidRDefault="002B2EC1">
            <w:pPr>
              <w:numPr>
                <w:ilvl w:val="2"/>
                <w:numId w:val="14"/>
              </w:numPr>
              <w:spacing w:beforeLines="0" w:afterLines="0" w:line="240" w:lineRule="auto"/>
              <w:rPr>
                <w:sz w:val="18"/>
                <w:szCs w:val="18"/>
              </w:rPr>
            </w:pPr>
            <w:r>
              <w:rPr>
                <w:sz w:val="18"/>
                <w:szCs w:val="18"/>
              </w:rPr>
              <w:t xml:space="preserve">M = </w:t>
            </w:r>
            <w:r>
              <w:rPr>
                <w:color w:val="FF0000"/>
                <w:sz w:val="18"/>
                <w:szCs w:val="18"/>
              </w:rPr>
              <w:t>[</w:t>
            </w:r>
            <w:r>
              <w:rPr>
                <w:sz w:val="18"/>
                <w:szCs w:val="18"/>
              </w:rPr>
              <w:t>20</w:t>
            </w:r>
            <w:r>
              <w:rPr>
                <w:color w:val="FF0000"/>
                <w:sz w:val="18"/>
                <w:szCs w:val="18"/>
              </w:rPr>
              <w:t>]</w:t>
            </w:r>
          </w:p>
          <w:p w:rsidR="00B94A4B" w:rsidRDefault="002B2EC1">
            <w:pPr>
              <w:numPr>
                <w:ilvl w:val="2"/>
                <w:numId w:val="14"/>
              </w:numPr>
              <w:spacing w:beforeLines="0" w:afterLines="0" w:line="240" w:lineRule="auto"/>
              <w:rPr>
                <w:sz w:val="18"/>
                <w:szCs w:val="18"/>
              </w:rPr>
            </w:pPr>
            <w:r>
              <w:rPr>
                <w:sz w:val="18"/>
                <w:szCs w:val="18"/>
              </w:rPr>
              <w:t>Other value(s) of M can be optionally evaluated</w:t>
            </w:r>
          </w:p>
          <w:p w:rsidR="00B94A4B" w:rsidRDefault="002B2EC1">
            <w:pPr>
              <w:numPr>
                <w:ilvl w:val="0"/>
                <w:numId w:val="14"/>
              </w:numPr>
              <w:spacing w:beforeLines="0" w:afterLines="0" w:line="240" w:lineRule="auto"/>
              <w:rPr>
                <w:sz w:val="18"/>
                <w:szCs w:val="18"/>
              </w:rPr>
            </w:pPr>
            <w:r>
              <w:rPr>
                <w:color w:val="FF0000"/>
                <w:sz w:val="18"/>
                <w:szCs w:val="18"/>
              </w:rPr>
              <w:t>Option 2</w:t>
            </w:r>
            <w:r>
              <w:rPr>
                <w:strike/>
                <w:color w:val="FF0000"/>
                <w:sz w:val="18"/>
                <w:szCs w:val="18"/>
              </w:rPr>
              <w:t xml:space="preserve"> (FFS mandatory or optional)</w:t>
            </w:r>
            <w:r>
              <w:rPr>
                <w:sz w:val="18"/>
                <w:szCs w:val="18"/>
              </w:rPr>
              <w:t xml:space="preserve">: Linear interpolation method in linear scale for Tx power values other than 0 </w:t>
            </w:r>
            <w:r>
              <w:rPr>
                <w:color w:val="FF0000"/>
                <w:sz w:val="18"/>
                <w:szCs w:val="18"/>
              </w:rPr>
              <w:t xml:space="preserve">dBm </w:t>
            </w:r>
            <w:r>
              <w:rPr>
                <w:sz w:val="18"/>
                <w:szCs w:val="18"/>
              </w:rPr>
              <w:t xml:space="preserve">and 23 dBm </w:t>
            </w:r>
          </w:p>
          <w:p w:rsidR="00B94A4B" w:rsidRDefault="002B2EC1">
            <w:pPr>
              <w:pStyle w:val="af1"/>
              <w:numPr>
                <w:ilvl w:val="0"/>
                <w:numId w:val="14"/>
              </w:numPr>
              <w:spacing w:afterLines="0" w:line="240" w:lineRule="auto"/>
              <w:rPr>
                <w:sz w:val="18"/>
                <w:szCs w:val="18"/>
              </w:rPr>
            </w:pPr>
            <w:r>
              <w:rPr>
                <w:color w:val="FF0000"/>
                <w:sz w:val="18"/>
                <w:szCs w:val="18"/>
              </w:rPr>
              <w:t>FFS whether or not to differentiate the two options (e.g., mandatory vs. optional)</w:t>
            </w:r>
          </w:p>
          <w:p w:rsidR="00B94A4B" w:rsidRDefault="002B2EC1">
            <w:pPr>
              <w:pStyle w:val="af1"/>
              <w:numPr>
                <w:ilvl w:val="0"/>
                <w:numId w:val="14"/>
              </w:numPr>
              <w:spacing w:afterLines="0" w:line="240" w:lineRule="auto"/>
              <w:rPr>
                <w:sz w:val="18"/>
                <w:szCs w:val="18"/>
              </w:rPr>
            </w:pPr>
            <w:r>
              <w:rPr>
                <w:color w:val="FF0000"/>
                <w:sz w:val="18"/>
                <w:szCs w:val="18"/>
              </w:rPr>
              <w:t>FFS whether or not to consider UE with transmit power less than 0 dBm</w:t>
            </w:r>
          </w:p>
        </w:tc>
      </w:tr>
    </w:tbl>
    <w:p w:rsidR="00B94A4B" w:rsidRDefault="002B2EC1">
      <w:pPr>
        <w:pStyle w:val="1"/>
        <w:spacing w:before="120" w:after="120"/>
        <w:ind w:left="0"/>
      </w:pPr>
      <w:r>
        <w:rPr>
          <w:rFonts w:hint="eastAsia"/>
        </w:rPr>
        <w:lastRenderedPageBreak/>
        <w:t>Discussion</w:t>
      </w:r>
      <w:r>
        <w:t>s</w:t>
      </w:r>
      <w:r>
        <w:rPr>
          <w:rFonts w:hint="eastAsia"/>
        </w:rPr>
        <w:t xml:space="preserve"> </w:t>
      </w:r>
    </w:p>
    <w:p w:rsidR="00B94A4B" w:rsidRDefault="002B2EC1">
      <w:pPr>
        <w:pStyle w:val="2"/>
        <w:spacing w:before="120" w:after="120"/>
        <w:ind w:left="991" w:right="210" w:hangingChars="354" w:hanging="991"/>
        <w:rPr>
          <w:rFonts w:eastAsiaTheme="minorEastAsia"/>
        </w:rPr>
      </w:pPr>
      <w:r>
        <w:rPr>
          <w:rFonts w:eastAsiaTheme="minorEastAsia" w:hint="eastAsia"/>
        </w:rPr>
        <w:t>Deployments and Applications</w:t>
      </w:r>
      <w:r>
        <w:rPr>
          <w:rFonts w:hint="eastAsia"/>
        </w:rPr>
        <w:t xml:space="preserve"> </w:t>
      </w:r>
    </w:p>
    <w:p w:rsidR="00B94A4B" w:rsidRDefault="002B2EC1">
      <w:pPr>
        <w:numPr>
          <w:ilvl w:val="0"/>
          <w:numId w:val="15"/>
        </w:numPr>
        <w:spacing w:before="120" w:after="120"/>
        <w:rPr>
          <w:b/>
          <w:bCs/>
          <w:u w:val="single"/>
        </w:rPr>
      </w:pPr>
      <w:r>
        <w:rPr>
          <w:rFonts w:hint="eastAsia"/>
          <w:b/>
          <w:bCs/>
          <w:u w:val="single"/>
        </w:rPr>
        <w:t>Combinations of deployment scenarios and applications</w:t>
      </w:r>
    </w:p>
    <w:p w:rsidR="00B94A4B" w:rsidRDefault="002B2EC1">
      <w:pPr>
        <w:spacing w:before="120" w:after="120"/>
      </w:pPr>
      <w:r>
        <w:rPr>
          <w:rFonts w:hint="eastAsia"/>
        </w:rPr>
        <w:t>The traffic models had been studied and the following agreements were reached in RAN1 #104-e meeting.</w:t>
      </w:r>
    </w:p>
    <w:tbl>
      <w:tblPr>
        <w:tblStyle w:val="ac"/>
        <w:tblW w:w="0" w:type="auto"/>
        <w:tblLook w:val="04A0" w:firstRow="1" w:lastRow="0" w:firstColumn="1" w:lastColumn="0" w:noHBand="0" w:noVBand="1"/>
      </w:tblPr>
      <w:tblGrid>
        <w:gridCol w:w="9876"/>
      </w:tblGrid>
      <w:tr w:rsidR="00B94A4B">
        <w:tc>
          <w:tcPr>
            <w:tcW w:w="9876" w:type="dxa"/>
          </w:tcPr>
          <w:p w:rsidR="00B94A4B" w:rsidRDefault="002B2EC1">
            <w:pPr>
              <w:pStyle w:val="af1"/>
              <w:overflowPunct w:val="0"/>
              <w:autoSpaceDE w:val="0"/>
              <w:autoSpaceDN w:val="0"/>
              <w:spacing w:after="120"/>
              <w:ind w:left="0"/>
              <w:rPr>
                <w:sz w:val="21"/>
                <w:szCs w:val="21"/>
              </w:rPr>
            </w:pPr>
            <w:r>
              <w:rPr>
                <w:sz w:val="21"/>
                <w:szCs w:val="21"/>
                <w:highlight w:val="green"/>
              </w:rPr>
              <w:t>Agreements:</w:t>
            </w:r>
            <w:r>
              <w:rPr>
                <w:sz w:val="21"/>
                <w:szCs w:val="21"/>
              </w:rPr>
              <w:t xml:space="preserve"> </w:t>
            </w:r>
          </w:p>
          <w:p w:rsidR="00B94A4B" w:rsidRDefault="002B2EC1">
            <w:pPr>
              <w:pStyle w:val="af1"/>
              <w:numPr>
                <w:ilvl w:val="0"/>
                <w:numId w:val="16"/>
              </w:numPr>
              <w:overflowPunct w:val="0"/>
              <w:autoSpaceDE w:val="0"/>
              <w:autoSpaceDN w:val="0"/>
              <w:spacing w:after="120"/>
              <w:rPr>
                <w:sz w:val="21"/>
                <w:szCs w:val="21"/>
              </w:rPr>
            </w:pPr>
            <w:r>
              <w:rPr>
                <w:sz w:val="21"/>
                <w:szCs w:val="21"/>
              </w:rPr>
              <w:t>Average data rate for DL video stream:</w:t>
            </w:r>
          </w:p>
          <w:p w:rsidR="00B94A4B" w:rsidRPr="009E4656" w:rsidRDefault="002B2EC1">
            <w:pPr>
              <w:pStyle w:val="af1"/>
              <w:numPr>
                <w:ilvl w:val="1"/>
                <w:numId w:val="16"/>
              </w:numPr>
              <w:overflowPunct w:val="0"/>
              <w:autoSpaceDE w:val="0"/>
              <w:autoSpaceDN w:val="0"/>
              <w:spacing w:after="120"/>
              <w:rPr>
                <w:sz w:val="21"/>
                <w:szCs w:val="21"/>
              </w:rPr>
            </w:pPr>
            <w:r>
              <w:rPr>
                <w:sz w:val="21"/>
                <w:szCs w:val="21"/>
              </w:rPr>
              <w:t>VR/AR: 3</w:t>
            </w:r>
            <w:r w:rsidRPr="009E4656">
              <w:rPr>
                <w:sz w:val="21"/>
                <w:szCs w:val="21"/>
              </w:rPr>
              <w:t xml:space="preserve">0, 45 Mbps @60fps (baseline) </w:t>
            </w:r>
          </w:p>
          <w:p w:rsidR="00B94A4B" w:rsidRPr="009E4656" w:rsidRDefault="002B2EC1">
            <w:pPr>
              <w:pStyle w:val="af1"/>
              <w:numPr>
                <w:ilvl w:val="2"/>
                <w:numId w:val="16"/>
              </w:numPr>
              <w:overflowPunct w:val="0"/>
              <w:autoSpaceDE w:val="0"/>
              <w:autoSpaceDN w:val="0"/>
              <w:spacing w:after="120"/>
              <w:rPr>
                <w:sz w:val="21"/>
                <w:szCs w:val="21"/>
              </w:rPr>
            </w:pPr>
            <w:r w:rsidRPr="009E4656">
              <w:rPr>
                <w:strike/>
                <w:sz w:val="21"/>
                <w:szCs w:val="21"/>
              </w:rPr>
              <w:t>30,</w:t>
            </w:r>
            <w:r w:rsidRPr="009E4656">
              <w:rPr>
                <w:sz w:val="21"/>
                <w:szCs w:val="21"/>
              </w:rPr>
              <w:t xml:space="preserve"> 60 Mbps @60fps (optional)</w:t>
            </w:r>
          </w:p>
          <w:p w:rsidR="00B94A4B" w:rsidRPr="009E4656" w:rsidRDefault="002B2EC1">
            <w:pPr>
              <w:pStyle w:val="af1"/>
              <w:numPr>
                <w:ilvl w:val="2"/>
                <w:numId w:val="16"/>
              </w:numPr>
              <w:overflowPunct w:val="0"/>
              <w:autoSpaceDE w:val="0"/>
              <w:autoSpaceDN w:val="0"/>
              <w:spacing w:after="120"/>
              <w:rPr>
                <w:sz w:val="21"/>
                <w:szCs w:val="21"/>
              </w:rPr>
            </w:pPr>
            <w:r w:rsidRPr="009E4656">
              <w:rPr>
                <w:sz w:val="21"/>
                <w:szCs w:val="21"/>
              </w:rPr>
              <w:t>Note: this is the aggregated data rate when applicable</w:t>
            </w:r>
          </w:p>
          <w:p w:rsidR="00B94A4B" w:rsidRPr="009E4656" w:rsidRDefault="002B2EC1">
            <w:pPr>
              <w:pStyle w:val="af1"/>
              <w:numPr>
                <w:ilvl w:val="1"/>
                <w:numId w:val="16"/>
              </w:numPr>
              <w:overflowPunct w:val="0"/>
              <w:autoSpaceDE w:val="0"/>
              <w:autoSpaceDN w:val="0"/>
              <w:spacing w:after="120"/>
              <w:rPr>
                <w:sz w:val="21"/>
                <w:szCs w:val="21"/>
              </w:rPr>
            </w:pPr>
            <w:r w:rsidRPr="009E4656">
              <w:rPr>
                <w:sz w:val="21"/>
                <w:szCs w:val="21"/>
              </w:rPr>
              <w:t>CG: 8, 30 Mbps @60fps (baseline)</w:t>
            </w:r>
          </w:p>
          <w:p w:rsidR="00B94A4B" w:rsidRDefault="002B2EC1">
            <w:pPr>
              <w:pStyle w:val="af1"/>
              <w:numPr>
                <w:ilvl w:val="2"/>
                <w:numId w:val="16"/>
              </w:numPr>
              <w:overflowPunct w:val="0"/>
              <w:autoSpaceDE w:val="0"/>
              <w:autoSpaceDN w:val="0"/>
              <w:spacing w:after="120"/>
              <w:rPr>
                <w:sz w:val="21"/>
                <w:szCs w:val="21"/>
              </w:rPr>
            </w:pPr>
            <w:r w:rsidRPr="009E4656">
              <w:rPr>
                <w:strike/>
                <w:sz w:val="21"/>
                <w:szCs w:val="21"/>
              </w:rPr>
              <w:t>8,</w:t>
            </w:r>
            <w:r w:rsidRPr="009E4656">
              <w:rPr>
                <w:sz w:val="21"/>
                <w:szCs w:val="21"/>
              </w:rPr>
              <w:t xml:space="preserve"> 45 Mbps @60fps (optional</w:t>
            </w:r>
            <w:r>
              <w:rPr>
                <w:sz w:val="21"/>
                <w:szCs w:val="21"/>
              </w:rPr>
              <w:t>)</w:t>
            </w:r>
          </w:p>
          <w:p w:rsidR="00B94A4B" w:rsidRDefault="002B2EC1">
            <w:pPr>
              <w:numPr>
                <w:ilvl w:val="1"/>
                <w:numId w:val="16"/>
              </w:numPr>
              <w:spacing w:before="120" w:after="120"/>
              <w:rPr>
                <w:szCs w:val="21"/>
              </w:rPr>
            </w:pPr>
            <w:r>
              <w:rPr>
                <w:szCs w:val="21"/>
              </w:rPr>
              <w:t xml:space="preserve">Other values (in combination with fps) can be also optionally evaluated. </w:t>
            </w:r>
          </w:p>
          <w:p w:rsidR="00B94A4B" w:rsidRDefault="002B2EC1">
            <w:pPr>
              <w:pStyle w:val="af1"/>
              <w:numPr>
                <w:ilvl w:val="0"/>
                <w:numId w:val="17"/>
              </w:numPr>
              <w:autoSpaceDN w:val="0"/>
              <w:spacing w:after="120"/>
              <w:ind w:left="1080"/>
              <w:rPr>
                <w:sz w:val="21"/>
                <w:szCs w:val="21"/>
              </w:rPr>
            </w:pPr>
            <w:r>
              <w:rPr>
                <w:sz w:val="21"/>
                <w:szCs w:val="21"/>
              </w:rPr>
              <w:t>Air interface PDB for DL video stream</w:t>
            </w:r>
            <w:r>
              <w:rPr>
                <w:rStyle w:val="apple-converted-space"/>
                <w:sz w:val="21"/>
                <w:szCs w:val="21"/>
              </w:rPr>
              <w:t> </w:t>
            </w:r>
          </w:p>
          <w:p w:rsidR="00B94A4B" w:rsidRDefault="002B2EC1">
            <w:pPr>
              <w:pStyle w:val="af1"/>
              <w:numPr>
                <w:ilvl w:val="1"/>
                <w:numId w:val="17"/>
              </w:numPr>
              <w:autoSpaceDN w:val="0"/>
              <w:spacing w:after="120"/>
              <w:ind w:left="1800"/>
              <w:rPr>
                <w:sz w:val="21"/>
                <w:szCs w:val="21"/>
              </w:rPr>
            </w:pPr>
            <w:r>
              <w:rPr>
                <w:sz w:val="21"/>
                <w:szCs w:val="21"/>
              </w:rPr>
              <w:t>VR/AR:</w:t>
            </w:r>
            <w:r>
              <w:rPr>
                <w:rStyle w:val="apple-converted-space"/>
                <w:sz w:val="21"/>
                <w:szCs w:val="21"/>
              </w:rPr>
              <w:t> </w:t>
            </w:r>
          </w:p>
          <w:p w:rsidR="00B94A4B" w:rsidRDefault="002B2EC1">
            <w:pPr>
              <w:pStyle w:val="af1"/>
              <w:numPr>
                <w:ilvl w:val="2"/>
                <w:numId w:val="17"/>
              </w:numPr>
              <w:autoSpaceDN w:val="0"/>
              <w:spacing w:after="120"/>
              <w:ind w:left="2520"/>
              <w:rPr>
                <w:sz w:val="21"/>
                <w:szCs w:val="21"/>
              </w:rPr>
            </w:pPr>
            <w:r>
              <w:rPr>
                <w:sz w:val="21"/>
                <w:szCs w:val="21"/>
              </w:rPr>
              <w:t>10ms</w:t>
            </w:r>
            <w:r>
              <w:rPr>
                <w:rStyle w:val="apple-converted-space"/>
                <w:sz w:val="21"/>
                <w:szCs w:val="21"/>
              </w:rPr>
              <w:t> </w:t>
            </w:r>
          </w:p>
          <w:p w:rsidR="00B94A4B" w:rsidRDefault="002B2EC1">
            <w:pPr>
              <w:pStyle w:val="af1"/>
              <w:numPr>
                <w:ilvl w:val="2"/>
                <w:numId w:val="17"/>
              </w:numPr>
              <w:autoSpaceDN w:val="0"/>
              <w:spacing w:after="120"/>
              <w:ind w:left="2520"/>
              <w:rPr>
                <w:sz w:val="21"/>
                <w:szCs w:val="21"/>
              </w:rPr>
            </w:pPr>
            <w:r>
              <w:rPr>
                <w:sz w:val="21"/>
                <w:szCs w:val="21"/>
              </w:rPr>
              <w:t>Other values, e.g., 5ms, 20 ms can be optionally evaluated.</w:t>
            </w:r>
            <w:r>
              <w:rPr>
                <w:rStyle w:val="apple-converted-space"/>
                <w:sz w:val="21"/>
                <w:szCs w:val="21"/>
              </w:rPr>
              <w:t> </w:t>
            </w:r>
          </w:p>
          <w:p w:rsidR="00B94A4B" w:rsidRDefault="002B2EC1">
            <w:pPr>
              <w:pStyle w:val="af1"/>
              <w:numPr>
                <w:ilvl w:val="1"/>
                <w:numId w:val="17"/>
              </w:numPr>
              <w:autoSpaceDN w:val="0"/>
              <w:spacing w:after="120"/>
              <w:ind w:left="1800"/>
              <w:rPr>
                <w:sz w:val="21"/>
                <w:szCs w:val="21"/>
              </w:rPr>
            </w:pPr>
            <w:r>
              <w:rPr>
                <w:sz w:val="21"/>
                <w:szCs w:val="21"/>
              </w:rPr>
              <w:t>CG:</w:t>
            </w:r>
            <w:r>
              <w:rPr>
                <w:rStyle w:val="apple-converted-space"/>
                <w:sz w:val="21"/>
                <w:szCs w:val="21"/>
              </w:rPr>
              <w:t> </w:t>
            </w:r>
          </w:p>
          <w:p w:rsidR="00B94A4B" w:rsidRDefault="002B2EC1">
            <w:pPr>
              <w:pStyle w:val="af1"/>
              <w:numPr>
                <w:ilvl w:val="2"/>
                <w:numId w:val="17"/>
              </w:numPr>
              <w:autoSpaceDN w:val="0"/>
              <w:spacing w:after="120"/>
              <w:ind w:left="2520"/>
              <w:rPr>
                <w:sz w:val="21"/>
                <w:szCs w:val="21"/>
              </w:rPr>
            </w:pPr>
            <w:r>
              <w:rPr>
                <w:sz w:val="21"/>
                <w:szCs w:val="21"/>
              </w:rPr>
              <w:t>15ms</w:t>
            </w:r>
          </w:p>
          <w:p w:rsidR="00B94A4B" w:rsidRDefault="002B2EC1">
            <w:pPr>
              <w:pStyle w:val="af1"/>
              <w:numPr>
                <w:ilvl w:val="2"/>
                <w:numId w:val="17"/>
              </w:numPr>
              <w:autoSpaceDN w:val="0"/>
              <w:spacing w:after="120"/>
              <w:ind w:left="2520"/>
              <w:rPr>
                <w:sz w:val="21"/>
                <w:szCs w:val="21"/>
              </w:rPr>
            </w:pPr>
            <w:r>
              <w:rPr>
                <w:sz w:val="21"/>
                <w:szCs w:val="21"/>
              </w:rPr>
              <w:t>Other values, e.g., 10ms, 30ms can be optionally evaluated.</w:t>
            </w:r>
            <w:r>
              <w:rPr>
                <w:rStyle w:val="apple-converted-space"/>
                <w:sz w:val="21"/>
                <w:szCs w:val="21"/>
              </w:rPr>
              <w:t> </w:t>
            </w:r>
          </w:p>
          <w:p w:rsidR="00B94A4B" w:rsidRDefault="002B2EC1">
            <w:pPr>
              <w:spacing w:before="120" w:after="120"/>
              <w:rPr>
                <w:rFonts w:ascii="Calibri" w:hAnsi="Calibri"/>
                <w:szCs w:val="21"/>
              </w:rPr>
            </w:pPr>
            <w:r>
              <w:rPr>
                <w:szCs w:val="21"/>
                <w:highlight w:val="darkYellow"/>
              </w:rPr>
              <w:t>Working assumption</w:t>
            </w:r>
            <w:r>
              <w:rPr>
                <w:szCs w:val="21"/>
              </w:rPr>
              <w:t>: On UL Traffic model and QoS parameters</w:t>
            </w:r>
          </w:p>
          <w:p w:rsidR="00B94A4B" w:rsidRDefault="002B2EC1">
            <w:pPr>
              <w:pStyle w:val="af1"/>
              <w:numPr>
                <w:ilvl w:val="0"/>
                <w:numId w:val="16"/>
              </w:numPr>
              <w:overflowPunct w:val="0"/>
              <w:autoSpaceDE w:val="0"/>
              <w:autoSpaceDN w:val="0"/>
              <w:spacing w:after="120"/>
              <w:rPr>
                <w:rFonts w:cs="Times"/>
                <w:sz w:val="21"/>
                <w:szCs w:val="21"/>
              </w:rPr>
            </w:pPr>
            <w:r>
              <w:rPr>
                <w:rFonts w:cs="Times"/>
                <w:sz w:val="21"/>
                <w:szCs w:val="21"/>
              </w:rPr>
              <w:t>CG/VR: single stream (pose/control)</w:t>
            </w:r>
          </w:p>
          <w:p w:rsidR="00B94A4B" w:rsidRDefault="002B2EC1">
            <w:pPr>
              <w:pStyle w:val="af1"/>
              <w:numPr>
                <w:ilvl w:val="0"/>
                <w:numId w:val="16"/>
              </w:numPr>
              <w:overflowPunct w:val="0"/>
              <w:autoSpaceDE w:val="0"/>
              <w:autoSpaceDN w:val="0"/>
              <w:spacing w:after="120"/>
              <w:rPr>
                <w:rFonts w:cs="Times"/>
                <w:sz w:val="21"/>
                <w:szCs w:val="21"/>
              </w:rPr>
            </w:pPr>
            <w:r>
              <w:rPr>
                <w:rFonts w:cs="Times"/>
                <w:sz w:val="21"/>
                <w:szCs w:val="21"/>
              </w:rPr>
              <w:t xml:space="preserve">Traffic model for Pose/control </w:t>
            </w:r>
          </w:p>
          <w:p w:rsidR="00B94A4B" w:rsidRDefault="002B2EC1">
            <w:pPr>
              <w:pStyle w:val="af1"/>
              <w:numPr>
                <w:ilvl w:val="1"/>
                <w:numId w:val="16"/>
              </w:numPr>
              <w:overflowPunct w:val="0"/>
              <w:autoSpaceDE w:val="0"/>
              <w:autoSpaceDN w:val="0"/>
              <w:spacing w:after="120"/>
              <w:rPr>
                <w:rFonts w:cs="Times"/>
                <w:sz w:val="21"/>
                <w:szCs w:val="21"/>
              </w:rPr>
            </w:pPr>
            <w:r>
              <w:rPr>
                <w:rFonts w:cs="Times"/>
                <w:sz w:val="21"/>
                <w:szCs w:val="21"/>
              </w:rPr>
              <w:t xml:space="preserve">Periodic: 4ms (no jitter) </w:t>
            </w:r>
          </w:p>
          <w:p w:rsidR="00B94A4B" w:rsidRDefault="002B2EC1">
            <w:pPr>
              <w:pStyle w:val="af1"/>
              <w:numPr>
                <w:ilvl w:val="2"/>
                <w:numId w:val="16"/>
              </w:numPr>
              <w:overflowPunct w:val="0"/>
              <w:autoSpaceDE w:val="0"/>
              <w:autoSpaceDN w:val="0"/>
              <w:spacing w:after="120"/>
              <w:rPr>
                <w:rFonts w:cs="Times"/>
                <w:sz w:val="21"/>
                <w:szCs w:val="21"/>
              </w:rPr>
            </w:pPr>
            <w:r>
              <w:rPr>
                <w:rFonts w:cs="Times"/>
                <w:sz w:val="21"/>
                <w:szCs w:val="21"/>
              </w:rPr>
              <w:t xml:space="preserve">Other values can be optionally evaluated. </w:t>
            </w:r>
          </w:p>
          <w:p w:rsidR="00B94A4B" w:rsidRDefault="002B2EC1">
            <w:pPr>
              <w:pStyle w:val="af1"/>
              <w:numPr>
                <w:ilvl w:val="1"/>
                <w:numId w:val="16"/>
              </w:numPr>
              <w:overflowPunct w:val="0"/>
              <w:autoSpaceDE w:val="0"/>
              <w:autoSpaceDN w:val="0"/>
              <w:spacing w:after="120"/>
              <w:rPr>
                <w:rFonts w:cs="Times"/>
                <w:sz w:val="21"/>
                <w:szCs w:val="21"/>
              </w:rPr>
            </w:pPr>
            <w:r>
              <w:rPr>
                <w:rFonts w:cs="Times"/>
                <w:sz w:val="21"/>
                <w:szCs w:val="21"/>
              </w:rPr>
              <w:t>Fixed: 100 bytes (SA4 input)</w:t>
            </w:r>
          </w:p>
          <w:p w:rsidR="00B94A4B" w:rsidRDefault="002B2EC1">
            <w:pPr>
              <w:pStyle w:val="af1"/>
              <w:numPr>
                <w:ilvl w:val="1"/>
                <w:numId w:val="16"/>
              </w:numPr>
              <w:overflowPunct w:val="0"/>
              <w:autoSpaceDE w:val="0"/>
              <w:autoSpaceDN w:val="0"/>
              <w:spacing w:after="120"/>
              <w:rPr>
                <w:rFonts w:cs="Times"/>
                <w:sz w:val="21"/>
                <w:szCs w:val="21"/>
              </w:rPr>
            </w:pPr>
            <w:r>
              <w:rPr>
                <w:rFonts w:cs="Times"/>
                <w:sz w:val="21"/>
                <w:szCs w:val="21"/>
              </w:rPr>
              <w:t>PDB: 10 ms</w:t>
            </w:r>
          </w:p>
          <w:p w:rsidR="00B94A4B" w:rsidRDefault="002B2EC1">
            <w:pPr>
              <w:pStyle w:val="af1"/>
              <w:numPr>
                <w:ilvl w:val="0"/>
                <w:numId w:val="16"/>
              </w:numPr>
              <w:overflowPunct w:val="0"/>
              <w:autoSpaceDE w:val="0"/>
              <w:autoSpaceDN w:val="0"/>
              <w:spacing w:after="120"/>
              <w:rPr>
                <w:rFonts w:cs="Times"/>
                <w:sz w:val="21"/>
                <w:szCs w:val="21"/>
              </w:rPr>
            </w:pPr>
            <w:r>
              <w:rPr>
                <w:rFonts w:cs="Times"/>
                <w:sz w:val="21"/>
                <w:szCs w:val="21"/>
              </w:rPr>
              <w:t xml:space="preserve">AR </w:t>
            </w:r>
          </w:p>
          <w:p w:rsidR="00B94A4B" w:rsidRDefault="002B2EC1">
            <w:pPr>
              <w:pStyle w:val="af1"/>
              <w:numPr>
                <w:ilvl w:val="1"/>
                <w:numId w:val="16"/>
              </w:numPr>
              <w:overflowPunct w:val="0"/>
              <w:autoSpaceDE w:val="0"/>
              <w:autoSpaceDN w:val="0"/>
              <w:spacing w:after="120"/>
              <w:rPr>
                <w:sz w:val="21"/>
                <w:szCs w:val="21"/>
              </w:rPr>
            </w:pPr>
            <w:r>
              <w:rPr>
                <w:rFonts w:cs="Times"/>
                <w:sz w:val="21"/>
                <w:szCs w:val="21"/>
              </w:rPr>
              <w:t xml:space="preserve">FFS </w:t>
            </w:r>
          </w:p>
        </w:tc>
      </w:tr>
    </w:tbl>
    <w:p w:rsidR="00B94A4B" w:rsidRDefault="002B2EC1">
      <w:pPr>
        <w:spacing w:before="120" w:after="120"/>
      </w:pPr>
      <w:r>
        <w:rPr>
          <w:rFonts w:hint="eastAsia"/>
        </w:rPr>
        <w:lastRenderedPageBreak/>
        <w:t xml:space="preserve">Considering the </w:t>
      </w:r>
      <w:r>
        <w:rPr>
          <w:rFonts w:eastAsiaTheme="minorEastAsia" w:hint="eastAsia"/>
        </w:rPr>
        <w:t xml:space="preserve">simulation work load, it is proposed to </w:t>
      </w:r>
      <w:r>
        <w:rPr>
          <w:rFonts w:eastAsiaTheme="minorEastAsia"/>
        </w:rPr>
        <w:t>reduce the number of combinations for evaluation</w:t>
      </w:r>
      <w:r>
        <w:rPr>
          <w:rFonts w:eastAsiaTheme="minorEastAsia" w:hint="eastAsia"/>
        </w:rPr>
        <w:t xml:space="preserve">. </w:t>
      </w:r>
      <w:r>
        <w:rPr>
          <w:rFonts w:hint="eastAsia"/>
        </w:rPr>
        <w:t xml:space="preserve">For evaluation method, the baseline is </w:t>
      </w:r>
      <w:r>
        <w:t>DL and UL performances are evaluated independently</w:t>
      </w:r>
      <w:r>
        <w:rPr>
          <w:rFonts w:hint="eastAsia"/>
        </w:rPr>
        <w:t xml:space="preserve">. It is proposed that the </w:t>
      </w:r>
      <w:r>
        <w:rPr>
          <w:szCs w:val="21"/>
        </w:rPr>
        <w:t>combinations</w:t>
      </w:r>
      <w:r>
        <w:rPr>
          <w:rFonts w:hint="eastAsia"/>
          <w:szCs w:val="21"/>
        </w:rPr>
        <w:t xml:space="preserve"> </w:t>
      </w:r>
      <w:r>
        <w:rPr>
          <w:szCs w:val="21"/>
        </w:rPr>
        <w:t>of deployment scenarios and applications</w:t>
      </w:r>
      <w:r>
        <w:rPr>
          <w:rFonts w:hint="eastAsia"/>
          <w:szCs w:val="21"/>
        </w:rPr>
        <w:t xml:space="preserve"> for DL and UL traffic are considered separately.</w:t>
      </w:r>
    </w:p>
    <w:p w:rsidR="00B94A4B" w:rsidRDefault="002B2EC1">
      <w:pPr>
        <w:spacing w:before="120" w:after="120"/>
      </w:pPr>
      <w:r>
        <w:rPr>
          <w:rFonts w:hint="eastAsia"/>
        </w:rPr>
        <w:t xml:space="preserve">According to the agreements and working assumptions shown above, the configurations of DL video stream for VR and AR can be same though different from the counterpart for CG. It is obvious that VR and AR </w:t>
      </w:r>
      <w:r>
        <w:t>do not need to be simulated separately</w:t>
      </w:r>
      <w:r>
        <w:rPr>
          <w:rFonts w:hint="eastAsia"/>
        </w:rPr>
        <w:t xml:space="preserve"> at least for DL evaluation</w:t>
      </w:r>
      <w:r>
        <w:t>.</w:t>
      </w:r>
      <w:r>
        <w:rPr>
          <w:rFonts w:hint="eastAsia"/>
        </w:rPr>
        <w:t xml:space="preserve"> Similarly, the UL traffic models are same for CG and VR.</w:t>
      </w:r>
    </w:p>
    <w:p w:rsidR="00B94A4B" w:rsidRDefault="002B2EC1">
      <w:pPr>
        <w:pStyle w:val="YJ-Observation"/>
        <w:spacing w:before="120" w:after="120"/>
        <w:rPr>
          <w:lang w:val="en-US" w:eastAsia="zh-CN"/>
        </w:rPr>
      </w:pPr>
      <w:bookmarkStart w:id="0" w:name="_Toc68685639"/>
      <w:bookmarkStart w:id="1" w:name="_Toc68687704"/>
      <w:bookmarkStart w:id="2" w:name="_Toc68688225"/>
      <w:r>
        <w:rPr>
          <w:rFonts w:hint="eastAsia"/>
          <w:lang w:val="en-US" w:eastAsia="zh-CN"/>
        </w:rPr>
        <w:t>The configurations of DL video stream for VR and AR can be</w:t>
      </w:r>
      <w:r w:rsidR="00835C7C">
        <w:rPr>
          <w:lang w:val="en-US" w:eastAsia="zh-CN"/>
        </w:rPr>
        <w:t xml:space="preserve"> the</w:t>
      </w:r>
      <w:r>
        <w:rPr>
          <w:rFonts w:hint="eastAsia"/>
          <w:lang w:val="en-US" w:eastAsia="zh-CN"/>
        </w:rPr>
        <w:t xml:space="preserve"> same and the UL traffic models for CG and VR are</w:t>
      </w:r>
      <w:r w:rsidR="009E1D95">
        <w:rPr>
          <w:lang w:val="en-US" w:eastAsia="zh-CN"/>
        </w:rPr>
        <w:t xml:space="preserve"> the</w:t>
      </w:r>
      <w:r>
        <w:rPr>
          <w:rFonts w:hint="eastAsia"/>
          <w:lang w:val="en-US" w:eastAsia="zh-CN"/>
        </w:rPr>
        <w:t xml:space="preserve"> same.</w:t>
      </w:r>
      <w:bookmarkEnd w:id="0"/>
      <w:bookmarkEnd w:id="1"/>
      <w:bookmarkEnd w:id="2"/>
    </w:p>
    <w:p w:rsidR="00B94A4B" w:rsidRDefault="002B2EC1">
      <w:pPr>
        <w:spacing w:before="120" w:after="120"/>
      </w:pPr>
      <w:r>
        <w:rPr>
          <w:rFonts w:hint="eastAsia"/>
        </w:rPr>
        <w:t xml:space="preserve">In SA4, it is </w:t>
      </w:r>
      <w:r>
        <w:t>proposed to prioritize completing</w:t>
      </w:r>
      <w:r>
        <w:rPr>
          <w:rFonts w:hint="eastAsia"/>
        </w:rPr>
        <w:t xml:space="preserve"> the work for VR2, AR2 (XR conversational) and CG</w:t>
      </w:r>
      <w:r>
        <w:t xml:space="preserve"> </w:t>
      </w:r>
      <w:r>
        <w:rPr>
          <w:rFonts w:hint="eastAsia"/>
        </w:rPr>
        <w:t xml:space="preserve">[2], so the deployments of VR2 AR2 and CG should be determined first. </w:t>
      </w:r>
    </w:p>
    <w:p w:rsidR="00B94A4B" w:rsidRDefault="002B2EC1">
      <w:pPr>
        <w:spacing w:before="120" w:after="120"/>
      </w:pPr>
      <w:r>
        <w:rPr>
          <w:rFonts w:hint="eastAsia"/>
        </w:rPr>
        <w:t xml:space="preserve">VR is </w:t>
      </w:r>
      <w:r>
        <w:t>a rendered version of a delivered visual and audio scene</w:t>
      </w:r>
      <w:r>
        <w:rPr>
          <w:rFonts w:hint="eastAsia"/>
        </w:rPr>
        <w:t xml:space="preserve"> </w:t>
      </w:r>
      <w:r>
        <w:rPr>
          <w:shd w:val="clear" w:color="auto" w:fill="FFFFFF"/>
        </w:rPr>
        <w:t>requiring</w:t>
      </w:r>
      <w:r>
        <w:rPr>
          <w:rFonts w:hint="eastAsia"/>
          <w:shd w:val="clear" w:color="auto" w:fill="FFFFFF"/>
        </w:rPr>
        <w:t xml:space="preserve"> </w:t>
      </w:r>
      <w:r>
        <w:rPr>
          <w:rFonts w:hint="eastAsia"/>
        </w:rPr>
        <w:t>a user to wear a head mounted display</w:t>
      </w:r>
      <w:r>
        <w:t>, to completely replace the user's field of view with a simulated visual component, and to wear headphones, to provide the user with the accompanying audio.</w:t>
      </w:r>
      <w:r>
        <w:rPr>
          <w:rFonts w:hint="eastAsia"/>
        </w:rPr>
        <w:t xml:space="preserve"> According to the VR use case of </w:t>
      </w:r>
      <w:r>
        <w:t>“Untethered Immersive Online Gaming”</w:t>
      </w:r>
      <w:r>
        <w:rPr>
          <w:rFonts w:hint="eastAsia"/>
        </w:rPr>
        <w:t xml:space="preserve"> provided in TR 26.928, several </w:t>
      </w:r>
      <w:r>
        <w:t>VR</w:t>
      </w:r>
      <w:r>
        <w:rPr>
          <w:rFonts w:hint="eastAsia"/>
        </w:rPr>
        <w:t xml:space="preserve"> users may be </w:t>
      </w:r>
      <w:r>
        <w:t xml:space="preserve">on travel and connect </w:t>
      </w:r>
      <w:r>
        <w:rPr>
          <w:rFonts w:hint="eastAsia"/>
        </w:rPr>
        <w:t>with each other via</w:t>
      </w:r>
      <w:r>
        <w:t xml:space="preserve"> a stand-alone HMD </w:t>
      </w:r>
      <w:r>
        <w:rPr>
          <w:rFonts w:hint="eastAsia"/>
        </w:rPr>
        <w:t>[3]</w:t>
      </w:r>
      <w:r>
        <w:t>.</w:t>
      </w:r>
      <w:r>
        <w:rPr>
          <w:rFonts w:hint="eastAsia"/>
        </w:rPr>
        <w:t xml:space="preserve"> Therefore </w:t>
      </w:r>
      <w:r>
        <w:t xml:space="preserve">VR </w:t>
      </w:r>
      <w:r>
        <w:rPr>
          <w:rFonts w:hint="eastAsia"/>
        </w:rPr>
        <w:t xml:space="preserve">can be used in both indoor and </w:t>
      </w:r>
      <w:r>
        <w:t>outdoor</w:t>
      </w:r>
      <w:r>
        <w:rPr>
          <w:rFonts w:hint="eastAsia"/>
        </w:rPr>
        <w:t xml:space="preserve"> scenario</w:t>
      </w:r>
      <w:r>
        <w:t>.</w:t>
      </w:r>
    </w:p>
    <w:p w:rsidR="00B94A4B" w:rsidRDefault="002B2EC1">
      <w:pPr>
        <w:spacing w:before="120" w:after="120"/>
      </w:pPr>
      <w:r>
        <w:rPr>
          <w:rFonts w:hint="eastAsia"/>
        </w:rPr>
        <w:t>AR2</w:t>
      </w:r>
      <w:r>
        <w:t xml:space="preserve"> </w:t>
      </w:r>
      <w:r>
        <w:rPr>
          <w:rFonts w:hint="eastAsia"/>
        </w:rPr>
        <w:t xml:space="preserve">(XR conversational) is an application when </w:t>
      </w:r>
      <w:r>
        <w:t xml:space="preserve">a user is provided with additional information or artificially generated items or content overlaid upon their current environment </w:t>
      </w:r>
      <w:r>
        <w:rPr>
          <w:rFonts w:hint="eastAsia"/>
        </w:rPr>
        <w:t>[4] featuring more UL traffic. Since people usually have a meeting at office or at home, indoor scenario is the major application scenarios for AR2.</w:t>
      </w:r>
    </w:p>
    <w:p w:rsidR="00B94A4B" w:rsidRDefault="002B2EC1">
      <w:pPr>
        <w:spacing w:before="120" w:after="120"/>
      </w:pPr>
      <w:r>
        <w:rPr>
          <w:rFonts w:hint="eastAsia"/>
        </w:rPr>
        <w:t>As CG can be played using a device</w:t>
      </w:r>
      <w:r>
        <w:t xml:space="preserve"> </w:t>
      </w:r>
      <w:r>
        <w:rPr>
          <w:rFonts w:hint="eastAsia"/>
        </w:rPr>
        <w:t xml:space="preserve">(e.g., mobile phone), CG could be used in both indoor and outdoor scenarios. </w:t>
      </w:r>
    </w:p>
    <w:p w:rsidR="00B94A4B" w:rsidRDefault="002B2EC1">
      <w:pPr>
        <w:spacing w:before="120" w:after="120"/>
      </w:pPr>
      <w:r>
        <w:rPr>
          <w:rFonts w:hint="eastAsia"/>
        </w:rPr>
        <w:t>VR and AR2 both can used in indoor scenario, so the combinations for evaluation can be reduced if VR and AR2 use a same DL traffic model.</w:t>
      </w:r>
    </w:p>
    <w:p w:rsidR="00B94A4B" w:rsidRDefault="002B2EC1">
      <w:pPr>
        <w:pStyle w:val="YJ-Proposal"/>
        <w:spacing w:before="120" w:after="120"/>
        <w:rPr>
          <w:lang w:val="en-US" w:eastAsia="zh-CN"/>
        </w:rPr>
      </w:pPr>
      <w:bookmarkStart w:id="3" w:name="_Toc68687710"/>
      <w:r>
        <w:rPr>
          <w:rFonts w:hint="eastAsia"/>
          <w:lang w:val="en-US" w:eastAsia="zh-CN"/>
        </w:rPr>
        <w:t>Prioritize the following combinations of deployment scenarios and applications:</w:t>
      </w:r>
      <w:bookmarkEnd w:id="3"/>
    </w:p>
    <w:p w:rsidR="00B94A4B" w:rsidRDefault="002B2EC1">
      <w:pPr>
        <w:pStyle w:val="YJ-Proposal"/>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4" w:name="_Toc68687711"/>
      <w:r>
        <w:rPr>
          <w:rFonts w:hint="eastAsia"/>
          <w:lang w:val="en-US" w:eastAsia="zh-CN"/>
        </w:rPr>
        <w:t>VR, CG: Indoor, dense urban</w:t>
      </w:r>
      <w:bookmarkEnd w:id="4"/>
    </w:p>
    <w:p w:rsidR="00B94A4B" w:rsidRDefault="002B2EC1">
      <w:pPr>
        <w:pStyle w:val="YJ-Proposal"/>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5" w:name="_Toc68687712"/>
      <w:r>
        <w:rPr>
          <w:rFonts w:hint="eastAsia"/>
          <w:lang w:val="en-US" w:eastAsia="zh-CN"/>
        </w:rPr>
        <w:t>AR: Indoor</w:t>
      </w:r>
      <w:bookmarkEnd w:id="5"/>
    </w:p>
    <w:p w:rsidR="00B94A4B" w:rsidRDefault="002B2EC1">
      <w:pPr>
        <w:pStyle w:val="YJ-Proposal"/>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6" w:name="_Toc68687713"/>
      <w:r>
        <w:rPr>
          <w:rFonts w:hint="eastAsia"/>
          <w:lang w:val="en-US" w:eastAsia="zh-CN"/>
        </w:rPr>
        <w:t>Note: For DL evaluation, VR/AR use a same DL traffic model.</w:t>
      </w:r>
      <w:bookmarkEnd w:id="6"/>
    </w:p>
    <w:p w:rsidR="00B94A4B" w:rsidRDefault="002B2EC1">
      <w:pPr>
        <w:numPr>
          <w:ilvl w:val="0"/>
          <w:numId w:val="15"/>
        </w:numPr>
        <w:spacing w:before="120" w:after="120"/>
        <w:rPr>
          <w:b/>
          <w:bCs/>
          <w:u w:val="single"/>
        </w:rPr>
      </w:pPr>
      <w:r>
        <w:rPr>
          <w:rFonts w:hint="eastAsia"/>
          <w:b/>
          <w:bCs/>
          <w:u w:val="single"/>
        </w:rPr>
        <w:t>FR2 evaluation</w:t>
      </w:r>
    </w:p>
    <w:p w:rsidR="00B94A4B" w:rsidRDefault="002B2EC1">
      <w:pPr>
        <w:numPr>
          <w:ilvl w:val="255"/>
          <w:numId w:val="0"/>
        </w:numPr>
        <w:spacing w:before="120" w:after="120"/>
      </w:pPr>
      <w:r>
        <w:t xml:space="preserve">In RAN1#103-e meeting, the </w:t>
      </w:r>
      <w:r>
        <w:rPr>
          <w:rFonts w:hint="eastAsia"/>
        </w:rPr>
        <w:t>c</w:t>
      </w:r>
      <w:r>
        <w:rPr>
          <w:lang w:val="en-GB"/>
        </w:rPr>
        <w:t>arrier frequency</w:t>
      </w:r>
      <w:r>
        <w:t xml:space="preserve"> </w:t>
      </w:r>
      <w:r>
        <w:rPr>
          <w:rFonts w:hint="eastAsia"/>
        </w:rPr>
        <w:t>was set</w:t>
      </w:r>
      <w:r>
        <w:t xml:space="preserve"> 4GHz for FR1 and 30GHz for FR2.</w:t>
      </w:r>
    </w:p>
    <w:p w:rsidR="00B94A4B" w:rsidRDefault="002B2EC1">
      <w:pPr>
        <w:numPr>
          <w:ilvl w:val="255"/>
          <w:numId w:val="0"/>
        </w:numPr>
        <w:spacing w:before="120" w:after="120"/>
      </w:pPr>
      <w:r>
        <w:rPr>
          <w:rFonts w:hint="eastAsia"/>
        </w:rPr>
        <w:t xml:space="preserve">In dense urban scenario, the gNB antennas are placed outdoor and some UEs may stay indoor. The penetration loss for outdoor-to-indoor(O2I) and pathloss includes outdoor and indoor should be considered. In [5], the air attenuation and rain attenuation are provided and are shown below. According to the information, the attenuation and pathloss will increase dramatically when the frequency changes from 4GHz to 30 GHz. According to [6,7], the O2I </w:t>
      </w:r>
      <w:r>
        <w:t>penetration</w:t>
      </w:r>
      <w:r>
        <w:rPr>
          <w:rFonts w:hint="eastAsia"/>
        </w:rPr>
        <w:t xml:space="preserve"> loss</w:t>
      </w:r>
      <w:r>
        <w:t xml:space="preserve"> </w:t>
      </w:r>
      <w:r>
        <w:rPr>
          <w:rFonts w:hint="eastAsia"/>
        </w:rPr>
        <w:t>also increases from 4GHz to 30GHz.</w:t>
      </w:r>
    </w:p>
    <w:p w:rsidR="00B94A4B" w:rsidRDefault="002B2EC1" w:rsidP="002B2EC1">
      <w:pPr>
        <w:pStyle w:val="YJ-Observation"/>
        <w:spacing w:before="120" w:after="120"/>
        <w:rPr>
          <w:lang w:val="en-US" w:eastAsia="zh-CN"/>
        </w:rPr>
      </w:pPr>
      <w:bookmarkStart w:id="7" w:name="_Toc68685640"/>
      <w:bookmarkStart w:id="8" w:name="_Toc68687705"/>
      <w:bookmarkStart w:id="9" w:name="_Toc68688226"/>
      <w:r>
        <w:rPr>
          <w:rFonts w:hint="eastAsia"/>
          <w:lang w:val="en-US" w:eastAsia="zh-CN"/>
        </w:rPr>
        <w:t>The attenuation and O2I penetration loss are large in FR2.</w:t>
      </w:r>
      <w:bookmarkEnd w:id="7"/>
      <w:bookmarkEnd w:id="8"/>
      <w:bookmarkEnd w:id="9"/>
    </w:p>
    <w:p w:rsidR="00B94A4B" w:rsidRDefault="00B94A4B">
      <w:pPr>
        <w:numPr>
          <w:ilvl w:val="255"/>
          <w:numId w:val="0"/>
        </w:numPr>
        <w:spacing w:before="120" w:after="120"/>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8"/>
        <w:gridCol w:w="4938"/>
      </w:tblGrid>
      <w:tr w:rsidR="00B94A4B">
        <w:tc>
          <w:tcPr>
            <w:tcW w:w="4938" w:type="dxa"/>
            <w:vAlign w:val="center"/>
          </w:tcPr>
          <w:p w:rsidR="00B94A4B" w:rsidRDefault="002B2EC1">
            <w:pPr>
              <w:numPr>
                <w:ilvl w:val="255"/>
                <w:numId w:val="0"/>
              </w:numPr>
              <w:spacing w:before="120" w:after="120"/>
              <w:jc w:val="center"/>
            </w:pPr>
            <w:r>
              <w:rPr>
                <w:noProof/>
              </w:rPr>
              <w:lastRenderedPageBreak/>
              <w:drawing>
                <wp:inline distT="0" distB="0" distL="114300" distR="114300">
                  <wp:extent cx="2879725" cy="1692910"/>
                  <wp:effectExtent l="0" t="0" r="15875" b="25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cstate="print"/>
                          <a:stretch>
                            <a:fillRect/>
                          </a:stretch>
                        </pic:blipFill>
                        <pic:spPr>
                          <a:xfrm>
                            <a:off x="0" y="0"/>
                            <a:ext cx="2879725" cy="1692910"/>
                          </a:xfrm>
                          <a:prstGeom prst="rect">
                            <a:avLst/>
                          </a:prstGeom>
                          <a:noFill/>
                          <a:ln>
                            <a:noFill/>
                          </a:ln>
                        </pic:spPr>
                      </pic:pic>
                    </a:graphicData>
                  </a:graphic>
                </wp:inline>
              </w:drawing>
            </w:r>
          </w:p>
        </w:tc>
        <w:tc>
          <w:tcPr>
            <w:tcW w:w="4938" w:type="dxa"/>
            <w:vAlign w:val="center"/>
          </w:tcPr>
          <w:p w:rsidR="00B94A4B" w:rsidRDefault="002B2EC1">
            <w:pPr>
              <w:numPr>
                <w:ilvl w:val="255"/>
                <w:numId w:val="0"/>
              </w:numPr>
              <w:spacing w:before="120" w:after="120"/>
              <w:jc w:val="center"/>
            </w:pPr>
            <w:r>
              <w:rPr>
                <w:noProof/>
              </w:rPr>
              <w:drawing>
                <wp:inline distT="0" distB="0" distL="114300" distR="114300">
                  <wp:extent cx="2879725" cy="1681480"/>
                  <wp:effectExtent l="0" t="0" r="15875" b="139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cstate="print"/>
                          <a:stretch>
                            <a:fillRect/>
                          </a:stretch>
                        </pic:blipFill>
                        <pic:spPr>
                          <a:xfrm>
                            <a:off x="0" y="0"/>
                            <a:ext cx="2879725" cy="1681480"/>
                          </a:xfrm>
                          <a:prstGeom prst="rect">
                            <a:avLst/>
                          </a:prstGeom>
                          <a:noFill/>
                          <a:ln>
                            <a:noFill/>
                          </a:ln>
                        </pic:spPr>
                      </pic:pic>
                    </a:graphicData>
                  </a:graphic>
                </wp:inline>
              </w:drawing>
            </w:r>
          </w:p>
        </w:tc>
      </w:tr>
      <w:tr w:rsidR="00B94A4B">
        <w:tc>
          <w:tcPr>
            <w:tcW w:w="4938" w:type="dxa"/>
            <w:vAlign w:val="center"/>
          </w:tcPr>
          <w:p w:rsidR="00B94A4B" w:rsidRDefault="002B2EC1">
            <w:pPr>
              <w:numPr>
                <w:ilvl w:val="255"/>
                <w:numId w:val="0"/>
              </w:numPr>
              <w:spacing w:before="120" w:after="120"/>
              <w:jc w:val="center"/>
            </w:pPr>
            <w:r>
              <w:rPr>
                <w:rFonts w:hint="eastAsia"/>
              </w:rPr>
              <w:t>(a)Specific attenuation due to gaseous absorption</w:t>
            </w:r>
          </w:p>
        </w:tc>
        <w:tc>
          <w:tcPr>
            <w:tcW w:w="4938" w:type="dxa"/>
            <w:vAlign w:val="center"/>
          </w:tcPr>
          <w:p w:rsidR="00B94A4B" w:rsidRDefault="002B2EC1">
            <w:pPr>
              <w:numPr>
                <w:ilvl w:val="255"/>
                <w:numId w:val="0"/>
              </w:numPr>
              <w:spacing w:before="120" w:after="120"/>
              <w:jc w:val="center"/>
            </w:pPr>
            <w:r>
              <w:rPr>
                <w:rFonts w:hint="eastAsia"/>
              </w:rPr>
              <w:t>(b)Specific rain attenuation</w:t>
            </w:r>
          </w:p>
        </w:tc>
      </w:tr>
    </w:tbl>
    <w:p w:rsidR="00B94A4B" w:rsidRDefault="002B2EC1">
      <w:pPr>
        <w:numPr>
          <w:ilvl w:val="255"/>
          <w:numId w:val="0"/>
        </w:numPr>
        <w:spacing w:before="120" w:after="120"/>
        <w:jc w:val="center"/>
      </w:pPr>
      <w:r w:rsidRPr="00240F59">
        <w:rPr>
          <w:rFonts w:hint="eastAsia"/>
        </w:rPr>
        <w:t xml:space="preserve">Figure </w:t>
      </w:r>
      <w:r w:rsidR="00240F59" w:rsidRPr="00240F59">
        <w:t>1 Specific</w:t>
      </w:r>
      <w:r w:rsidR="00240F59" w:rsidRPr="00240F59">
        <w:rPr>
          <w:rFonts w:hint="eastAsia"/>
        </w:rPr>
        <w:t xml:space="preserve"> a</w:t>
      </w:r>
      <w:r w:rsidRPr="00240F59">
        <w:rPr>
          <w:rFonts w:hint="eastAsia"/>
        </w:rPr>
        <w:t>ttenuation</w:t>
      </w:r>
      <w:r w:rsidRPr="00240F59">
        <w:rPr>
          <w:rFonts w:hint="eastAsia"/>
          <w:vertAlign w:val="superscript"/>
        </w:rPr>
        <w:t>[5]</w:t>
      </w:r>
    </w:p>
    <w:p w:rsidR="00B94A4B" w:rsidRDefault="002B2EC1">
      <w:pPr>
        <w:numPr>
          <w:ilvl w:val="255"/>
          <w:numId w:val="0"/>
        </w:numPr>
        <w:spacing w:before="120" w:after="120"/>
      </w:pPr>
      <w:r>
        <w:rPr>
          <w:rFonts w:hint="eastAsia"/>
        </w:rPr>
        <w:t>As discussed above, the attenuation and O2I penetration loss may be large in FR2 and may influence the UE experience. Indoor scenario is not affected by rain and has low probability for O2I penetration loss. The XR service in the dense urban scenario may have greater difficulties than</w:t>
      </w:r>
      <w:r w:rsidR="00B35DE9">
        <w:rPr>
          <w:rFonts w:hint="eastAsia"/>
        </w:rPr>
        <w:t xml:space="preserve"> in</w:t>
      </w:r>
      <w:r>
        <w:rPr>
          <w:rFonts w:hint="eastAsia"/>
        </w:rPr>
        <w:t xml:space="preserve"> indoor scenario. As for the evaluation work load, the dense urban requires longer simulation time than indoor scenario.</w:t>
      </w:r>
    </w:p>
    <w:p w:rsidR="00B94A4B" w:rsidRDefault="002B2EC1">
      <w:pPr>
        <w:numPr>
          <w:ilvl w:val="255"/>
          <w:numId w:val="0"/>
        </w:numPr>
        <w:spacing w:before="120" w:after="120"/>
      </w:pPr>
      <w:r>
        <w:rPr>
          <w:rFonts w:hint="eastAsia"/>
        </w:rPr>
        <w:t>Therefore, Indoor scenario can be prioritized in FR2 simulation.</w:t>
      </w:r>
    </w:p>
    <w:p w:rsidR="00B94A4B" w:rsidRDefault="002B2EC1" w:rsidP="002B2EC1">
      <w:pPr>
        <w:pStyle w:val="YJ-Proposal"/>
        <w:spacing w:before="120" w:after="120"/>
        <w:rPr>
          <w:b w:val="0"/>
          <w:bCs w:val="0"/>
        </w:rPr>
      </w:pPr>
      <w:bookmarkStart w:id="10" w:name="_Toc68687714"/>
      <w:r>
        <w:rPr>
          <w:rFonts w:hint="eastAsia"/>
          <w:lang w:val="en-US" w:eastAsia="zh-CN"/>
        </w:rPr>
        <w:t>Indoor scenario can be prioritized in FR2 simulation.</w:t>
      </w:r>
      <w:bookmarkEnd w:id="10"/>
    </w:p>
    <w:p w:rsidR="00B94A4B" w:rsidRDefault="002B2EC1">
      <w:pPr>
        <w:pStyle w:val="2"/>
        <w:spacing w:before="120" w:after="120"/>
        <w:ind w:left="991" w:right="210" w:hangingChars="354" w:hanging="991"/>
        <w:rPr>
          <w:rFonts w:eastAsia="宋体"/>
          <w:szCs w:val="22"/>
        </w:rPr>
      </w:pPr>
      <w:r>
        <w:rPr>
          <w:rFonts w:eastAsia="宋体" w:hint="eastAsia"/>
          <w:szCs w:val="22"/>
        </w:rPr>
        <w:t>Evaluation methodology and assumptions</w:t>
      </w:r>
    </w:p>
    <w:p w:rsidR="00B94A4B" w:rsidRDefault="002B2EC1">
      <w:pPr>
        <w:spacing w:before="120" w:after="120"/>
      </w:pPr>
      <w:r>
        <w:rPr>
          <w:rFonts w:hint="eastAsia"/>
        </w:rPr>
        <w:t xml:space="preserve">In this section, evaluation methodology and assumptions are discussed. </w:t>
      </w:r>
    </w:p>
    <w:p w:rsidR="00B94A4B" w:rsidRDefault="002B2EC1">
      <w:pPr>
        <w:pStyle w:val="3"/>
        <w:spacing w:after="120"/>
        <w:ind w:right="210"/>
        <w:rPr>
          <w:rFonts w:eastAsia="宋体" w:cs="Arial"/>
        </w:rPr>
      </w:pPr>
      <w:r>
        <w:rPr>
          <w:rFonts w:eastAsia="宋体" w:cs="Arial" w:hint="eastAsia"/>
        </w:rPr>
        <w:t>System capacity</w:t>
      </w:r>
    </w:p>
    <w:p w:rsidR="00B94A4B" w:rsidRDefault="002B2EC1">
      <w:pPr>
        <w:spacing w:before="120" w:after="120"/>
        <w:rPr>
          <w:rFonts w:cs="Arial"/>
        </w:rPr>
      </w:pPr>
      <w:r>
        <w:rPr>
          <w:rFonts w:cs="Arial" w:hint="eastAsia"/>
        </w:rPr>
        <w:t xml:space="preserve">When multiple drops are simulated, the percentage of satisfied users can be calculated by </w:t>
      </w:r>
      <w:r>
        <w:rPr>
          <w:rFonts w:cs="Arial"/>
        </w:rPr>
        <w:t>averaging the percentage of satisfied users across multiple drops</w:t>
      </w:r>
      <w:r>
        <w:rPr>
          <w:rFonts w:cs="Arial" w:hint="eastAsia"/>
        </w:rPr>
        <w:t xml:space="preserve">. One thing should be clarified is that each drop is evaluated with a same number of cells and a same number of UEs in one cell if multiple drops are used. </w:t>
      </w:r>
    </w:p>
    <w:p w:rsidR="00B94A4B" w:rsidRDefault="002B2EC1">
      <w:pPr>
        <w:pStyle w:val="YJ-Proposal"/>
        <w:spacing w:before="120" w:after="120"/>
        <w:rPr>
          <w:lang w:val="en-US" w:eastAsia="zh-CN"/>
        </w:rPr>
      </w:pPr>
      <w:bookmarkStart w:id="11" w:name="_Toc68687715"/>
      <w:r>
        <w:rPr>
          <w:lang w:val="en-US" w:eastAsia="zh-CN"/>
        </w:rPr>
        <w:t>When multiple drops are simulated, the percentage of satisfied users can be calculated by averaging the percentage of satisfied users across multiple drops</w:t>
      </w:r>
      <w:r>
        <w:rPr>
          <w:rFonts w:hint="eastAsia"/>
          <w:lang w:val="en-US" w:eastAsia="zh-CN"/>
        </w:rPr>
        <w:t>.</w:t>
      </w:r>
      <w:bookmarkEnd w:id="11"/>
    </w:p>
    <w:p w:rsidR="00B94A4B" w:rsidRDefault="002B2EC1">
      <w:pPr>
        <w:pStyle w:val="YJ-Proposal"/>
        <w:numPr>
          <w:ilvl w:val="0"/>
          <w:numId w:val="0"/>
        </w:numPr>
        <w:spacing w:before="120" w:after="120"/>
      </w:pPr>
      <w:bookmarkStart w:id="12" w:name="_Toc68687716"/>
      <w:r>
        <w:rPr>
          <w:rFonts w:hint="eastAsia"/>
          <w:lang w:val="en-US" w:eastAsia="zh-CN"/>
        </w:rPr>
        <w:t>Note:</w:t>
      </w:r>
      <w:r>
        <w:t xml:space="preserve"> </w:t>
      </w:r>
      <w:r>
        <w:rPr>
          <w:rFonts w:hint="eastAsia"/>
          <w:lang w:val="en-US" w:eastAsia="zh-CN"/>
        </w:rPr>
        <w:t xml:space="preserve">The number of </w:t>
      </w:r>
      <w:r>
        <w:t xml:space="preserve">UEs per cell </w:t>
      </w:r>
      <w:r>
        <w:rPr>
          <w:rFonts w:hint="eastAsia"/>
          <w:lang w:val="en-US" w:eastAsia="zh-CN"/>
        </w:rPr>
        <w:t>in each drop should be same if multiple drops are simulated.</w:t>
      </w:r>
      <w:bookmarkEnd w:id="12"/>
      <w:r>
        <w:t xml:space="preserve"> </w:t>
      </w:r>
    </w:p>
    <w:p w:rsidR="00B94A4B" w:rsidRDefault="002B2EC1">
      <w:pPr>
        <w:spacing w:before="120" w:after="120"/>
        <w:rPr>
          <w:szCs w:val="21"/>
        </w:rPr>
      </w:pPr>
      <w:r>
        <w:rPr>
          <w:rFonts w:cs="Arial" w:hint="eastAsia"/>
        </w:rPr>
        <w:t xml:space="preserve">The definition of a UE </w:t>
      </w:r>
      <w:r>
        <w:rPr>
          <w:rFonts w:eastAsia="Times New Roman" w:hint="eastAsia"/>
          <w:szCs w:val="21"/>
        </w:rPr>
        <w:t>is declared a satisfied UE if more than X (%) of packets are successfully transmitted within a given air interface PDB</w:t>
      </w:r>
      <w:r>
        <w:rPr>
          <w:rFonts w:hint="eastAsia"/>
          <w:szCs w:val="21"/>
        </w:rPr>
        <w:t xml:space="preserve"> can also be used for UL traffic. PDB for DL simulation is defined in RAN1#104-e meeting. </w:t>
      </w:r>
      <w:r w:rsidR="00B35DE9">
        <w:rPr>
          <w:rFonts w:hint="eastAsia"/>
          <w:szCs w:val="21"/>
        </w:rPr>
        <w:t>According</w:t>
      </w:r>
      <w:r>
        <w:rPr>
          <w:rFonts w:hint="eastAsia"/>
          <w:szCs w:val="21"/>
        </w:rPr>
        <w:t xml:space="preserve"> to the definition of DL, the air interface PDB should be measured from the point when a packet is generated at a UE to the point when it is successfully delivered to gNB. The X may be different from DL.</w:t>
      </w:r>
    </w:p>
    <w:p w:rsidR="00B94A4B" w:rsidRDefault="002B2EC1">
      <w:pPr>
        <w:pStyle w:val="YJ-Proposal"/>
        <w:spacing w:before="120" w:after="120"/>
        <w:rPr>
          <w:lang w:val="en-US" w:eastAsia="zh-CN"/>
        </w:rPr>
      </w:pPr>
      <w:bookmarkStart w:id="13" w:name="_Toc68687717"/>
      <w:r>
        <w:rPr>
          <w:rFonts w:hint="eastAsia"/>
          <w:lang w:val="en-US" w:eastAsia="zh-CN"/>
        </w:rPr>
        <w:t>For UL traffic, the air interface PDB is measured from the point when a packet is generated at UE to the point when it is successfully delivered to gNB.</w:t>
      </w:r>
      <w:bookmarkEnd w:id="13"/>
    </w:p>
    <w:p w:rsidR="00B94A4B" w:rsidRDefault="002B2EC1">
      <w:pPr>
        <w:spacing w:before="120" w:after="120"/>
        <w:rPr>
          <w:rFonts w:cs="Arial"/>
        </w:rPr>
      </w:pPr>
      <w:r>
        <w:rPr>
          <w:rFonts w:cs="Arial" w:hint="eastAsia"/>
        </w:rPr>
        <w:t xml:space="preserve">The AOP(age of pose) is the time duration from </w:t>
      </w:r>
      <w:r>
        <w:rPr>
          <w:rFonts w:hint="eastAsia"/>
        </w:rPr>
        <w:t xml:space="preserve">the point when a pose is generated at UE to the point when it is used for rendering. However, it is hard to know when the packet is used for rendering, so the AOP is hard to be obtained. </w:t>
      </w:r>
    </w:p>
    <w:p w:rsidR="00B94A4B" w:rsidRDefault="002B2EC1">
      <w:pPr>
        <w:pStyle w:val="3"/>
        <w:spacing w:after="120"/>
        <w:ind w:right="210"/>
        <w:rPr>
          <w:rFonts w:eastAsia="宋体" w:cs="Arial"/>
        </w:rPr>
      </w:pPr>
      <w:r>
        <w:rPr>
          <w:rFonts w:eastAsia="宋体" w:cs="Arial" w:hint="eastAsia"/>
        </w:rPr>
        <w:t>Power consumption</w:t>
      </w:r>
    </w:p>
    <w:p w:rsidR="00B94A4B" w:rsidRDefault="002B2EC1">
      <w:pPr>
        <w:spacing w:before="120" w:after="120"/>
      </w:pPr>
      <w:r>
        <w:rPr>
          <w:rFonts w:cs="Arial" w:hint="eastAsia"/>
        </w:rPr>
        <w:t xml:space="preserve">In RAN1#104-e meeting, one remaining issue </w:t>
      </w:r>
      <w:r w:rsidR="00B35DE9">
        <w:rPr>
          <w:rFonts w:cs="Arial" w:hint="eastAsia"/>
        </w:rPr>
        <w:t>in need of</w:t>
      </w:r>
      <w:r>
        <w:rPr>
          <w:rFonts w:cs="Arial" w:hint="eastAsia"/>
        </w:rPr>
        <w:t xml:space="preserve"> further discussion is whether all UEs or only satisfied UEs are included for obtaining the PS gain.</w:t>
      </w:r>
    </w:p>
    <w:tbl>
      <w:tblPr>
        <w:tblStyle w:val="ac"/>
        <w:tblW w:w="0" w:type="auto"/>
        <w:tblLook w:val="04A0" w:firstRow="1" w:lastRow="0" w:firstColumn="1" w:lastColumn="0" w:noHBand="0" w:noVBand="1"/>
      </w:tblPr>
      <w:tblGrid>
        <w:gridCol w:w="9876"/>
      </w:tblGrid>
      <w:tr w:rsidR="00B94A4B">
        <w:tc>
          <w:tcPr>
            <w:tcW w:w="9876" w:type="dxa"/>
          </w:tcPr>
          <w:p w:rsidR="00B94A4B" w:rsidRDefault="002B2EC1">
            <w:pPr>
              <w:pStyle w:val="xxmsonormal"/>
              <w:spacing w:beforeLines="0" w:afterLines="0" w:line="240" w:lineRule="auto"/>
              <w:rPr>
                <w:rFonts w:ascii="Times New Roman" w:hAnsi="Times New Roman" w:cs="Times New Roman"/>
                <w:sz w:val="21"/>
                <w:szCs w:val="21"/>
              </w:rPr>
            </w:pPr>
            <w:r>
              <w:rPr>
                <w:rFonts w:ascii="Times New Roman" w:hAnsi="Times New Roman" w:cs="Times New Roman"/>
                <w:sz w:val="21"/>
                <w:szCs w:val="21"/>
                <w:highlight w:val="green"/>
              </w:rPr>
              <w:lastRenderedPageBreak/>
              <w:t>Agreements:</w:t>
            </w:r>
            <w:r>
              <w:rPr>
                <w:rStyle w:val="ad"/>
                <w:rFonts w:ascii="Times New Roman" w:hAnsi="Times New Roman" w:cs="Times New Roman"/>
                <w:sz w:val="21"/>
                <w:szCs w:val="21"/>
                <w:lang w:val="en-GB"/>
              </w:rPr>
              <w:t xml:space="preserve"> </w:t>
            </w:r>
            <w:r>
              <w:rPr>
                <w:rFonts w:ascii="Times New Roman" w:hAnsi="Times New Roman" w:cs="Times New Roman"/>
                <w:sz w:val="21"/>
                <w:szCs w:val="21"/>
              </w:rPr>
              <w:t xml:space="preserve">UE power consumption </w:t>
            </w:r>
            <w:r>
              <w:rPr>
                <w:rFonts w:ascii="Times New Roman" w:hAnsi="Times New Roman" w:cs="Times New Roman"/>
                <w:sz w:val="21"/>
                <w:szCs w:val="21"/>
                <w:lang w:val="en-GB"/>
              </w:rPr>
              <w:t xml:space="preserve">(i.e., power saving gain of the evaluated scheme) </w:t>
            </w:r>
            <w:r>
              <w:rPr>
                <w:rFonts w:ascii="Times New Roman" w:hAnsi="Times New Roman" w:cs="Times New Roman"/>
                <w:sz w:val="21"/>
                <w:szCs w:val="21"/>
              </w:rPr>
              <w:t xml:space="preserve">for XR is evaluated in conjunction with impact on latency, user experience, and capacity.  In this regard, the following table is used to collect results for system level simulation from companies as a starting point. </w:t>
            </w:r>
          </w:p>
          <w:p w:rsidR="00B94A4B" w:rsidRDefault="002B2EC1">
            <w:pPr>
              <w:pStyle w:val="af1"/>
              <w:spacing w:afterLines="0" w:line="240" w:lineRule="auto"/>
              <w:ind w:left="420"/>
              <w:rPr>
                <w:sz w:val="21"/>
                <w:szCs w:val="21"/>
              </w:rPr>
            </w:pPr>
            <w:r>
              <w:rPr>
                <w:sz w:val="21"/>
                <w:szCs w:val="21"/>
              </w:rPr>
              <w:t>FFS all UEs or only satisfied UEs are included for obtaining the PS gain</w:t>
            </w:r>
          </w:p>
          <w:p w:rsidR="00B94A4B" w:rsidRDefault="002B2EC1">
            <w:pPr>
              <w:pStyle w:val="af1"/>
              <w:spacing w:afterLines="0" w:line="240" w:lineRule="auto"/>
              <w:ind w:left="420"/>
              <w:rPr>
                <w:rFonts w:eastAsia="宋体"/>
                <w:sz w:val="21"/>
                <w:szCs w:val="21"/>
              </w:rPr>
            </w:pPr>
            <w:r>
              <w:rPr>
                <w:rFonts w:eastAsia="宋体" w:hint="eastAsia"/>
                <w:sz w:val="21"/>
                <w:szCs w:val="21"/>
              </w:rPr>
              <w:t>...</w:t>
            </w:r>
          </w:p>
        </w:tc>
      </w:tr>
    </w:tbl>
    <w:p w:rsidR="00B94A4B" w:rsidRDefault="00B35DE9">
      <w:pPr>
        <w:spacing w:before="120" w:after="120"/>
        <w:rPr>
          <w:szCs w:val="21"/>
        </w:rPr>
      </w:pPr>
      <w:r>
        <w:rPr>
          <w:rFonts w:hint="eastAsia"/>
          <w:szCs w:val="21"/>
        </w:rPr>
        <w:t>To our understanding, t</w:t>
      </w:r>
      <w:r w:rsidR="002B2EC1">
        <w:rPr>
          <w:rFonts w:hint="eastAsia"/>
          <w:szCs w:val="21"/>
        </w:rPr>
        <w:t xml:space="preserve">he </w:t>
      </w:r>
      <w:r>
        <w:rPr>
          <w:rFonts w:hint="eastAsia"/>
          <w:szCs w:val="21"/>
        </w:rPr>
        <w:t>motivation for not considering</w:t>
      </w:r>
      <w:r w:rsidR="002B2EC1">
        <w:rPr>
          <w:rFonts w:hint="eastAsia"/>
          <w:szCs w:val="21"/>
        </w:rPr>
        <w:t xml:space="preserve"> unsatisfied UE</w:t>
      </w:r>
      <w:r>
        <w:rPr>
          <w:rFonts w:hint="eastAsia"/>
          <w:szCs w:val="21"/>
        </w:rPr>
        <w:t xml:space="preserve"> in the evaluation of power saving gain</w:t>
      </w:r>
      <w:r w:rsidR="002B2EC1">
        <w:rPr>
          <w:rFonts w:hint="eastAsia"/>
          <w:szCs w:val="21"/>
        </w:rPr>
        <w:t xml:space="preserve"> is that if a power saving technique seriously </w:t>
      </w:r>
      <w:r>
        <w:rPr>
          <w:rFonts w:hint="eastAsia"/>
          <w:szCs w:val="21"/>
        </w:rPr>
        <w:t>impact</w:t>
      </w:r>
      <w:r w:rsidR="002B2EC1">
        <w:rPr>
          <w:rFonts w:hint="eastAsia"/>
          <w:szCs w:val="21"/>
        </w:rPr>
        <w:t xml:space="preserve"> data transmission, the </w:t>
      </w:r>
      <w:r w:rsidR="002B2EC1">
        <w:rPr>
          <w:szCs w:val="21"/>
        </w:rPr>
        <w:t xml:space="preserve">power saving </w:t>
      </w:r>
      <w:r w:rsidR="002B2EC1">
        <w:rPr>
          <w:rFonts w:hint="eastAsia"/>
          <w:szCs w:val="21"/>
        </w:rPr>
        <w:t xml:space="preserve">gain is </w:t>
      </w:r>
      <w:r>
        <w:rPr>
          <w:rFonts w:hint="eastAsia"/>
          <w:szCs w:val="21"/>
        </w:rPr>
        <w:t>doubtable</w:t>
      </w:r>
      <w:r w:rsidR="002B2EC1">
        <w:rPr>
          <w:rFonts w:hint="eastAsia"/>
          <w:szCs w:val="21"/>
        </w:rPr>
        <w:t xml:space="preserve">. However, the impact on data transmission </w:t>
      </w:r>
      <w:r w:rsidR="00D92AC3">
        <w:rPr>
          <w:rFonts w:hint="eastAsia"/>
          <w:szCs w:val="21"/>
        </w:rPr>
        <w:t xml:space="preserve">of a given power saving scheme </w:t>
      </w:r>
      <w:r w:rsidR="002B2EC1">
        <w:rPr>
          <w:rFonts w:hint="eastAsia"/>
          <w:szCs w:val="21"/>
        </w:rPr>
        <w:t>can</w:t>
      </w:r>
      <w:r w:rsidR="00D92AC3">
        <w:rPr>
          <w:rFonts w:hint="eastAsia"/>
          <w:szCs w:val="21"/>
        </w:rPr>
        <w:t xml:space="preserve"> already</w:t>
      </w:r>
      <w:r w:rsidR="002B2EC1">
        <w:rPr>
          <w:rFonts w:hint="eastAsia"/>
          <w:szCs w:val="21"/>
        </w:rPr>
        <w:t xml:space="preserve"> be observed through the </w:t>
      </w:r>
      <w:r w:rsidR="00D92AC3">
        <w:rPr>
          <w:rFonts w:hint="eastAsia"/>
          <w:szCs w:val="21"/>
        </w:rPr>
        <w:t xml:space="preserve">change on </w:t>
      </w:r>
      <w:r w:rsidR="002B2EC1">
        <w:rPr>
          <w:rFonts w:hint="eastAsia"/>
          <w:szCs w:val="21"/>
        </w:rPr>
        <w:t xml:space="preserve">number of satisfied UEs </w:t>
      </w:r>
      <w:r w:rsidR="00D92AC3">
        <w:rPr>
          <w:rFonts w:hint="eastAsia"/>
          <w:szCs w:val="21"/>
        </w:rPr>
        <w:t xml:space="preserve">available </w:t>
      </w:r>
      <w:r w:rsidR="002B2EC1">
        <w:rPr>
          <w:rFonts w:hint="eastAsia"/>
          <w:szCs w:val="21"/>
        </w:rPr>
        <w:t xml:space="preserve">in summary table. If the </w:t>
      </w:r>
      <w:r w:rsidR="00D92AC3">
        <w:rPr>
          <w:rFonts w:hint="eastAsia"/>
          <w:szCs w:val="21"/>
        </w:rPr>
        <w:t>impact</w:t>
      </w:r>
      <w:r w:rsidR="002B2EC1">
        <w:rPr>
          <w:rFonts w:hint="eastAsia"/>
          <w:szCs w:val="21"/>
        </w:rPr>
        <w:t xml:space="preserve"> is small, the PS gain obtained by us</w:t>
      </w:r>
      <w:r>
        <w:rPr>
          <w:rFonts w:hint="eastAsia"/>
          <w:szCs w:val="21"/>
        </w:rPr>
        <w:t>ing all UEs is still reasonable given a system level power saving results shall be delivered considering all the UE.</w:t>
      </w:r>
    </w:p>
    <w:p w:rsidR="00B94A4B" w:rsidRDefault="002B2EC1">
      <w:pPr>
        <w:pStyle w:val="YJ-Proposal"/>
        <w:spacing w:before="120" w:after="120"/>
        <w:rPr>
          <w:lang w:val="en-US" w:eastAsia="zh-CN"/>
        </w:rPr>
      </w:pPr>
      <w:bookmarkStart w:id="14" w:name="_Toc68687718"/>
      <w:r>
        <w:rPr>
          <w:rFonts w:hint="eastAsia"/>
          <w:lang w:val="en-US" w:eastAsia="zh-CN"/>
        </w:rPr>
        <w:t>A</w:t>
      </w:r>
      <w:r>
        <w:t>ll UEs are included for obtaining the PS gain</w:t>
      </w:r>
      <w:r>
        <w:rPr>
          <w:rFonts w:hint="eastAsia"/>
          <w:lang w:val="en-US" w:eastAsia="zh-CN"/>
        </w:rPr>
        <w:t>.</w:t>
      </w:r>
      <w:bookmarkEnd w:id="14"/>
    </w:p>
    <w:p w:rsidR="00B94A4B" w:rsidRDefault="002B2EC1">
      <w:pPr>
        <w:spacing w:before="120" w:after="120"/>
      </w:pPr>
      <w:r>
        <w:rPr>
          <w:rFonts w:hint="eastAsia"/>
          <w:szCs w:val="21"/>
        </w:rPr>
        <w:t xml:space="preserve">Mean power saving gain is the baseline KPI for power consumption evaluation. The mean power saving gain </w:t>
      </w:r>
      <w:r w:rsidR="00D92AC3">
        <w:rPr>
          <w:rFonts w:hint="eastAsia"/>
        </w:rPr>
        <w:t>can be derived</w:t>
      </w:r>
      <w:r>
        <w:t xml:space="preserve"> </w:t>
      </w:r>
      <w:r w:rsidR="00D92AC3">
        <w:rPr>
          <w:rFonts w:hint="eastAsia"/>
        </w:rPr>
        <w:t xml:space="preserve">using per UE power consumption </w:t>
      </w:r>
      <w:r>
        <w:rPr>
          <w:rFonts w:hint="eastAsia"/>
        </w:rPr>
        <w:t>configured with</w:t>
      </w:r>
      <w:r w:rsidR="00D92AC3">
        <w:rPr>
          <w:rFonts w:hint="eastAsia"/>
        </w:rPr>
        <w:t xml:space="preserve"> and without</w:t>
      </w:r>
      <w:r>
        <w:rPr>
          <w:rFonts w:hint="eastAsia"/>
        </w:rPr>
        <w:t xml:space="preserve"> power saving techniques. The formula is shown below.</w:t>
      </w:r>
    </w:p>
    <w:p w:rsidR="00B94A4B" w:rsidRDefault="002B2EC1">
      <w:pPr>
        <w:spacing w:before="120" w:after="120"/>
        <w:rPr>
          <w:position w:val="-66"/>
        </w:rPr>
      </w:pPr>
      <w:r>
        <w:rPr>
          <w:rFonts w:hint="eastAsia"/>
          <w:szCs w:val="21"/>
        </w:rPr>
        <w:t xml:space="preserve"> </w:t>
      </w:r>
      <w:r w:rsidR="00B94A4B" w:rsidRPr="00B94A4B">
        <w:rPr>
          <w:position w:val="-66"/>
        </w:rPr>
        <w:object w:dxaOrig="6399" w:dyaOrig="1420" w14:anchorId="71560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70.5pt" o:ole="">
            <v:imagedata r:id="rId11" o:title=""/>
          </v:shape>
          <o:OLEObject Type="Embed" ProgID="Equation.3" ShapeID="_x0000_i1025" DrawAspect="Content" ObjectID="_1679301592" r:id="rId12"/>
        </w:object>
      </w:r>
    </w:p>
    <w:p w:rsidR="00B94A4B" w:rsidRDefault="002B2EC1">
      <w:pPr>
        <w:pStyle w:val="3"/>
        <w:spacing w:after="120"/>
        <w:ind w:right="210"/>
        <w:rPr>
          <w:rFonts w:eastAsia="宋体" w:cs="Arial"/>
        </w:rPr>
      </w:pPr>
      <w:r>
        <w:rPr>
          <w:rFonts w:eastAsia="宋体" w:cs="Arial" w:hint="eastAsia"/>
        </w:rPr>
        <w:t>UL/DL simulation method</w:t>
      </w:r>
    </w:p>
    <w:tbl>
      <w:tblPr>
        <w:tblStyle w:val="ac"/>
        <w:tblW w:w="5000" w:type="pct"/>
        <w:jc w:val="center"/>
        <w:tblLook w:val="04A0" w:firstRow="1" w:lastRow="0" w:firstColumn="1" w:lastColumn="0" w:noHBand="0" w:noVBand="1"/>
      </w:tblPr>
      <w:tblGrid>
        <w:gridCol w:w="9876"/>
      </w:tblGrid>
      <w:tr w:rsidR="00B94A4B" w:rsidTr="00D92AC3">
        <w:trPr>
          <w:trHeight w:val="1648"/>
          <w:jc w:val="center"/>
        </w:trPr>
        <w:tc>
          <w:tcPr>
            <w:tcW w:w="5000" w:type="pct"/>
          </w:tcPr>
          <w:p w:rsidR="00B94A4B" w:rsidRDefault="002B2EC1">
            <w:pPr>
              <w:spacing w:before="120" w:after="120"/>
            </w:pPr>
            <w:r>
              <w:rPr>
                <w:highlight w:val="green"/>
              </w:rPr>
              <w:t>Agreements</w:t>
            </w:r>
            <w:r>
              <w:rPr>
                <w:b/>
                <w:bCs/>
              </w:rPr>
              <w:t>:</w:t>
            </w:r>
            <w:r>
              <w:t xml:space="preserve">At least for XR/CG capacity evaluation, for DL and UL </w:t>
            </w:r>
          </w:p>
          <w:p w:rsidR="00B94A4B" w:rsidRDefault="002B2EC1">
            <w:pPr>
              <w:numPr>
                <w:ilvl w:val="0"/>
                <w:numId w:val="11"/>
              </w:numPr>
              <w:spacing w:before="120" w:after="120" w:line="252" w:lineRule="auto"/>
            </w:pPr>
            <w:r>
              <w:t>Baseline: DL and UL performances are evaluated independently</w:t>
            </w:r>
          </w:p>
          <w:p w:rsidR="00B94A4B" w:rsidRDefault="002B2EC1">
            <w:pPr>
              <w:numPr>
                <w:ilvl w:val="0"/>
                <w:numId w:val="11"/>
              </w:numPr>
              <w:spacing w:before="120" w:after="120" w:line="252" w:lineRule="auto"/>
            </w:pPr>
            <w:r>
              <w:t xml:space="preserve">Optional: DL and UL performance are evaluated together </w:t>
            </w:r>
          </w:p>
          <w:p w:rsidR="00B94A4B" w:rsidRDefault="002B2EC1">
            <w:pPr>
              <w:numPr>
                <w:ilvl w:val="0"/>
                <w:numId w:val="11"/>
              </w:numPr>
              <w:spacing w:before="120" w:after="120" w:line="252" w:lineRule="auto"/>
            </w:pPr>
            <w:r>
              <w:t>FFS details both the baseline and the optional evaluations</w:t>
            </w:r>
          </w:p>
        </w:tc>
      </w:tr>
    </w:tbl>
    <w:p w:rsidR="00B94A4B" w:rsidRDefault="002B2EC1">
      <w:pPr>
        <w:spacing w:before="120" w:after="120"/>
      </w:pPr>
      <w:r>
        <w:rPr>
          <w:rFonts w:hint="eastAsia"/>
        </w:rPr>
        <w:t>For XR/CG capacity evaluation, the baseline is DL and UL performanc</w:t>
      </w:r>
      <w:r w:rsidR="00103CA2">
        <w:rPr>
          <w:rFonts w:hint="eastAsia"/>
        </w:rPr>
        <w:t>es are evaluated independently where t</w:t>
      </w:r>
      <w:r>
        <w:rPr>
          <w:rFonts w:hint="eastAsia"/>
        </w:rPr>
        <w:t>he DL and UL traffic can also be modeled independently. The relationship between DL and UL can be considered but only data in one link direction is simulated. For example, in DL simulation, the timeline of DL to UL(e.g., PDSCH to ACK/NACK)</w:t>
      </w:r>
      <w:r w:rsidR="00103CA2">
        <w:rPr>
          <w:rFonts w:hint="eastAsia"/>
        </w:rPr>
        <w:t xml:space="preserve"> transition</w:t>
      </w:r>
      <w:r>
        <w:rPr>
          <w:rFonts w:hint="eastAsia"/>
        </w:rPr>
        <w:t xml:space="preserve"> should be considered for potential re-transmission but the ACK/NACK signaling may not be truly transmitted in simulation.</w:t>
      </w:r>
    </w:p>
    <w:p w:rsidR="00B94A4B" w:rsidRDefault="002B2EC1">
      <w:pPr>
        <w:spacing w:before="120" w:after="120"/>
      </w:pPr>
      <w:r>
        <w:rPr>
          <w:rFonts w:hint="eastAsia"/>
        </w:rPr>
        <w:t xml:space="preserve">In case that DL and UL performance are evaluated together, the DL and UL signaling may trigger each other. For example, PDSCH followed by an ACK/NACK, a SR will followed by a DCI. These signaling </w:t>
      </w:r>
      <w:r w:rsidR="00103CA2">
        <w:rPr>
          <w:rFonts w:hint="eastAsia"/>
        </w:rPr>
        <w:t>could</w:t>
      </w:r>
      <w:r>
        <w:rPr>
          <w:rFonts w:hint="eastAsia"/>
        </w:rPr>
        <w:t xml:space="preserve"> be simulated. As for DL/UL traffic models, they do not need be modeled together since the influence between each other is small. The DL video traffic will be rendered and transmitted every 1/FPS second no matter whether or not an UL pose/control is transmitted. Similarly, the UL pose/control traffic does not influenced by a DL video traffic.</w:t>
      </w:r>
    </w:p>
    <w:p w:rsidR="00B94A4B" w:rsidRPr="00B35DE9" w:rsidRDefault="002B2EC1">
      <w:pPr>
        <w:pStyle w:val="YJ-Proposal"/>
        <w:spacing w:before="120" w:after="120"/>
        <w:rPr>
          <w:lang w:val="en-US" w:eastAsia="zh-CN"/>
        </w:rPr>
      </w:pPr>
      <w:bookmarkStart w:id="15" w:name="_Toc68687719"/>
      <w:r w:rsidRPr="00B35DE9">
        <w:rPr>
          <w:rFonts w:hint="eastAsia"/>
          <w:lang w:val="en-US" w:eastAsia="zh-CN"/>
        </w:rPr>
        <w:t xml:space="preserve">DL and UL traffic are modeled separately no matter whether or not </w:t>
      </w:r>
      <w:r w:rsidRPr="00B35DE9">
        <w:rPr>
          <w:lang w:eastAsia="zh-CN"/>
        </w:rPr>
        <w:t>DL and UL performances are evaluated independently</w:t>
      </w:r>
      <w:r w:rsidRPr="00B35DE9">
        <w:rPr>
          <w:rFonts w:hint="eastAsia"/>
          <w:lang w:val="en-US" w:eastAsia="zh-CN"/>
        </w:rPr>
        <w:t>.</w:t>
      </w:r>
      <w:bookmarkEnd w:id="15"/>
    </w:p>
    <w:p w:rsidR="00B94A4B" w:rsidRDefault="002B2EC1">
      <w:pPr>
        <w:spacing w:before="120" w:after="120"/>
        <w:rPr>
          <w:szCs w:val="21"/>
        </w:rPr>
      </w:pPr>
      <w:r>
        <w:rPr>
          <w:rFonts w:hint="eastAsia"/>
          <w:szCs w:val="21"/>
        </w:rPr>
        <w:t xml:space="preserve">For power consumption simulation, the DL and UL power consumption can be evaluated independently firstly. The power state of one kind of link direction slot type will be divided into different states and the other slots type can be all regard as sleep states. For example, in DL simulation, the UL slots are all counted as sleep states when calculate the power consumption. It is obvious that the sleep time obtained by this simulation method is not a real result but it is easy for evaluation. In addition, the results is enough to evaluate power saving schemes using for one link direction. </w:t>
      </w:r>
    </w:p>
    <w:p w:rsidR="00AA74F5" w:rsidRDefault="00AA74F5" w:rsidP="00AA74F5">
      <w:pPr>
        <w:pStyle w:val="YJ-Observation"/>
        <w:spacing w:before="120" w:after="120"/>
      </w:pPr>
      <w:bookmarkStart w:id="16" w:name="_Toc68685641"/>
      <w:bookmarkStart w:id="17" w:name="_Toc68687706"/>
      <w:bookmarkStart w:id="18" w:name="_Toc68688227"/>
      <w:r>
        <w:rPr>
          <w:rFonts w:hint="eastAsia"/>
        </w:rPr>
        <w:lastRenderedPageBreak/>
        <w:t>Setting the UL slots as UE sleep states will simplify the power consumption evaluation</w:t>
      </w:r>
      <w:bookmarkEnd w:id="16"/>
      <w:bookmarkEnd w:id="17"/>
      <w:bookmarkEnd w:id="18"/>
    </w:p>
    <w:p w:rsidR="00B94A4B" w:rsidRDefault="002B2EC1">
      <w:pPr>
        <w:spacing w:before="120" w:after="120"/>
        <w:rPr>
          <w:szCs w:val="21"/>
        </w:rPr>
      </w:pPr>
      <w:r>
        <w:rPr>
          <w:rFonts w:hint="eastAsia"/>
          <w:szCs w:val="21"/>
        </w:rPr>
        <w:t>If separate simulation method is used, a more accurate result can be obtained by the following steps, evaluating DL and UL power consumption independently and collecting DL and UL slot states respectively, and then recombine these slot states to have a full picture of the power consumption.</w:t>
      </w:r>
    </w:p>
    <w:p w:rsidR="00B94A4B" w:rsidRDefault="002B2EC1">
      <w:pPr>
        <w:pStyle w:val="3"/>
        <w:spacing w:after="120"/>
        <w:ind w:right="210"/>
        <w:rPr>
          <w:rFonts w:eastAsia="宋体" w:cs="Arial"/>
        </w:rPr>
      </w:pPr>
      <w:r>
        <w:rPr>
          <w:rFonts w:eastAsia="宋体" w:cs="Arial" w:hint="eastAsia"/>
        </w:rPr>
        <w:t>TDD configuration</w:t>
      </w:r>
    </w:p>
    <w:p w:rsidR="00B94A4B" w:rsidRDefault="002B2EC1">
      <w:pPr>
        <w:spacing w:before="120" w:after="120"/>
      </w:pPr>
      <w:r>
        <w:rPr>
          <w:rFonts w:cs="Arial" w:hint="eastAsia"/>
        </w:rPr>
        <w:t>In RAN1#104-e meeting, the following TDD configuration are agreed. The remaining issue is whether or not to differentiate the two options.</w:t>
      </w:r>
    </w:p>
    <w:tbl>
      <w:tblPr>
        <w:tblStyle w:val="ac"/>
        <w:tblW w:w="0" w:type="auto"/>
        <w:tblLook w:val="04A0" w:firstRow="1" w:lastRow="0" w:firstColumn="1" w:lastColumn="0" w:noHBand="0" w:noVBand="1"/>
      </w:tblPr>
      <w:tblGrid>
        <w:gridCol w:w="8522"/>
      </w:tblGrid>
      <w:tr w:rsidR="00B94A4B">
        <w:tc>
          <w:tcPr>
            <w:tcW w:w="8522" w:type="dxa"/>
          </w:tcPr>
          <w:p w:rsidR="00B94A4B" w:rsidRDefault="002B2EC1">
            <w:pPr>
              <w:spacing w:before="120" w:after="120"/>
              <w:rPr>
                <w:rFonts w:ascii="Calibri" w:hAnsi="Calibri" w:cs="Calibri"/>
              </w:rPr>
            </w:pPr>
            <w:r>
              <w:rPr>
                <w:highlight w:val="green"/>
              </w:rPr>
              <w:t>Agreement</w:t>
            </w:r>
            <w:r>
              <w:t>: adopt following update for TDD configuration for XR/CG evaluation</w:t>
            </w:r>
          </w:p>
          <w:p w:rsidR="00B94A4B" w:rsidRDefault="002B2EC1">
            <w:pPr>
              <w:numPr>
                <w:ilvl w:val="0"/>
                <w:numId w:val="7"/>
              </w:numPr>
              <w:spacing w:before="120" w:after="120"/>
              <w:rPr>
                <w:rFonts w:eastAsia="Times New Roman"/>
              </w:rPr>
            </w:pPr>
            <w:r>
              <w:rPr>
                <w:rFonts w:eastAsia="Times New Roman"/>
              </w:rPr>
              <w:t>FR1:</w:t>
            </w:r>
          </w:p>
          <w:p w:rsidR="00B94A4B" w:rsidRDefault="002B2EC1">
            <w:pPr>
              <w:numPr>
                <w:ilvl w:val="1"/>
                <w:numId w:val="8"/>
              </w:numPr>
              <w:spacing w:before="120" w:after="120"/>
              <w:rPr>
                <w:rFonts w:eastAsia="Times New Roman"/>
              </w:rPr>
            </w:pPr>
            <w:r>
              <w:rPr>
                <w:rFonts w:eastAsia="Times New Roman"/>
              </w:rPr>
              <w:t>Option 1: DDDSU</w:t>
            </w:r>
          </w:p>
          <w:p w:rsidR="00B94A4B" w:rsidRDefault="002B2EC1">
            <w:pPr>
              <w:numPr>
                <w:ilvl w:val="1"/>
                <w:numId w:val="8"/>
              </w:numPr>
              <w:spacing w:before="120" w:after="120"/>
              <w:rPr>
                <w:rFonts w:eastAsia="Times New Roman"/>
              </w:rPr>
            </w:pPr>
            <w:r>
              <w:rPr>
                <w:rFonts w:eastAsia="Times New Roman"/>
              </w:rPr>
              <w:t>Option 2: DDDUU</w:t>
            </w:r>
          </w:p>
          <w:p w:rsidR="00B94A4B" w:rsidRDefault="002B2EC1">
            <w:pPr>
              <w:numPr>
                <w:ilvl w:val="0"/>
                <w:numId w:val="9"/>
              </w:numPr>
              <w:spacing w:before="120" w:after="120"/>
              <w:rPr>
                <w:rFonts w:eastAsia="Times New Roman"/>
              </w:rPr>
            </w:pPr>
            <w:r>
              <w:rPr>
                <w:rFonts w:eastAsia="Times New Roman"/>
              </w:rPr>
              <w:t>FR2:</w:t>
            </w:r>
          </w:p>
          <w:p w:rsidR="00B94A4B" w:rsidRPr="009E4656" w:rsidRDefault="002B2EC1">
            <w:pPr>
              <w:numPr>
                <w:ilvl w:val="1"/>
                <w:numId w:val="10"/>
              </w:numPr>
              <w:spacing w:before="120" w:after="120"/>
              <w:rPr>
                <w:rFonts w:eastAsia="Times New Roman"/>
              </w:rPr>
            </w:pPr>
            <w:r>
              <w:rPr>
                <w:rFonts w:eastAsia="Times New Roman"/>
              </w:rPr>
              <w:t>Option 1: DDDS</w:t>
            </w:r>
            <w:r w:rsidRPr="009E4656">
              <w:rPr>
                <w:rFonts w:eastAsia="Times New Roman"/>
              </w:rPr>
              <w:t>U</w:t>
            </w:r>
          </w:p>
          <w:p w:rsidR="00B94A4B" w:rsidRPr="009E4656" w:rsidRDefault="002B2EC1">
            <w:pPr>
              <w:numPr>
                <w:ilvl w:val="1"/>
                <w:numId w:val="10"/>
              </w:numPr>
              <w:spacing w:before="120" w:after="120"/>
              <w:rPr>
                <w:rFonts w:eastAsia="Times New Roman"/>
              </w:rPr>
            </w:pPr>
            <w:r w:rsidRPr="009E4656">
              <w:rPr>
                <w:rFonts w:eastAsia="Times New Roman"/>
              </w:rPr>
              <w:t>Option 2: DDDUU</w:t>
            </w:r>
          </w:p>
          <w:p w:rsidR="00B94A4B" w:rsidRPr="009E4656" w:rsidRDefault="002B2EC1">
            <w:pPr>
              <w:spacing w:before="120" w:after="120"/>
              <w:rPr>
                <w:rFonts w:eastAsia="Calibri"/>
              </w:rPr>
            </w:pPr>
            <w:r w:rsidRPr="009E4656">
              <w:t>Detailed S slot format is 10D:2F:2U. Other S slot format(s) can also be optionally evaluated.</w:t>
            </w:r>
          </w:p>
          <w:p w:rsidR="00B94A4B" w:rsidRPr="009E4656" w:rsidRDefault="002B2EC1">
            <w:pPr>
              <w:spacing w:before="120" w:after="120"/>
            </w:pPr>
            <w:r w:rsidRPr="009E4656">
              <w:t>Further clarify that for option 2 for FR1/FR2, there is [2]-symbol gap at the end of third “D” slot of  DDDUU.</w:t>
            </w:r>
          </w:p>
          <w:p w:rsidR="00B94A4B" w:rsidRDefault="002B2EC1">
            <w:pPr>
              <w:spacing w:before="120" w:after="120"/>
            </w:pPr>
            <w:r w:rsidRPr="009E4656">
              <w:t>FFS whether or not to differentiate the two opti</w:t>
            </w:r>
            <w:r>
              <w:t>ons (e.g., mandatory vs. optional)</w:t>
            </w:r>
          </w:p>
        </w:tc>
      </w:tr>
    </w:tbl>
    <w:p w:rsidR="00B94A4B" w:rsidRDefault="002B2EC1">
      <w:pPr>
        <w:spacing w:before="120" w:after="120"/>
      </w:pPr>
      <w:r>
        <w:rPr>
          <w:rFonts w:hint="eastAsia"/>
        </w:rPr>
        <w:t>There are several applications(e.g., VR/AR/CG) for evaluation. Different applications may using different frame structures according to the traffic model. Hence, no need to differentiate the two options.</w:t>
      </w:r>
    </w:p>
    <w:p w:rsidR="00B94A4B" w:rsidRDefault="002B2EC1">
      <w:pPr>
        <w:pStyle w:val="YJ-Proposal"/>
        <w:spacing w:before="120" w:after="120"/>
        <w:rPr>
          <w:lang w:val="en-US" w:eastAsia="zh-CN"/>
        </w:rPr>
      </w:pPr>
      <w:r>
        <w:rPr>
          <w:rFonts w:hint="eastAsia"/>
          <w:lang w:val="en-US" w:eastAsia="zh-CN"/>
        </w:rPr>
        <w:t xml:space="preserve"> </w:t>
      </w:r>
      <w:bookmarkStart w:id="19" w:name="_Toc68687720"/>
      <w:r>
        <w:rPr>
          <w:rFonts w:hint="eastAsia"/>
          <w:lang w:val="en-US" w:eastAsia="zh-CN"/>
        </w:rPr>
        <w:t>There is no need to differentiate the two options.</w:t>
      </w:r>
      <w:bookmarkEnd w:id="19"/>
    </w:p>
    <w:p w:rsidR="00B94A4B" w:rsidRDefault="002B2EC1">
      <w:pPr>
        <w:pStyle w:val="3"/>
        <w:spacing w:after="120"/>
        <w:ind w:right="210"/>
        <w:rPr>
          <w:rFonts w:eastAsia="宋体" w:cs="Arial"/>
        </w:rPr>
      </w:pPr>
      <w:r>
        <w:rPr>
          <w:rFonts w:eastAsia="宋体" w:cs="Arial" w:hint="eastAsia"/>
        </w:rPr>
        <w:t>Additional Power model</w:t>
      </w:r>
    </w:p>
    <w:p w:rsidR="00B94A4B" w:rsidRDefault="002B2EC1">
      <w:pPr>
        <w:numPr>
          <w:ilvl w:val="0"/>
          <w:numId w:val="18"/>
        </w:numPr>
        <w:spacing w:before="120" w:after="120"/>
        <w:rPr>
          <w:b/>
          <w:u w:val="single"/>
        </w:rPr>
      </w:pPr>
      <w:r>
        <w:rPr>
          <w:rFonts w:hint="eastAsia"/>
          <w:b/>
          <w:u w:val="single"/>
        </w:rPr>
        <w:t>Power model for UL</w:t>
      </w:r>
    </w:p>
    <w:p w:rsidR="00B94A4B" w:rsidRDefault="002B2EC1">
      <w:pPr>
        <w:spacing w:before="120" w:after="120"/>
        <w:rPr>
          <w:szCs w:val="21"/>
        </w:rPr>
      </w:pPr>
      <w:r>
        <w:rPr>
          <w:rFonts w:hint="eastAsia"/>
          <w:szCs w:val="21"/>
        </w:rPr>
        <w:t xml:space="preserve">In RAN1 #104-e meeting, two methods were agreed for UL power consumption evaluation. Option 1 is step function and option 2 is linear function as shown below. </w:t>
      </w:r>
    </w:p>
    <w:tbl>
      <w:tblPr>
        <w:tblStyle w:val="ac"/>
        <w:tblW w:w="0" w:type="auto"/>
        <w:tblLook w:val="04A0" w:firstRow="1" w:lastRow="0" w:firstColumn="1" w:lastColumn="0" w:noHBand="0" w:noVBand="1"/>
      </w:tblPr>
      <w:tblGrid>
        <w:gridCol w:w="8522"/>
      </w:tblGrid>
      <w:tr w:rsidR="00B94A4B">
        <w:tc>
          <w:tcPr>
            <w:tcW w:w="8522" w:type="dxa"/>
          </w:tcPr>
          <w:p w:rsidR="00B94A4B" w:rsidRDefault="002B2EC1">
            <w:pPr>
              <w:spacing w:before="120" w:after="120"/>
              <w:rPr>
                <w:szCs w:val="21"/>
              </w:rPr>
            </w:pPr>
            <w:r>
              <w:rPr>
                <w:szCs w:val="21"/>
                <w:highlight w:val="green"/>
              </w:rPr>
              <w:t>Agreements:</w:t>
            </w:r>
            <w:r>
              <w:rPr>
                <w:szCs w:val="21"/>
              </w:rPr>
              <w:t xml:space="preserve"> For UL UE power consumption evaluation for UE with transmit power X [0,23] dBm, adopt the following </w:t>
            </w:r>
          </w:p>
          <w:p w:rsidR="00B94A4B" w:rsidRDefault="002B2EC1">
            <w:pPr>
              <w:numPr>
                <w:ilvl w:val="0"/>
                <w:numId w:val="14"/>
              </w:numPr>
              <w:spacing w:before="120" w:after="120"/>
              <w:rPr>
                <w:szCs w:val="21"/>
              </w:rPr>
            </w:pPr>
            <w:r>
              <w:rPr>
                <w:szCs w:val="21"/>
              </w:rPr>
              <w:t xml:space="preserve">Option 1 : Consider only two Tx power values as defined in TR 38.840 </w:t>
            </w:r>
          </w:p>
          <w:p w:rsidR="00B94A4B" w:rsidRDefault="002B2EC1">
            <w:pPr>
              <w:numPr>
                <w:ilvl w:val="1"/>
                <w:numId w:val="14"/>
              </w:numPr>
              <w:spacing w:before="120" w:beforeAutospacing="1" w:after="120" w:afterAutospacing="1"/>
              <w:rPr>
                <w:szCs w:val="21"/>
              </w:rPr>
            </w:pPr>
            <w:r>
              <w:rPr>
                <w:szCs w:val="21"/>
              </w:rPr>
              <w:t xml:space="preserve">Power number is given as </w:t>
            </w:r>
            <w:r>
              <w:rPr>
                <w:rStyle w:val="ad"/>
                <w:szCs w:val="21"/>
              </w:rPr>
              <w:t>A</w:t>
            </w:r>
            <w:r>
              <w:rPr>
                <w:szCs w:val="21"/>
              </w:rPr>
              <w:t xml:space="preserve"> for X= [0, M)dBm and </w:t>
            </w:r>
            <w:r>
              <w:rPr>
                <w:rStyle w:val="ad"/>
                <w:szCs w:val="21"/>
              </w:rPr>
              <w:t>B</w:t>
            </w:r>
            <w:r>
              <w:rPr>
                <w:szCs w:val="21"/>
              </w:rPr>
              <w:t xml:space="preserve"> for X =[M, 23]dBm, where </w:t>
            </w:r>
            <w:r>
              <w:rPr>
                <w:rStyle w:val="ad"/>
                <w:szCs w:val="21"/>
              </w:rPr>
              <w:t>A</w:t>
            </w:r>
            <w:r>
              <w:rPr>
                <w:szCs w:val="21"/>
              </w:rPr>
              <w:t xml:space="preserve"> and </w:t>
            </w:r>
            <w:r>
              <w:rPr>
                <w:rStyle w:val="ad"/>
                <w:szCs w:val="21"/>
              </w:rPr>
              <w:t>B</w:t>
            </w:r>
            <w:r>
              <w:rPr>
                <w:szCs w:val="21"/>
              </w:rPr>
              <w:t xml:space="preserve"> (defined in 38.840) correspond to power consumption numbers for a given uplink slot for 0dBm and 23dBm respectively. </w:t>
            </w:r>
          </w:p>
          <w:p w:rsidR="00B94A4B" w:rsidRDefault="002B2EC1">
            <w:pPr>
              <w:numPr>
                <w:ilvl w:val="2"/>
                <w:numId w:val="14"/>
              </w:numPr>
              <w:spacing w:before="120" w:beforeAutospacing="1" w:after="120" w:afterAutospacing="1"/>
              <w:rPr>
                <w:szCs w:val="21"/>
              </w:rPr>
            </w:pPr>
            <w:r>
              <w:rPr>
                <w:szCs w:val="21"/>
              </w:rPr>
              <w:t>M = [20]</w:t>
            </w:r>
          </w:p>
          <w:p w:rsidR="00B94A4B" w:rsidRDefault="002B2EC1">
            <w:pPr>
              <w:numPr>
                <w:ilvl w:val="2"/>
                <w:numId w:val="14"/>
              </w:numPr>
              <w:spacing w:before="120" w:beforeAutospacing="1" w:after="120" w:afterAutospacing="1"/>
              <w:rPr>
                <w:szCs w:val="21"/>
              </w:rPr>
            </w:pPr>
            <w:r>
              <w:rPr>
                <w:szCs w:val="21"/>
              </w:rPr>
              <w:t>Other value(s) of M can be optionally evaluated</w:t>
            </w:r>
          </w:p>
          <w:p w:rsidR="00B94A4B" w:rsidRDefault="002B2EC1">
            <w:pPr>
              <w:numPr>
                <w:ilvl w:val="0"/>
                <w:numId w:val="14"/>
              </w:numPr>
              <w:spacing w:before="120" w:after="120"/>
              <w:rPr>
                <w:szCs w:val="21"/>
              </w:rPr>
            </w:pPr>
            <w:r>
              <w:rPr>
                <w:szCs w:val="21"/>
              </w:rPr>
              <w:t xml:space="preserve">Option 2: Linear interpolation method in linear scale for Tx power values other than 0 dBm and 23 dBm </w:t>
            </w:r>
          </w:p>
          <w:p w:rsidR="00B94A4B" w:rsidRDefault="002B2EC1">
            <w:pPr>
              <w:pStyle w:val="af1"/>
              <w:numPr>
                <w:ilvl w:val="0"/>
                <w:numId w:val="14"/>
              </w:numPr>
              <w:spacing w:after="120"/>
              <w:rPr>
                <w:sz w:val="21"/>
                <w:szCs w:val="21"/>
              </w:rPr>
            </w:pPr>
            <w:r>
              <w:rPr>
                <w:sz w:val="21"/>
                <w:szCs w:val="21"/>
              </w:rPr>
              <w:t>FFS whether or not to differentiate the two options (e.g., mandatory vs. optional)</w:t>
            </w:r>
          </w:p>
          <w:p w:rsidR="00B94A4B" w:rsidRDefault="002B2EC1">
            <w:pPr>
              <w:pStyle w:val="af1"/>
              <w:numPr>
                <w:ilvl w:val="0"/>
                <w:numId w:val="14"/>
              </w:numPr>
              <w:spacing w:after="120"/>
              <w:rPr>
                <w:sz w:val="21"/>
                <w:szCs w:val="21"/>
              </w:rPr>
            </w:pPr>
            <w:r>
              <w:rPr>
                <w:sz w:val="21"/>
                <w:szCs w:val="21"/>
              </w:rPr>
              <w:lastRenderedPageBreak/>
              <w:t>FFS whether or not to consider UE with transmit power less than 0 dBm</w:t>
            </w:r>
          </w:p>
        </w:tc>
      </w:tr>
    </w:tbl>
    <w:p w:rsidR="00B94A4B" w:rsidRDefault="002B2EC1">
      <w:pPr>
        <w:spacing w:before="120" w:after="120"/>
        <w:rPr>
          <w:b/>
          <w:bCs/>
          <w:u w:val="single"/>
        </w:rPr>
      </w:pPr>
      <w:r>
        <w:rPr>
          <w:b/>
          <w:bCs/>
          <w:szCs w:val="21"/>
          <w:u w:val="single"/>
        </w:rPr>
        <w:lastRenderedPageBreak/>
        <w:t>FFS whether or not to consider UE with transmit power less than 0 dBm</w:t>
      </w:r>
    </w:p>
    <w:p w:rsidR="00B94A4B" w:rsidRDefault="002B2EC1">
      <w:pPr>
        <w:spacing w:before="120" w:after="120"/>
      </w:pPr>
      <w:r>
        <w:rPr>
          <w:rFonts w:hint="eastAsia"/>
        </w:rPr>
        <w:t>Several system level simulations were made to determine whether or not to consider UE with transmit power less than 0 dBm. Only UL traffic is evaluated in these simulations, the configuration of UL traffic is shown in TABLE 1. The simulation assumptions are shown</w:t>
      </w:r>
      <w:r w:rsidR="00240F59">
        <w:t xml:space="preserve"> in</w:t>
      </w:r>
      <w:r>
        <w:rPr>
          <w:rFonts w:hint="eastAsia"/>
        </w:rPr>
        <w:t xml:space="preserve"> TABL</w:t>
      </w:r>
      <w:r w:rsidRPr="00240F59">
        <w:rPr>
          <w:rFonts w:hint="eastAsia"/>
        </w:rPr>
        <w:t>E A1</w:t>
      </w:r>
      <w:r w:rsidR="00240F59">
        <w:t xml:space="preserve"> </w:t>
      </w:r>
      <w:r w:rsidR="00240F59">
        <w:rPr>
          <w:rFonts w:hint="eastAsia"/>
        </w:rPr>
        <w:t xml:space="preserve">in </w:t>
      </w:r>
      <w:r w:rsidR="00240F59">
        <w:t>appendix</w:t>
      </w:r>
      <w:r w:rsidRPr="00240F59">
        <w:rPr>
          <w:rFonts w:hint="eastAsia"/>
        </w:rPr>
        <w:t>.</w:t>
      </w:r>
    </w:p>
    <w:p w:rsidR="00B94A4B" w:rsidRDefault="002B2EC1">
      <w:pPr>
        <w:spacing w:before="120" w:after="120"/>
        <w:jc w:val="center"/>
      </w:pPr>
      <w:r>
        <w:rPr>
          <w:rFonts w:hint="eastAsia"/>
        </w:rPr>
        <w:t>TABLE 1 UL traffic model</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1180"/>
        <w:gridCol w:w="2530"/>
      </w:tblGrid>
      <w:tr w:rsidR="00B94A4B">
        <w:trPr>
          <w:tblCellSpacing w:w="0" w:type="dxa"/>
          <w:jc w:val="center"/>
        </w:trPr>
        <w:tc>
          <w:tcPr>
            <w:tcW w:w="1180" w:type="dxa"/>
            <w:tcBorders>
              <w:tl2br w:val="nil"/>
              <w:tr2bl w:val="nil"/>
            </w:tcBorders>
            <w:shd w:val="clear" w:color="auto" w:fill="FFFFFF"/>
            <w:tcMar>
              <w:top w:w="54" w:type="dxa"/>
              <w:left w:w="108" w:type="dxa"/>
              <w:bottom w:w="54" w:type="dxa"/>
              <w:right w:w="108" w:type="dxa"/>
            </w:tcMar>
          </w:tcPr>
          <w:p w:rsidR="00B94A4B" w:rsidRDefault="00B94A4B">
            <w:pPr>
              <w:pStyle w:val="aa"/>
              <w:spacing w:before="120" w:after="120"/>
              <w:jc w:val="center"/>
              <w:rPr>
                <w:color w:val="000000"/>
              </w:rPr>
            </w:pPr>
          </w:p>
        </w:tc>
        <w:tc>
          <w:tcPr>
            <w:tcW w:w="2530" w:type="dxa"/>
            <w:tcBorders>
              <w:tl2br w:val="nil"/>
              <w:tr2bl w:val="nil"/>
            </w:tcBorders>
            <w:shd w:val="clear" w:color="auto" w:fill="FFFFFF"/>
            <w:tcMar>
              <w:top w:w="54" w:type="dxa"/>
              <w:left w:w="108" w:type="dxa"/>
              <w:bottom w:w="54" w:type="dxa"/>
              <w:right w:w="108" w:type="dxa"/>
            </w:tcMar>
          </w:tcPr>
          <w:p w:rsidR="00B94A4B" w:rsidRDefault="002B2EC1">
            <w:pPr>
              <w:pStyle w:val="aa"/>
              <w:spacing w:before="120" w:after="120"/>
              <w:jc w:val="center"/>
              <w:rPr>
                <w:color w:val="000000"/>
              </w:rPr>
            </w:pPr>
            <w:r>
              <w:rPr>
                <w:b/>
                <w:color w:val="000000"/>
                <w:sz w:val="20"/>
              </w:rPr>
              <w:t>UL traffic</w:t>
            </w:r>
          </w:p>
        </w:tc>
      </w:tr>
      <w:tr w:rsidR="00B94A4B">
        <w:trPr>
          <w:tblCellSpacing w:w="0" w:type="dxa"/>
          <w:jc w:val="center"/>
        </w:trPr>
        <w:tc>
          <w:tcPr>
            <w:tcW w:w="1180" w:type="dxa"/>
            <w:tcBorders>
              <w:tl2br w:val="nil"/>
              <w:tr2bl w:val="nil"/>
            </w:tcBorders>
            <w:shd w:val="clear" w:color="auto" w:fill="FFFFFF"/>
            <w:tcMar>
              <w:top w:w="54" w:type="dxa"/>
              <w:left w:w="108" w:type="dxa"/>
              <w:bottom w:w="54" w:type="dxa"/>
              <w:right w:w="108" w:type="dxa"/>
            </w:tcMar>
          </w:tcPr>
          <w:p w:rsidR="00B94A4B" w:rsidRDefault="002B2EC1">
            <w:pPr>
              <w:pStyle w:val="aa"/>
              <w:spacing w:before="120" w:after="120"/>
              <w:jc w:val="center"/>
              <w:rPr>
                <w:color w:val="000000"/>
              </w:rPr>
            </w:pPr>
            <w:r>
              <w:rPr>
                <w:color w:val="000000"/>
                <w:sz w:val="20"/>
              </w:rPr>
              <w:t>periodic</w:t>
            </w:r>
          </w:p>
        </w:tc>
        <w:tc>
          <w:tcPr>
            <w:tcW w:w="2530" w:type="dxa"/>
            <w:tcBorders>
              <w:tl2br w:val="nil"/>
              <w:tr2bl w:val="nil"/>
            </w:tcBorders>
            <w:shd w:val="clear" w:color="auto" w:fill="FFFFFF"/>
            <w:tcMar>
              <w:top w:w="54" w:type="dxa"/>
              <w:left w:w="108" w:type="dxa"/>
              <w:bottom w:w="54" w:type="dxa"/>
              <w:right w:w="108" w:type="dxa"/>
            </w:tcMar>
          </w:tcPr>
          <w:p w:rsidR="00B94A4B" w:rsidRDefault="002B2EC1">
            <w:pPr>
              <w:pStyle w:val="aa"/>
              <w:spacing w:before="120" w:after="120"/>
              <w:jc w:val="center"/>
              <w:rPr>
                <w:color w:val="000000"/>
              </w:rPr>
            </w:pPr>
            <w:r>
              <w:rPr>
                <w:color w:val="000000"/>
                <w:sz w:val="20"/>
              </w:rPr>
              <w:t>1ms</w:t>
            </w:r>
          </w:p>
        </w:tc>
      </w:tr>
      <w:tr w:rsidR="00B94A4B">
        <w:trPr>
          <w:tblCellSpacing w:w="0" w:type="dxa"/>
          <w:jc w:val="center"/>
        </w:trPr>
        <w:tc>
          <w:tcPr>
            <w:tcW w:w="1180" w:type="dxa"/>
            <w:tcBorders>
              <w:tl2br w:val="nil"/>
              <w:tr2bl w:val="nil"/>
            </w:tcBorders>
            <w:shd w:val="clear" w:color="auto" w:fill="FFFFFF"/>
            <w:tcMar>
              <w:top w:w="54" w:type="dxa"/>
              <w:left w:w="108" w:type="dxa"/>
              <w:bottom w:w="54" w:type="dxa"/>
              <w:right w:w="108" w:type="dxa"/>
            </w:tcMar>
          </w:tcPr>
          <w:p w:rsidR="00B94A4B" w:rsidRDefault="002B2EC1">
            <w:pPr>
              <w:pStyle w:val="aa"/>
              <w:spacing w:before="120" w:after="120"/>
              <w:jc w:val="center"/>
              <w:rPr>
                <w:color w:val="000000"/>
              </w:rPr>
            </w:pPr>
            <w:r>
              <w:rPr>
                <w:color w:val="000000"/>
                <w:sz w:val="20"/>
              </w:rPr>
              <w:t>payload</w:t>
            </w:r>
          </w:p>
        </w:tc>
        <w:tc>
          <w:tcPr>
            <w:tcW w:w="2530" w:type="dxa"/>
            <w:tcBorders>
              <w:tl2br w:val="nil"/>
              <w:tr2bl w:val="nil"/>
            </w:tcBorders>
            <w:shd w:val="clear" w:color="auto" w:fill="FFFFFF"/>
            <w:tcMar>
              <w:top w:w="54" w:type="dxa"/>
              <w:left w:w="108" w:type="dxa"/>
              <w:bottom w:w="54" w:type="dxa"/>
              <w:right w:w="108" w:type="dxa"/>
            </w:tcMar>
          </w:tcPr>
          <w:p w:rsidR="00B94A4B" w:rsidRDefault="002B2EC1">
            <w:pPr>
              <w:pStyle w:val="aa"/>
              <w:spacing w:before="120" w:after="120"/>
              <w:jc w:val="center"/>
              <w:rPr>
                <w:color w:val="000000"/>
              </w:rPr>
            </w:pPr>
            <w:r>
              <w:rPr>
                <w:color w:val="000000"/>
                <w:sz w:val="20"/>
              </w:rPr>
              <w:t>100 bytes</w:t>
            </w:r>
          </w:p>
        </w:tc>
      </w:tr>
      <w:tr w:rsidR="00B94A4B">
        <w:trPr>
          <w:tblCellSpacing w:w="0" w:type="dxa"/>
          <w:jc w:val="center"/>
        </w:trPr>
        <w:tc>
          <w:tcPr>
            <w:tcW w:w="1180" w:type="dxa"/>
            <w:tcBorders>
              <w:tl2br w:val="nil"/>
              <w:tr2bl w:val="nil"/>
            </w:tcBorders>
            <w:shd w:val="clear" w:color="auto" w:fill="FFFFFF"/>
            <w:tcMar>
              <w:top w:w="54" w:type="dxa"/>
              <w:left w:w="108" w:type="dxa"/>
              <w:bottom w:w="54" w:type="dxa"/>
              <w:right w:w="108" w:type="dxa"/>
            </w:tcMar>
          </w:tcPr>
          <w:p w:rsidR="00B94A4B" w:rsidRDefault="002B2EC1">
            <w:pPr>
              <w:pStyle w:val="aa"/>
              <w:spacing w:before="120" w:after="120"/>
              <w:jc w:val="center"/>
              <w:rPr>
                <w:color w:val="000000"/>
              </w:rPr>
            </w:pPr>
            <w:r>
              <w:rPr>
                <w:color w:val="000000"/>
                <w:sz w:val="20"/>
              </w:rPr>
              <w:t>PDB</w:t>
            </w:r>
          </w:p>
        </w:tc>
        <w:tc>
          <w:tcPr>
            <w:tcW w:w="2530" w:type="dxa"/>
            <w:tcBorders>
              <w:tl2br w:val="nil"/>
              <w:tr2bl w:val="nil"/>
            </w:tcBorders>
            <w:shd w:val="clear" w:color="auto" w:fill="FFFFFF"/>
            <w:tcMar>
              <w:top w:w="54" w:type="dxa"/>
              <w:left w:w="108" w:type="dxa"/>
              <w:bottom w:w="54" w:type="dxa"/>
              <w:right w:w="108" w:type="dxa"/>
            </w:tcMar>
          </w:tcPr>
          <w:p w:rsidR="00B94A4B" w:rsidRDefault="002B2EC1">
            <w:pPr>
              <w:pStyle w:val="aa"/>
              <w:spacing w:before="120" w:after="120"/>
              <w:jc w:val="center"/>
              <w:rPr>
                <w:color w:val="000000"/>
              </w:rPr>
            </w:pPr>
            <w:r>
              <w:rPr>
                <w:color w:val="000000"/>
                <w:sz w:val="20"/>
              </w:rPr>
              <w:t>10ms</w:t>
            </w:r>
          </w:p>
        </w:tc>
      </w:tr>
    </w:tbl>
    <w:p w:rsidR="00B94A4B" w:rsidRDefault="002B2EC1">
      <w:pPr>
        <w:spacing w:before="120" w:after="120"/>
      </w:pPr>
      <w:r>
        <w:rPr>
          <w:rFonts w:hint="eastAsia"/>
        </w:rPr>
        <w:t xml:space="preserve">The distribution of UE transmit power in Indoor and Dense Urban scenarios are shown in Figure </w:t>
      </w:r>
      <w:r w:rsidR="00240F59">
        <w:t>2</w:t>
      </w:r>
      <w:r>
        <w:rPr>
          <w:rFonts w:hint="eastAsia"/>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5"/>
        <w:gridCol w:w="4791"/>
      </w:tblGrid>
      <w:tr w:rsidR="00B94A4B">
        <w:tc>
          <w:tcPr>
            <w:tcW w:w="4938" w:type="dxa"/>
          </w:tcPr>
          <w:p w:rsidR="00B94A4B" w:rsidRDefault="002B2EC1">
            <w:pPr>
              <w:spacing w:before="120" w:after="120"/>
            </w:pPr>
            <w:r>
              <w:rPr>
                <w:noProof/>
              </w:rPr>
              <w:drawing>
                <wp:inline distT="0" distB="0" distL="114300" distR="114300">
                  <wp:extent cx="3091815" cy="216027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cstate="print"/>
                          <a:stretch>
                            <a:fillRect/>
                          </a:stretch>
                        </pic:blipFill>
                        <pic:spPr>
                          <a:xfrm>
                            <a:off x="0" y="0"/>
                            <a:ext cx="3091815" cy="2160270"/>
                          </a:xfrm>
                          <a:prstGeom prst="rect">
                            <a:avLst/>
                          </a:prstGeom>
                        </pic:spPr>
                      </pic:pic>
                    </a:graphicData>
                  </a:graphic>
                </wp:inline>
              </w:drawing>
            </w:r>
          </w:p>
        </w:tc>
        <w:tc>
          <w:tcPr>
            <w:tcW w:w="4938" w:type="dxa"/>
          </w:tcPr>
          <w:p w:rsidR="00B94A4B" w:rsidRDefault="002B2EC1">
            <w:pPr>
              <w:spacing w:before="120" w:after="120"/>
            </w:pPr>
            <w:r>
              <w:rPr>
                <w:noProof/>
              </w:rPr>
              <w:drawing>
                <wp:inline distT="0" distB="0" distL="114300" distR="114300">
                  <wp:extent cx="2879725" cy="2160270"/>
                  <wp:effectExtent l="0" t="0" r="0" b="1143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cstate="print"/>
                          <a:stretch>
                            <a:fillRect/>
                          </a:stretch>
                        </pic:blipFill>
                        <pic:spPr>
                          <a:xfrm>
                            <a:off x="0" y="0"/>
                            <a:ext cx="2879725" cy="2160270"/>
                          </a:xfrm>
                          <a:prstGeom prst="rect">
                            <a:avLst/>
                          </a:prstGeom>
                        </pic:spPr>
                      </pic:pic>
                    </a:graphicData>
                  </a:graphic>
                </wp:inline>
              </w:drawing>
            </w:r>
          </w:p>
        </w:tc>
      </w:tr>
      <w:tr w:rsidR="00B94A4B">
        <w:tc>
          <w:tcPr>
            <w:tcW w:w="4938" w:type="dxa"/>
          </w:tcPr>
          <w:p w:rsidR="00B94A4B" w:rsidRDefault="002B2EC1">
            <w:pPr>
              <w:numPr>
                <w:ilvl w:val="0"/>
                <w:numId w:val="19"/>
              </w:numPr>
              <w:spacing w:before="120" w:after="120"/>
              <w:jc w:val="center"/>
            </w:pPr>
            <w:r>
              <w:rPr>
                <w:rFonts w:hint="eastAsia"/>
              </w:rPr>
              <w:t>Indoor</w:t>
            </w:r>
          </w:p>
        </w:tc>
        <w:tc>
          <w:tcPr>
            <w:tcW w:w="4938" w:type="dxa"/>
          </w:tcPr>
          <w:p w:rsidR="00B94A4B" w:rsidRDefault="002B2EC1">
            <w:pPr>
              <w:numPr>
                <w:ilvl w:val="0"/>
                <w:numId w:val="19"/>
              </w:numPr>
              <w:spacing w:before="120" w:after="120"/>
              <w:jc w:val="center"/>
            </w:pPr>
            <w:r>
              <w:rPr>
                <w:rFonts w:hint="eastAsia"/>
              </w:rPr>
              <w:t>Dense Urban</w:t>
            </w:r>
          </w:p>
        </w:tc>
      </w:tr>
    </w:tbl>
    <w:p w:rsidR="00B94A4B" w:rsidRDefault="002B2EC1">
      <w:pPr>
        <w:spacing w:before="120" w:after="120"/>
        <w:jc w:val="center"/>
      </w:pPr>
      <w:r>
        <w:rPr>
          <w:rFonts w:hint="eastAsia"/>
        </w:rPr>
        <w:t xml:space="preserve">Figure </w:t>
      </w:r>
      <w:r w:rsidR="00240F59">
        <w:t>2</w:t>
      </w:r>
      <w:r>
        <w:rPr>
          <w:rFonts w:hint="eastAsia"/>
        </w:rPr>
        <w:t xml:space="preserve"> Distribution of UE transmit power</w:t>
      </w:r>
    </w:p>
    <w:p w:rsidR="00B94A4B" w:rsidRDefault="002B2EC1">
      <w:pPr>
        <w:spacing w:before="120" w:after="120"/>
      </w:pPr>
      <w:r>
        <w:rPr>
          <w:rFonts w:hint="eastAsia"/>
        </w:rPr>
        <w:t>According to the simulation results, UE with transmit power less than 0 dBm exist</w:t>
      </w:r>
      <w:r w:rsidR="00103CA2">
        <w:rPr>
          <w:rFonts w:hint="eastAsia"/>
        </w:rPr>
        <w:t>s</w:t>
      </w:r>
      <w:r>
        <w:rPr>
          <w:rFonts w:hint="eastAsia"/>
        </w:rPr>
        <w:t xml:space="preserve">, and UL slots with transmit power less than 0 dBm </w:t>
      </w:r>
      <w:r w:rsidR="00103CA2">
        <w:rPr>
          <w:rFonts w:hint="eastAsia"/>
        </w:rPr>
        <w:t>account for</w:t>
      </w:r>
      <w:r>
        <w:rPr>
          <w:rFonts w:hint="eastAsia"/>
        </w:rPr>
        <w:t xml:space="preserve"> about half of the total UL slots in Indoor scenarios.</w:t>
      </w:r>
    </w:p>
    <w:p w:rsidR="00B94A4B" w:rsidRDefault="002B2EC1">
      <w:pPr>
        <w:pStyle w:val="YJ-Observation"/>
        <w:spacing w:before="120" w:after="120"/>
        <w:rPr>
          <w:lang w:val="en-US" w:eastAsia="zh-CN"/>
        </w:rPr>
      </w:pPr>
      <w:bookmarkStart w:id="20" w:name="_Toc68685642"/>
      <w:bookmarkStart w:id="21" w:name="_Toc68687707"/>
      <w:bookmarkStart w:id="22" w:name="_Toc68688228"/>
      <w:r>
        <w:rPr>
          <w:lang w:val="en-US" w:eastAsia="zh-CN"/>
        </w:rPr>
        <w:t>UE with transmit power less than 0 dBm will occur frequently, especially in Indoor scenarios.</w:t>
      </w:r>
      <w:bookmarkEnd w:id="20"/>
      <w:bookmarkEnd w:id="21"/>
      <w:bookmarkEnd w:id="22"/>
    </w:p>
    <w:p w:rsidR="00B94A4B" w:rsidRDefault="002B2EC1">
      <w:pPr>
        <w:spacing w:before="120" w:after="120"/>
        <w:rPr>
          <w:szCs w:val="21"/>
        </w:rPr>
      </w:pPr>
      <w:r>
        <w:rPr>
          <w:rFonts w:hint="eastAsia"/>
        </w:rPr>
        <w:t xml:space="preserve">The power </w:t>
      </w:r>
      <w:r>
        <w:rPr>
          <w:rFonts w:hint="eastAsia"/>
          <w:szCs w:val="21"/>
        </w:rPr>
        <w:t xml:space="preserve">of </w:t>
      </w:r>
      <w:r>
        <w:rPr>
          <w:szCs w:val="21"/>
        </w:rPr>
        <w:t>UE with transmit powe</w:t>
      </w:r>
      <w:r>
        <w:rPr>
          <w:rFonts w:hint="eastAsia"/>
          <w:szCs w:val="21"/>
        </w:rPr>
        <w:t>r less than 0 dBm should be considered, and a minimum transmit power may need to be determined. Both step function and linear function can be used to calculate the power of slot with transmit power less than 0 dBm.</w:t>
      </w:r>
    </w:p>
    <w:p w:rsidR="00B94A4B" w:rsidRDefault="002B2EC1" w:rsidP="002B2EC1">
      <w:pPr>
        <w:pStyle w:val="YJ-Proposal"/>
        <w:spacing w:before="120" w:after="120"/>
        <w:rPr>
          <w:lang w:val="en-US" w:eastAsia="zh-CN"/>
        </w:rPr>
      </w:pPr>
      <w:bookmarkStart w:id="23" w:name="_Toc68687721"/>
      <w:r>
        <w:t>UE with transmit power less than 0 dBm</w:t>
      </w:r>
      <w:r>
        <w:rPr>
          <w:rFonts w:hint="eastAsia"/>
          <w:lang w:val="en-US" w:eastAsia="zh-CN"/>
        </w:rPr>
        <w:t xml:space="preserve"> should be considered.</w:t>
      </w:r>
      <w:bookmarkEnd w:id="23"/>
    </w:p>
    <w:p w:rsidR="00B94A4B" w:rsidRDefault="002B2EC1">
      <w:pPr>
        <w:pStyle w:val="af1"/>
        <w:spacing w:after="120"/>
        <w:ind w:left="0"/>
        <w:rPr>
          <w:b/>
          <w:bCs/>
          <w:sz w:val="21"/>
          <w:szCs w:val="21"/>
          <w:u w:val="single"/>
        </w:rPr>
      </w:pPr>
      <w:r>
        <w:rPr>
          <w:b/>
          <w:bCs/>
          <w:sz w:val="21"/>
          <w:szCs w:val="21"/>
          <w:u w:val="single"/>
        </w:rPr>
        <w:t>FFS whether or not to differentiate the two options (e.g., mandatory vs. optional)</w:t>
      </w:r>
    </w:p>
    <w:p w:rsidR="00B94A4B" w:rsidRDefault="002B2EC1">
      <w:pPr>
        <w:spacing w:before="120" w:after="120"/>
      </w:pPr>
      <w:r>
        <w:rPr>
          <w:rFonts w:hint="eastAsia"/>
        </w:rPr>
        <w:t>Option 1 only uses the two original values in TR 38.840 and not generate new power values. One can</w:t>
      </w:r>
      <w:r w:rsidR="00103CA2">
        <w:rPr>
          <w:rFonts w:hint="eastAsia"/>
        </w:rPr>
        <w:t xml:space="preserve"> be</w:t>
      </w:r>
      <w:r>
        <w:rPr>
          <w:rFonts w:hint="eastAsia"/>
        </w:rPr>
        <w:t xml:space="preserve"> used for good channel condition and the other one for bad channel condition. The M can be used to </w:t>
      </w:r>
      <w:r w:rsidR="00103CA2">
        <w:rPr>
          <w:rFonts w:hint="eastAsia"/>
        </w:rPr>
        <w:t>determine the channel condition</w:t>
      </w:r>
      <w:r>
        <w:rPr>
          <w:rFonts w:hint="eastAsia"/>
        </w:rPr>
        <w:t>.</w:t>
      </w:r>
    </w:p>
    <w:p w:rsidR="00B94A4B" w:rsidRDefault="002B2EC1">
      <w:pPr>
        <w:spacing w:before="120" w:after="120"/>
      </w:pPr>
      <w:r>
        <w:rPr>
          <w:rFonts w:hint="eastAsia"/>
        </w:rPr>
        <w:lastRenderedPageBreak/>
        <w:t xml:space="preserve">Option 2 uses a linear function to obtain other power values. The power value changes from 250 to 270 </w:t>
      </w:r>
      <w:r w:rsidR="00103CA2">
        <w:rPr>
          <w:rFonts w:hint="eastAsia"/>
        </w:rPr>
        <w:t>are</w:t>
      </w:r>
      <w:r>
        <w:rPr>
          <w:rFonts w:hint="eastAsia"/>
        </w:rPr>
        <w:t xml:space="preserve"> small changes when UE transmit power varies from 0dBm to 10dBm. This slight power consumption change may not</w:t>
      </w:r>
      <w:r w:rsidR="00103CA2">
        <w:rPr>
          <w:rFonts w:hint="eastAsia"/>
        </w:rPr>
        <w:t xml:space="preserve"> be</w:t>
      </w:r>
      <w:r>
        <w:rPr>
          <w:rFonts w:hint="eastAsia"/>
        </w:rPr>
        <w:t xml:space="preserve"> needed because whether the power model can reflect the real situation is unclear. </w:t>
      </w:r>
    </w:p>
    <w:p w:rsidR="00B94A4B" w:rsidRDefault="002B2EC1">
      <w:pPr>
        <w:spacing w:before="120" w:after="120"/>
      </w:pPr>
      <w:r>
        <w:rPr>
          <w:rFonts w:hint="eastAsia"/>
        </w:rPr>
        <w:t>Therefore, Option 1 is preferred.</w:t>
      </w:r>
    </w:p>
    <w:p w:rsidR="00103CA2" w:rsidRDefault="00103CA2">
      <w:pPr>
        <w:spacing w:before="120" w:after="120"/>
      </w:pPr>
      <w:r>
        <w:rPr>
          <w:rFonts w:hint="eastAsia"/>
        </w:rPr>
        <w:t>Similarly, for FR2, given the definition of current 38.840, only 350 as relative power is defined. We shall re-use this value for simplicity. In case time allows and another power state could be defined for 23dBm, the step function and the threshold could be re-used.</w:t>
      </w:r>
    </w:p>
    <w:p w:rsidR="00B94A4B" w:rsidRDefault="002B2EC1" w:rsidP="002B2EC1">
      <w:pPr>
        <w:pStyle w:val="YJ-Proposal"/>
        <w:spacing w:before="120" w:after="120"/>
        <w:rPr>
          <w:lang w:val="en-US" w:eastAsia="zh-CN"/>
        </w:rPr>
      </w:pPr>
      <w:bookmarkStart w:id="24" w:name="_Toc68687722"/>
      <w:r>
        <w:rPr>
          <w:rFonts w:hint="eastAsia"/>
          <w:lang w:val="en-US" w:eastAsia="zh-CN"/>
        </w:rPr>
        <w:t xml:space="preserve">Option 1 is preferred for </w:t>
      </w:r>
      <w:r>
        <w:t>UL UE power consumption evaluation</w:t>
      </w:r>
      <w:r>
        <w:rPr>
          <w:rFonts w:hint="eastAsia"/>
          <w:lang w:val="en-US" w:eastAsia="zh-CN"/>
        </w:rPr>
        <w:t>.</w:t>
      </w:r>
      <w:bookmarkEnd w:id="24"/>
    </w:p>
    <w:p w:rsidR="00103CA2" w:rsidRDefault="00103CA2" w:rsidP="002B2EC1">
      <w:pPr>
        <w:pStyle w:val="YJ-Proposal"/>
        <w:spacing w:before="120" w:after="120"/>
        <w:rPr>
          <w:lang w:val="en-US" w:eastAsia="zh-CN"/>
        </w:rPr>
      </w:pPr>
      <w:bookmarkStart w:id="25" w:name="_Toc68687723"/>
      <w:r>
        <w:rPr>
          <w:rFonts w:hint="eastAsia"/>
          <w:lang w:val="en-US" w:eastAsia="zh-CN"/>
        </w:rPr>
        <w:t>For FR2, re-use the 350 relative power in case no new power state is further defined for 23dBm.</w:t>
      </w:r>
      <w:bookmarkEnd w:id="25"/>
    </w:p>
    <w:p w:rsidR="00B94A4B" w:rsidRDefault="002B2EC1">
      <w:pPr>
        <w:numPr>
          <w:ilvl w:val="0"/>
          <w:numId w:val="18"/>
        </w:numPr>
        <w:spacing w:before="120" w:after="120"/>
        <w:rPr>
          <w:b/>
          <w:u w:val="single"/>
        </w:rPr>
      </w:pPr>
      <w:r>
        <w:rPr>
          <w:rFonts w:hint="eastAsia"/>
          <w:b/>
          <w:u w:val="single"/>
        </w:rPr>
        <w:t>Power model for antenna</w:t>
      </w:r>
    </w:p>
    <w:p w:rsidR="00B94A4B" w:rsidRDefault="002B2EC1">
      <w:pPr>
        <w:spacing w:before="120" w:after="120"/>
      </w:pPr>
      <w:r>
        <w:rPr>
          <w:rFonts w:hint="eastAsia"/>
        </w:rPr>
        <w:t xml:space="preserve">In TR 38.840, the following power consumption scaling rule related to antenna is shown in Table </w:t>
      </w:r>
      <w:r w:rsidR="00240F59">
        <w:t>2</w:t>
      </w:r>
      <w:r>
        <w:rPr>
          <w:rFonts w:hint="eastAsia"/>
        </w:rPr>
        <w:t>.</w:t>
      </w:r>
    </w:p>
    <w:p w:rsidR="00B94A4B" w:rsidRDefault="002B2EC1">
      <w:pPr>
        <w:spacing w:before="120" w:after="120"/>
        <w:jc w:val="center"/>
      </w:pPr>
      <w:r>
        <w:rPr>
          <w:rFonts w:hint="eastAsia"/>
        </w:rPr>
        <w:t xml:space="preserve">Table </w:t>
      </w:r>
      <w:r w:rsidR="00240F59">
        <w:t>2</w:t>
      </w:r>
      <w:r>
        <w:rPr>
          <w:rFonts w:hint="eastAsia"/>
        </w:rPr>
        <w:t xml:space="preserve"> </w:t>
      </w:r>
      <w:r>
        <w:t>UE power consumption scaling for adaptation</w:t>
      </w:r>
    </w:p>
    <w:tbl>
      <w:tblPr>
        <w:tblW w:w="0" w:type="auto"/>
        <w:tblCellMar>
          <w:left w:w="0" w:type="dxa"/>
          <w:right w:w="0" w:type="dxa"/>
        </w:tblCellMar>
        <w:tblLook w:val="04A0" w:firstRow="1" w:lastRow="0" w:firstColumn="1" w:lastColumn="0" w:noHBand="0" w:noVBand="1"/>
      </w:tblPr>
      <w:tblGrid>
        <w:gridCol w:w="1866"/>
        <w:gridCol w:w="4914"/>
        <w:gridCol w:w="3096"/>
      </w:tblGrid>
      <w:tr w:rsidR="00B94A4B">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94A4B" w:rsidRDefault="002B2EC1">
            <w:pPr>
              <w:pStyle w:val="TAH"/>
              <w:spacing w:before="120" w:after="120"/>
              <w:rPr>
                <w:rFonts w:ascii="Times New Roman" w:hAnsi="Times New Roman"/>
                <w:sz w:val="21"/>
                <w:szCs w:val="21"/>
              </w:rPr>
            </w:pPr>
            <w:r>
              <w:rPr>
                <w:rFonts w:ascii="Times New Roman" w:hAnsi="Times New Roman"/>
                <w:sz w:val="21"/>
                <w:szCs w:val="21"/>
              </w:rPr>
              <w:t>Scaling for FR1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94A4B" w:rsidRDefault="002B2EC1">
            <w:pPr>
              <w:pStyle w:val="TAH"/>
              <w:spacing w:before="120" w:after="120"/>
              <w:rPr>
                <w:rFonts w:ascii="Times New Roman" w:hAnsi="Times New Roman"/>
                <w:sz w:val="21"/>
                <w:szCs w:val="21"/>
              </w:rPr>
            </w:pPr>
            <w:r>
              <w:rPr>
                <w:rFonts w:ascii="Times New Roman" w:hAnsi="Times New Roman"/>
                <w:sz w:val="21"/>
                <w:szCs w:val="21"/>
              </w:rPr>
              <w:t>Proposal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94A4B" w:rsidRDefault="002B2EC1">
            <w:pPr>
              <w:pStyle w:val="TAH"/>
              <w:spacing w:before="120" w:after="120"/>
              <w:rPr>
                <w:rFonts w:ascii="Times New Roman" w:hAnsi="Times New Roman"/>
                <w:sz w:val="21"/>
                <w:szCs w:val="21"/>
              </w:rPr>
            </w:pPr>
            <w:r>
              <w:rPr>
                <w:rFonts w:ascii="Times New Roman" w:hAnsi="Times New Roman"/>
                <w:sz w:val="21"/>
                <w:szCs w:val="21"/>
              </w:rPr>
              <w:t>Comment</w:t>
            </w:r>
          </w:p>
        </w:tc>
      </w:tr>
      <w:tr w:rsidR="00B94A4B">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94A4B" w:rsidRDefault="002B2EC1">
            <w:pPr>
              <w:pStyle w:val="TAL"/>
              <w:spacing w:before="120" w:after="120"/>
              <w:rPr>
                <w:rFonts w:ascii="Times New Roman" w:hAnsi="Times New Roman"/>
                <w:sz w:val="21"/>
                <w:szCs w:val="21"/>
              </w:rPr>
            </w:pPr>
            <w:r>
              <w:rPr>
                <w:rFonts w:ascii="Times New Roman" w:hAnsi="Times New Roman"/>
                <w:sz w:val="21"/>
                <w:szCs w:val="21"/>
              </w:rPr>
              <w:t>Antenna scaling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94A4B" w:rsidRDefault="002B2EC1">
            <w:pPr>
              <w:pStyle w:val="TAL"/>
              <w:spacing w:before="120" w:after="120"/>
              <w:rPr>
                <w:rFonts w:ascii="Times New Roman" w:hAnsi="Times New Roman"/>
                <w:sz w:val="21"/>
                <w:szCs w:val="21"/>
              </w:rPr>
            </w:pPr>
            <w:r>
              <w:rPr>
                <w:rFonts w:ascii="Times New Roman" w:hAnsi="Times New Roman"/>
                <w:sz w:val="21"/>
                <w:szCs w:val="21"/>
              </w:rPr>
              <w:t>2Tx power is 1.4x 1Tx power at 0dBm. 1.2x.at 23dBm FR1 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94A4B" w:rsidRDefault="002B2EC1">
            <w:pPr>
              <w:pStyle w:val="TAL"/>
              <w:spacing w:before="120" w:after="120"/>
              <w:rPr>
                <w:rFonts w:ascii="Times New Roman" w:hAnsi="Times New Roman"/>
                <w:sz w:val="21"/>
                <w:szCs w:val="21"/>
              </w:rPr>
            </w:pPr>
            <w:r>
              <w:rPr>
                <w:rFonts w:ascii="Times New Roman" w:hAnsi="Times New Roman"/>
                <w:sz w:val="21"/>
                <w:szCs w:val="21"/>
              </w:rPr>
              <w:t>2Tx support is not considered for FR2.</w:t>
            </w:r>
          </w:p>
        </w:tc>
      </w:tr>
    </w:tbl>
    <w:p w:rsidR="00B94A4B" w:rsidRDefault="002B2EC1">
      <w:pPr>
        <w:spacing w:before="120" w:after="120"/>
      </w:pPr>
      <w:r>
        <w:rPr>
          <w:rFonts w:hint="eastAsia"/>
        </w:rPr>
        <w:t xml:space="preserve">UE transmission power will be changed according to power control technique. Therefore the antenna scaling in TR 38.840 is not enough because the antenna scaling for the transmission power other than 0dBm and 23dBm isn't provided. According to RAN1 #104-e meeting, 4Tx may be used for FR2 simulation while no antenna scaling is provided for FR2 in TR 38.840. The simulation assumptions should be modified for XR power consumption evaluation. </w:t>
      </w:r>
    </w:p>
    <w:p w:rsidR="00B94A4B" w:rsidRDefault="002B2EC1">
      <w:pPr>
        <w:pStyle w:val="YJ-Observation"/>
        <w:spacing w:before="120" w:after="120"/>
        <w:rPr>
          <w:lang w:val="en-US" w:eastAsia="zh-CN"/>
        </w:rPr>
      </w:pPr>
      <w:bookmarkStart w:id="26" w:name="_Toc68685643"/>
      <w:bookmarkStart w:id="27" w:name="_Toc68687708"/>
      <w:bookmarkStart w:id="28" w:name="_Toc68688229"/>
      <w:r>
        <w:rPr>
          <w:lang w:val="en-US" w:eastAsia="zh-CN"/>
        </w:rPr>
        <w:t>Antenna scaling is not considered for FR2 in TR 38.840.</w:t>
      </w:r>
      <w:bookmarkEnd w:id="26"/>
      <w:bookmarkEnd w:id="27"/>
      <w:bookmarkEnd w:id="28"/>
    </w:p>
    <w:p w:rsidR="00B94A4B" w:rsidRDefault="002B2EC1">
      <w:pPr>
        <w:pStyle w:val="YJ-Observation"/>
        <w:spacing w:before="120" w:after="120"/>
        <w:rPr>
          <w:lang w:val="en-US" w:eastAsia="zh-CN"/>
        </w:rPr>
      </w:pPr>
      <w:bookmarkStart w:id="29" w:name="_Toc68685644"/>
      <w:bookmarkStart w:id="30" w:name="_Toc68687709"/>
      <w:bookmarkStart w:id="31" w:name="_Toc68688230"/>
      <w:r>
        <w:rPr>
          <w:lang w:val="en-US" w:eastAsia="zh-CN"/>
        </w:rPr>
        <w:t>UE antenna can be 4Tx for FR2.</w:t>
      </w:r>
      <w:bookmarkEnd w:id="29"/>
      <w:bookmarkEnd w:id="30"/>
      <w:bookmarkEnd w:id="31"/>
    </w:p>
    <w:p w:rsidR="00B94A4B" w:rsidRDefault="002B2EC1">
      <w:pPr>
        <w:pStyle w:val="YJ-Proposal"/>
        <w:spacing w:before="120" w:after="120"/>
        <w:rPr>
          <w:lang w:val="en-US" w:eastAsia="zh-CN"/>
        </w:rPr>
      </w:pPr>
      <w:bookmarkStart w:id="32" w:name="_Toc68687724"/>
      <w:r>
        <w:rPr>
          <w:rFonts w:hint="eastAsia"/>
          <w:lang w:val="en-US" w:eastAsia="zh-CN"/>
        </w:rPr>
        <w:t>The following method can be used to model the antenna scaling for power consumption within [A, 23dBm] in both FR1 and FR2:</w:t>
      </w:r>
      <w:bookmarkEnd w:id="32"/>
      <w:r>
        <w:rPr>
          <w:rFonts w:hint="eastAsia"/>
          <w:lang w:val="en-US" w:eastAsia="zh-CN"/>
        </w:rPr>
        <w:t xml:space="preserve"> </w:t>
      </w:r>
    </w:p>
    <w:p w:rsidR="00B94A4B" w:rsidRDefault="002B2EC1">
      <w:pPr>
        <w:pStyle w:val="YJ-Proposal"/>
        <w:numPr>
          <w:ilvl w:val="0"/>
          <w:numId w:val="21"/>
        </w:numPr>
        <w:spacing w:before="120" w:after="120"/>
        <w:rPr>
          <w:lang w:val="en-US" w:eastAsia="zh-CN"/>
        </w:rPr>
      </w:pPr>
      <w:bookmarkStart w:id="33" w:name="_Toc68687725"/>
      <w:r>
        <w:rPr>
          <w:rFonts w:hint="eastAsia"/>
          <w:lang w:val="en-US" w:eastAsia="zh-CN"/>
        </w:rPr>
        <w:t>2Tx power is 1.4x 1Tx power within [A,M] and 1.2x.within (M,23dBm].</w:t>
      </w:r>
      <w:bookmarkEnd w:id="33"/>
    </w:p>
    <w:p w:rsidR="00B94A4B" w:rsidRDefault="002B2EC1">
      <w:pPr>
        <w:pStyle w:val="YJ-Proposal"/>
        <w:numPr>
          <w:ilvl w:val="0"/>
          <w:numId w:val="21"/>
        </w:numPr>
        <w:spacing w:before="120" w:after="120"/>
        <w:rPr>
          <w:lang w:val="en-US" w:eastAsia="zh-CN"/>
        </w:rPr>
      </w:pPr>
      <w:bookmarkStart w:id="34" w:name="_Toc68687726"/>
      <w:r>
        <w:rPr>
          <w:rFonts w:hint="eastAsia"/>
          <w:lang w:val="en-US" w:eastAsia="zh-CN"/>
        </w:rPr>
        <w:t>4Tx power is 1.4x 2Tx power within [A,M] and 1.2x.within (M,23dBm].</w:t>
      </w:r>
      <w:bookmarkEnd w:id="34"/>
    </w:p>
    <w:p w:rsidR="00B94A4B" w:rsidRDefault="002B2EC1">
      <w:pPr>
        <w:pStyle w:val="YJ-Proposal"/>
        <w:numPr>
          <w:ilvl w:val="1"/>
          <w:numId w:val="21"/>
        </w:numPr>
        <w:spacing w:before="120" w:after="120"/>
        <w:rPr>
          <w:lang w:val="en-US" w:eastAsia="zh-CN"/>
        </w:rPr>
      </w:pPr>
      <w:bookmarkStart w:id="35" w:name="_Toc68687727"/>
      <w:r>
        <w:rPr>
          <w:rFonts w:hint="eastAsia"/>
          <w:lang w:val="en-US" w:eastAsia="zh-CN"/>
        </w:rPr>
        <w:t>M=[20dBm]</w:t>
      </w:r>
      <w:bookmarkEnd w:id="35"/>
    </w:p>
    <w:p w:rsidR="00B94A4B" w:rsidRDefault="002B2EC1">
      <w:pPr>
        <w:pStyle w:val="YJ-Proposal"/>
        <w:numPr>
          <w:ilvl w:val="1"/>
          <w:numId w:val="21"/>
        </w:numPr>
        <w:spacing w:before="120" w:after="120"/>
        <w:rPr>
          <w:lang w:val="en-US" w:eastAsia="zh-CN"/>
        </w:rPr>
      </w:pPr>
      <w:bookmarkStart w:id="36" w:name="_Toc68687728"/>
      <w:r>
        <w:rPr>
          <w:rFonts w:hint="eastAsia"/>
          <w:lang w:val="en-US" w:eastAsia="zh-CN"/>
        </w:rPr>
        <w:t>A is 0dBm if UE transmit power less than 0dBm is not considered, otherwise, A is the minimum value of UE transmit power.</w:t>
      </w:r>
      <w:bookmarkEnd w:id="36"/>
    </w:p>
    <w:p w:rsidR="00B94A4B" w:rsidRDefault="002B2EC1">
      <w:pPr>
        <w:numPr>
          <w:ilvl w:val="0"/>
          <w:numId w:val="22"/>
        </w:numPr>
        <w:spacing w:before="120" w:after="120"/>
        <w:rPr>
          <w:b/>
          <w:bCs/>
          <w:u w:val="single"/>
        </w:rPr>
      </w:pPr>
      <w:r>
        <w:rPr>
          <w:rFonts w:hint="eastAsia"/>
          <w:b/>
          <w:bCs/>
          <w:u w:val="single"/>
        </w:rPr>
        <w:t>Whether or not to add more UL Power state</w:t>
      </w:r>
    </w:p>
    <w:p w:rsidR="00B94A4B" w:rsidRDefault="002B2EC1">
      <w:pPr>
        <w:spacing w:before="120" w:after="120"/>
      </w:pPr>
      <w:r>
        <w:rPr>
          <w:rFonts w:hint="eastAsia"/>
        </w:rPr>
        <w:t xml:space="preserve">It is worth discussing whether the three power states are enough for XR evaluation. According to the characteristics in </w:t>
      </w:r>
      <w:r w:rsidR="00240F59">
        <w:t>TR 38.840</w:t>
      </w:r>
      <w:r w:rsidR="001A6D92">
        <w:t>[7]</w:t>
      </w:r>
      <w:r w:rsidR="00240F59">
        <w:t>,</w:t>
      </w:r>
      <w:r>
        <w:rPr>
          <w:rFonts w:hint="eastAsia"/>
        </w:rPr>
        <w:t xml:space="preserve"> long PUCCH or PUSCH/Short PUCCH/ SRS has a same power value no matter how many symbols</w:t>
      </w:r>
      <w:r>
        <w:t xml:space="preserve"> </w:t>
      </w:r>
      <w:r>
        <w:rPr>
          <w:rFonts w:hint="eastAsia"/>
        </w:rPr>
        <w:t xml:space="preserve">it occupies. In principle, the three power states are representative to cover a large variety of </w:t>
      </w:r>
      <w:r>
        <w:t>transmission</w:t>
      </w:r>
      <w:r>
        <w:rPr>
          <w:rFonts w:hint="eastAsia"/>
        </w:rPr>
        <w:t xml:space="preserve"> states while in the meantime finer granularity may be pursued in the power state modeling.</w:t>
      </w:r>
    </w:p>
    <w:p w:rsidR="00B94A4B" w:rsidRDefault="002B2EC1">
      <w:pPr>
        <w:spacing w:before="120" w:after="120"/>
      </w:pPr>
      <w:r>
        <w:rPr>
          <w:rFonts w:hint="eastAsia"/>
        </w:rPr>
        <w:t>For XR evaluation, there are two alternatives for the UL power state modeling:</w:t>
      </w:r>
    </w:p>
    <w:p w:rsidR="00B94A4B" w:rsidRDefault="002B2EC1">
      <w:pPr>
        <w:spacing w:before="120" w:after="120"/>
        <w:rPr>
          <w:i/>
        </w:rPr>
      </w:pPr>
      <w:r>
        <w:rPr>
          <w:rFonts w:hint="eastAsia"/>
          <w:i/>
        </w:rPr>
        <w:t>Alt 1: Use the original power states without adding more detailed power states.</w:t>
      </w:r>
    </w:p>
    <w:p w:rsidR="00B94A4B" w:rsidRDefault="002B2EC1">
      <w:pPr>
        <w:spacing w:before="120" w:after="120"/>
        <w:rPr>
          <w:i/>
        </w:rPr>
      </w:pPr>
      <w:r>
        <w:rPr>
          <w:rFonts w:hint="eastAsia"/>
          <w:i/>
        </w:rPr>
        <w:lastRenderedPageBreak/>
        <w:t>Alt 2: Add more detailed UL power states, e.g., PUSCH with different numbers of symbols should have different power values.</w:t>
      </w:r>
    </w:p>
    <w:p w:rsidR="00B94A4B" w:rsidRDefault="002B2EC1">
      <w:pPr>
        <w:spacing w:before="120" w:after="120"/>
      </w:pPr>
      <w:r>
        <w:rPr>
          <w:rFonts w:hint="eastAsia"/>
        </w:rPr>
        <w:t>Alternative 1 is simple though unable to differentiate between two PUCCH or PUSCH occupying different resource sizes.</w:t>
      </w:r>
    </w:p>
    <w:p w:rsidR="00B94A4B" w:rsidRDefault="002B2EC1">
      <w:pPr>
        <w:spacing w:before="120" w:after="120"/>
      </w:pPr>
      <w:r>
        <w:rPr>
          <w:rFonts w:hint="eastAsia"/>
        </w:rPr>
        <w:t xml:space="preserve">Alternative 2 can provide a finer granularity for UL power states. For example, a formula can be used to calculate the relative power value based on the number of symbols occupied by a transmission. According to TR 38.840, power of 1 symbol PUCCH is obtained by power of long PUCCH multiplied by 0.3. Assuming the long PUCCH or PUSCH occupies 14 symbols, power of PUCCH or PUSCH with other number of symbols can also be obtained by power of long PUCCH multiplied by a coefficient. The coefficient </w:t>
      </w:r>
      <w:r>
        <w:rPr>
          <w:rFonts w:hint="eastAsia"/>
          <w:i/>
        </w:rPr>
        <w:t xml:space="preserve">C </w:t>
      </w:r>
      <w:r>
        <w:rPr>
          <w:rFonts w:hint="eastAsia"/>
        </w:rPr>
        <w:t>can be derived by</w:t>
      </w:r>
      <w:r>
        <w:rPr>
          <w:rFonts w:hint="eastAsia"/>
          <w:i/>
        </w:rPr>
        <w:t xml:space="preserve"> C = 0.3 + (N-1)/13*0.7</w:t>
      </w:r>
      <w:r>
        <w:rPr>
          <w:rFonts w:hint="eastAsia"/>
        </w:rPr>
        <w:t>,</w:t>
      </w:r>
      <w:r>
        <w:t xml:space="preserve"> where N is the number of symbols the PUCCH or PUSCH or UL power state occupied.</w:t>
      </w:r>
    </w:p>
    <w:p w:rsidR="00B94A4B" w:rsidRDefault="002B2EC1">
      <w:pPr>
        <w:spacing w:before="120" w:after="120"/>
      </w:pPr>
      <w:r>
        <w:rPr>
          <w:rFonts w:hint="eastAsia"/>
        </w:rPr>
        <w:t xml:space="preserve">In summary, alternative 2 is more precise, but alternative 1 is simple and avoids any excessive discussion. Alternative 1 is slightly preferred. </w:t>
      </w:r>
    </w:p>
    <w:p w:rsidR="00B94A4B" w:rsidRDefault="002B2EC1">
      <w:pPr>
        <w:pStyle w:val="YJ-Proposal"/>
        <w:spacing w:before="120" w:after="120"/>
        <w:rPr>
          <w:sz w:val="21"/>
          <w:szCs w:val="21"/>
          <w:lang w:val="en-US" w:eastAsia="zh-CN"/>
        </w:rPr>
      </w:pPr>
      <w:bookmarkStart w:id="37" w:name="_Toc25822"/>
      <w:bookmarkStart w:id="38" w:name="_Toc11067"/>
      <w:bookmarkStart w:id="39" w:name="_Toc68687729"/>
      <w:r>
        <w:rPr>
          <w:sz w:val="21"/>
          <w:szCs w:val="21"/>
          <w:lang w:val="en-US" w:eastAsia="zh-CN"/>
        </w:rPr>
        <w:t xml:space="preserve">For XR evaluation, </w:t>
      </w:r>
      <w:r>
        <w:rPr>
          <w:rFonts w:hint="eastAsia"/>
          <w:sz w:val="21"/>
          <w:szCs w:val="21"/>
          <w:lang w:val="en-US" w:eastAsia="zh-CN"/>
        </w:rPr>
        <w:t>the following</w:t>
      </w:r>
      <w:r>
        <w:rPr>
          <w:sz w:val="21"/>
          <w:szCs w:val="21"/>
          <w:lang w:val="en-US" w:eastAsia="zh-CN"/>
        </w:rPr>
        <w:t xml:space="preserve"> two alternative</w:t>
      </w:r>
      <w:r>
        <w:rPr>
          <w:rFonts w:hint="eastAsia"/>
          <w:sz w:val="21"/>
          <w:szCs w:val="21"/>
          <w:lang w:val="en-US" w:eastAsia="zh-CN"/>
        </w:rPr>
        <w:t>s</w:t>
      </w:r>
      <w:r>
        <w:rPr>
          <w:sz w:val="21"/>
          <w:szCs w:val="21"/>
          <w:lang w:val="en-US" w:eastAsia="zh-CN"/>
        </w:rPr>
        <w:t xml:space="preserve"> for UL power states</w:t>
      </w:r>
      <w:r>
        <w:rPr>
          <w:rFonts w:hint="eastAsia"/>
          <w:sz w:val="21"/>
          <w:szCs w:val="21"/>
          <w:lang w:val="en-US" w:eastAsia="zh-CN"/>
        </w:rPr>
        <w:t xml:space="preserve"> can be considered</w:t>
      </w:r>
      <w:r>
        <w:rPr>
          <w:sz w:val="21"/>
          <w:szCs w:val="21"/>
          <w:lang w:val="en-US" w:eastAsia="zh-CN"/>
        </w:rPr>
        <w:t>.</w:t>
      </w:r>
      <w:bookmarkEnd w:id="37"/>
      <w:bookmarkEnd w:id="38"/>
      <w:bookmarkEnd w:id="39"/>
    </w:p>
    <w:p w:rsidR="00B94A4B" w:rsidRDefault="002B2EC1">
      <w:pPr>
        <w:pStyle w:val="YJ-Proposal"/>
        <w:numPr>
          <w:ilvl w:val="255"/>
          <w:numId w:val="0"/>
        </w:numPr>
        <w:spacing w:before="120" w:after="120"/>
        <w:rPr>
          <w:sz w:val="21"/>
          <w:szCs w:val="21"/>
          <w:lang w:val="en-US" w:eastAsia="zh-CN"/>
        </w:rPr>
      </w:pPr>
      <w:bookmarkStart w:id="40" w:name="_Toc5497"/>
      <w:bookmarkStart w:id="41" w:name="_Toc823"/>
      <w:bookmarkStart w:id="42" w:name="_Toc68687730"/>
      <w:r>
        <w:rPr>
          <w:sz w:val="21"/>
          <w:szCs w:val="21"/>
          <w:lang w:val="en-US" w:eastAsia="zh-CN"/>
        </w:rPr>
        <w:t xml:space="preserve">Alt 1: </w:t>
      </w:r>
      <w:r>
        <w:rPr>
          <w:rFonts w:hint="eastAsia"/>
          <w:sz w:val="21"/>
          <w:szCs w:val="21"/>
          <w:lang w:val="en-US" w:eastAsia="zh-CN"/>
        </w:rPr>
        <w:t>Use</w:t>
      </w:r>
      <w:r>
        <w:rPr>
          <w:sz w:val="21"/>
          <w:szCs w:val="21"/>
          <w:lang w:val="en-US" w:eastAsia="zh-CN"/>
        </w:rPr>
        <w:t xml:space="preserve"> the original power states and </w:t>
      </w:r>
      <w:r>
        <w:rPr>
          <w:rFonts w:hint="eastAsia"/>
          <w:sz w:val="21"/>
          <w:szCs w:val="21"/>
          <w:lang w:val="en-US" w:eastAsia="zh-CN"/>
        </w:rPr>
        <w:t xml:space="preserve">do </w:t>
      </w:r>
      <w:r>
        <w:rPr>
          <w:sz w:val="21"/>
          <w:szCs w:val="21"/>
          <w:lang w:val="en-US" w:eastAsia="zh-CN"/>
        </w:rPr>
        <w:t>not add more power states.</w:t>
      </w:r>
      <w:bookmarkEnd w:id="40"/>
      <w:bookmarkEnd w:id="41"/>
      <w:bookmarkEnd w:id="42"/>
    </w:p>
    <w:p w:rsidR="00B94A4B" w:rsidRDefault="002B2EC1">
      <w:pPr>
        <w:pStyle w:val="YJ-Proposal"/>
        <w:numPr>
          <w:ilvl w:val="255"/>
          <w:numId w:val="0"/>
        </w:numPr>
        <w:spacing w:before="120" w:after="120"/>
        <w:rPr>
          <w:sz w:val="21"/>
          <w:szCs w:val="21"/>
          <w:lang w:val="en-US" w:eastAsia="zh-CN"/>
        </w:rPr>
      </w:pPr>
      <w:bookmarkStart w:id="43" w:name="_Toc4953"/>
      <w:bookmarkStart w:id="44" w:name="_Toc3885"/>
      <w:bookmarkStart w:id="45" w:name="_Toc68687731"/>
      <w:r>
        <w:rPr>
          <w:sz w:val="21"/>
          <w:szCs w:val="21"/>
          <w:lang w:val="en-US" w:eastAsia="zh-CN"/>
        </w:rPr>
        <w:t xml:space="preserve">Alt 2: </w:t>
      </w:r>
      <w:r>
        <w:rPr>
          <w:rFonts w:hint="eastAsia"/>
          <w:sz w:val="21"/>
          <w:szCs w:val="21"/>
          <w:lang w:val="en-US" w:eastAsia="zh-CN"/>
        </w:rPr>
        <w:t xml:space="preserve">Power of PUCCH or PUSCH with different number of symbols can be obtained by power of long PUCCH multiplied by a coefficient. The coefficient can be calculated by C = 0.3 + (N-1)/13*0.7, N is the number of symbols the PUCCH or PUSCH or UL </w:t>
      </w:r>
      <w:r>
        <w:rPr>
          <w:sz w:val="21"/>
          <w:szCs w:val="21"/>
          <w:lang w:val="en-US" w:eastAsia="zh-CN"/>
        </w:rPr>
        <w:t xml:space="preserve">power state </w:t>
      </w:r>
      <w:r>
        <w:rPr>
          <w:rFonts w:hint="eastAsia"/>
          <w:sz w:val="21"/>
          <w:szCs w:val="21"/>
          <w:lang w:val="en-US" w:eastAsia="zh-CN"/>
        </w:rPr>
        <w:t>occupied.</w:t>
      </w:r>
      <w:bookmarkEnd w:id="43"/>
      <w:bookmarkEnd w:id="44"/>
      <w:bookmarkEnd w:id="45"/>
    </w:p>
    <w:p w:rsidR="00B94A4B" w:rsidRDefault="002B2EC1">
      <w:pPr>
        <w:pStyle w:val="af1"/>
        <w:numPr>
          <w:ilvl w:val="0"/>
          <w:numId w:val="18"/>
        </w:numPr>
        <w:spacing w:after="120"/>
        <w:rPr>
          <w:b/>
          <w:bCs/>
          <w:szCs w:val="21"/>
          <w:u w:val="single"/>
        </w:rPr>
      </w:pPr>
      <w:r>
        <w:rPr>
          <w:b/>
          <w:bCs/>
          <w:szCs w:val="21"/>
          <w:u w:val="single"/>
        </w:rPr>
        <w:t>power model for S slot</w:t>
      </w:r>
    </w:p>
    <w:p w:rsidR="00B94A4B" w:rsidRDefault="002B2EC1">
      <w:pPr>
        <w:pStyle w:val="af1"/>
        <w:spacing w:after="120"/>
        <w:ind w:left="0"/>
        <w:rPr>
          <w:rFonts w:eastAsia="宋体"/>
          <w:sz w:val="21"/>
          <w:szCs w:val="21"/>
        </w:rPr>
      </w:pPr>
      <w:r>
        <w:rPr>
          <w:rFonts w:eastAsia="宋体"/>
          <w:sz w:val="21"/>
          <w:szCs w:val="21"/>
        </w:rPr>
        <w:t>S slot include</w:t>
      </w:r>
      <w:r>
        <w:rPr>
          <w:rFonts w:eastAsia="宋体" w:hint="eastAsia"/>
          <w:sz w:val="21"/>
          <w:szCs w:val="21"/>
        </w:rPr>
        <w:t>s</w:t>
      </w:r>
      <w:r>
        <w:rPr>
          <w:rFonts w:eastAsia="宋体"/>
          <w:sz w:val="21"/>
          <w:szCs w:val="21"/>
        </w:rPr>
        <w:t xml:space="preserve"> DL symbols and UL symbols. In TR 38.840, the fol</w:t>
      </w:r>
      <w:r>
        <w:rPr>
          <w:rFonts w:eastAsia="宋体" w:hint="eastAsia"/>
          <w:sz w:val="21"/>
          <w:szCs w:val="21"/>
        </w:rPr>
        <w:t>l</w:t>
      </w:r>
      <w:r>
        <w:rPr>
          <w:rFonts w:eastAsia="宋体"/>
          <w:sz w:val="21"/>
          <w:szCs w:val="21"/>
        </w:rPr>
        <w:t>owing assu</w:t>
      </w:r>
      <w:r>
        <w:rPr>
          <w:rFonts w:eastAsia="宋体" w:hint="eastAsia"/>
          <w:sz w:val="21"/>
          <w:szCs w:val="21"/>
        </w:rPr>
        <w:t>m</w:t>
      </w:r>
      <w:r>
        <w:rPr>
          <w:rFonts w:eastAsia="宋体"/>
          <w:sz w:val="21"/>
          <w:szCs w:val="21"/>
        </w:rPr>
        <w:t>ption</w:t>
      </w:r>
      <w:r>
        <w:rPr>
          <w:rFonts w:eastAsia="宋体" w:hint="eastAsia"/>
          <w:sz w:val="21"/>
          <w:szCs w:val="21"/>
        </w:rPr>
        <w:t>s</w:t>
      </w:r>
      <w:r>
        <w:rPr>
          <w:rFonts w:eastAsia="宋体"/>
          <w:sz w:val="21"/>
          <w:szCs w:val="21"/>
        </w:rPr>
        <w:t xml:space="preserve"> are provided.</w:t>
      </w:r>
    </w:p>
    <w:tbl>
      <w:tblPr>
        <w:tblStyle w:val="ac"/>
        <w:tblW w:w="0" w:type="auto"/>
        <w:tblLook w:val="04A0" w:firstRow="1" w:lastRow="0" w:firstColumn="1" w:lastColumn="0" w:noHBand="0" w:noVBand="1"/>
      </w:tblPr>
      <w:tblGrid>
        <w:gridCol w:w="9876"/>
      </w:tblGrid>
      <w:tr w:rsidR="00B94A4B">
        <w:tc>
          <w:tcPr>
            <w:tcW w:w="9876" w:type="dxa"/>
          </w:tcPr>
          <w:p w:rsidR="00B94A4B" w:rsidRDefault="002B2EC1">
            <w:pPr>
              <w:pStyle w:val="B2"/>
              <w:spacing w:before="120" w:after="120"/>
              <w:ind w:left="0" w:firstLine="0"/>
              <w:rPr>
                <w:szCs w:val="21"/>
              </w:rPr>
            </w:pPr>
            <w:r>
              <w:rPr>
                <w:szCs w:val="21"/>
              </w:rPr>
              <w:t>TR 38.840</w:t>
            </w:r>
          </w:p>
          <w:p w:rsidR="00B94A4B" w:rsidRDefault="002B2EC1">
            <w:pPr>
              <w:pStyle w:val="B2"/>
              <w:spacing w:before="120" w:after="120"/>
            </w:pPr>
            <w:r>
              <w:t xml:space="preserve">For simplicity, </w:t>
            </w:r>
          </w:p>
          <w:p w:rsidR="00B94A4B" w:rsidRDefault="002B2EC1">
            <w:pPr>
              <w:pStyle w:val="B2"/>
              <w:spacing w:before="120" w:after="120"/>
            </w:pPr>
            <w:r>
              <w:t>-</w:t>
            </w:r>
            <w:r>
              <w:tab/>
              <w:t>The slot-averaged power for "PDCCH+PDSCH+PUCCH" is same as "PDCCH+PDSCH"</w:t>
            </w:r>
          </w:p>
          <w:p w:rsidR="00B94A4B" w:rsidRDefault="002B2EC1">
            <w:pPr>
              <w:pStyle w:val="B2"/>
              <w:spacing w:before="120" w:after="120"/>
            </w:pPr>
            <w:r>
              <w:t>-</w:t>
            </w:r>
            <w:r>
              <w:tab/>
              <w:t>The slot-averaged power for "PDSCH+PUCCH" is same as "PDSCH-only"</w:t>
            </w:r>
          </w:p>
          <w:p w:rsidR="00B94A4B" w:rsidRDefault="002B2EC1">
            <w:pPr>
              <w:pStyle w:val="B2"/>
              <w:spacing w:before="120" w:after="120"/>
            </w:pPr>
            <w:r>
              <w:t>-</w:t>
            </w:r>
            <w:r>
              <w:tab/>
              <w:t>The slot-averaged power for "PDCCH+PUCCH" is the sum of "PDCCH-only" power and "short PUCCH" power.</w:t>
            </w:r>
          </w:p>
          <w:p w:rsidR="00B94A4B" w:rsidRDefault="002B2EC1">
            <w:pPr>
              <w:pStyle w:val="B2"/>
              <w:spacing w:before="120" w:after="120"/>
              <w:ind w:leftChars="400" w:left="1124"/>
            </w:pPr>
            <w:r>
              <w:t>-</w:t>
            </w:r>
            <w:r>
              <w:tab/>
              <w:t>Note: PDCCH-only with cross-slot scheduling scaling is also applicable</w:t>
            </w:r>
          </w:p>
          <w:p w:rsidR="00B94A4B" w:rsidRDefault="002B2EC1">
            <w:pPr>
              <w:pStyle w:val="B2"/>
              <w:spacing w:before="120" w:after="120"/>
              <w:rPr>
                <w:szCs w:val="21"/>
              </w:rPr>
            </w:pPr>
            <w:r>
              <w:t>-</w:t>
            </w:r>
            <w:r>
              <w:tab/>
              <w:t xml:space="preserve">Note: it is observed via evaluations (where 0dBm PUCCH Tx power is assumed) that the difference is not significant </w:t>
            </w:r>
          </w:p>
        </w:tc>
      </w:tr>
    </w:tbl>
    <w:p w:rsidR="00B94A4B" w:rsidRDefault="00B94A4B">
      <w:pPr>
        <w:pStyle w:val="YJ-Proposal"/>
        <w:numPr>
          <w:ilvl w:val="0"/>
          <w:numId w:val="0"/>
        </w:numPr>
        <w:spacing w:before="120" w:after="120"/>
        <w:rPr>
          <w:rFonts w:eastAsia="宋体"/>
          <w:sz w:val="21"/>
          <w:highlight w:val="yellow"/>
          <w:lang w:val="en-US" w:eastAsia="zh-CN"/>
        </w:rPr>
      </w:pPr>
    </w:p>
    <w:p w:rsidR="00B94A4B" w:rsidRDefault="002B2EC1">
      <w:pPr>
        <w:pStyle w:val="af1"/>
        <w:spacing w:after="120"/>
        <w:ind w:left="0"/>
        <w:rPr>
          <w:rFonts w:eastAsia="宋体"/>
          <w:sz w:val="21"/>
          <w:szCs w:val="21"/>
        </w:rPr>
      </w:pPr>
      <w:r>
        <w:rPr>
          <w:rFonts w:eastAsia="宋体" w:hint="eastAsia"/>
          <w:sz w:val="21"/>
          <w:szCs w:val="21"/>
        </w:rPr>
        <w:t>In TR 38.840, power for S slot is obtained via evaluations (where 0dBm PUCCH Tx power is assumed).</w:t>
      </w:r>
      <w:r>
        <w:rPr>
          <w:rFonts w:eastAsia="宋体"/>
          <w:sz w:val="21"/>
          <w:szCs w:val="21"/>
        </w:rPr>
        <w:t xml:space="preserve"> </w:t>
      </w:r>
      <w:r>
        <w:rPr>
          <w:rFonts w:eastAsia="宋体" w:hint="eastAsia"/>
          <w:sz w:val="21"/>
          <w:szCs w:val="21"/>
        </w:rPr>
        <w:t xml:space="preserve">In XR evaluation, UL traffic is also important and transmission power larger than 0dBm should not be ignored. </w:t>
      </w:r>
    </w:p>
    <w:p w:rsidR="00B94A4B" w:rsidRDefault="002B2EC1">
      <w:pPr>
        <w:numPr>
          <w:ilvl w:val="255"/>
          <w:numId w:val="0"/>
        </w:numPr>
        <w:tabs>
          <w:tab w:val="left" w:pos="0"/>
        </w:tabs>
        <w:spacing w:beforeLines="0" w:after="120"/>
        <w:contextualSpacing/>
        <w:rPr>
          <w:szCs w:val="21"/>
        </w:rPr>
      </w:pPr>
      <w:r>
        <w:rPr>
          <w:szCs w:val="21"/>
        </w:rPr>
        <w:t xml:space="preserve">For UE </w:t>
      </w:r>
      <w:r>
        <w:rPr>
          <w:rFonts w:hint="eastAsia"/>
          <w:szCs w:val="21"/>
        </w:rPr>
        <w:t>transmission</w:t>
      </w:r>
      <w:r>
        <w:rPr>
          <w:szCs w:val="21"/>
        </w:rPr>
        <w:t xml:space="preserve"> power larger than 0dBm, the power of UL symbols </w:t>
      </w:r>
      <w:r>
        <w:rPr>
          <w:rFonts w:hint="eastAsia"/>
          <w:szCs w:val="21"/>
        </w:rPr>
        <w:t>can be large</w:t>
      </w:r>
      <w:r>
        <w:rPr>
          <w:szCs w:val="21"/>
        </w:rPr>
        <w:t xml:space="preserve">. For example, short PUCCH power at 23dBm is 210 units </w:t>
      </w:r>
      <w:r>
        <w:rPr>
          <w:rFonts w:hint="eastAsia"/>
          <w:szCs w:val="21"/>
        </w:rPr>
        <w:t xml:space="preserve">which </w:t>
      </w:r>
      <w:r>
        <w:rPr>
          <w:szCs w:val="21"/>
        </w:rPr>
        <w:t>is close to the power of “PDCCH+PDSCH” or “PDSCH-only”.</w:t>
      </w:r>
      <w:r>
        <w:rPr>
          <w:rFonts w:hint="eastAsia"/>
          <w:szCs w:val="21"/>
        </w:rPr>
        <w:t xml:space="preserve"> Therefore it is inappropriate to use the power of </w:t>
      </w:r>
      <w:r>
        <w:rPr>
          <w:szCs w:val="21"/>
        </w:rPr>
        <w:t>“</w:t>
      </w:r>
      <w:r>
        <w:rPr>
          <w:rFonts w:hint="eastAsia"/>
          <w:szCs w:val="21"/>
        </w:rPr>
        <w:t>PDCCH+PDSCH</w:t>
      </w:r>
      <w:r>
        <w:rPr>
          <w:szCs w:val="21"/>
        </w:rPr>
        <w:t>”</w:t>
      </w:r>
      <w:r>
        <w:rPr>
          <w:rFonts w:hint="eastAsia"/>
          <w:szCs w:val="21"/>
        </w:rPr>
        <w:t xml:space="preserve"> as t</w:t>
      </w:r>
      <w:r>
        <w:rPr>
          <w:szCs w:val="21"/>
        </w:rPr>
        <w:t xml:space="preserve">he power </w:t>
      </w:r>
      <w:r>
        <w:rPr>
          <w:rFonts w:hint="eastAsia"/>
          <w:szCs w:val="21"/>
        </w:rPr>
        <w:t xml:space="preserve">of </w:t>
      </w:r>
      <w:r>
        <w:rPr>
          <w:szCs w:val="21"/>
        </w:rPr>
        <w:t>"PDCCH+PDSCH+PUCCH"</w:t>
      </w:r>
      <w:r>
        <w:rPr>
          <w:rFonts w:hint="eastAsia"/>
          <w:szCs w:val="21"/>
        </w:rPr>
        <w:t xml:space="preserve"> or use the power of </w:t>
      </w:r>
      <w:r>
        <w:rPr>
          <w:szCs w:val="21"/>
        </w:rPr>
        <w:t>“</w:t>
      </w:r>
      <w:r>
        <w:rPr>
          <w:rFonts w:hint="eastAsia"/>
          <w:szCs w:val="21"/>
        </w:rPr>
        <w:t>PDSCH-only</w:t>
      </w:r>
      <w:r>
        <w:rPr>
          <w:szCs w:val="21"/>
        </w:rPr>
        <w:t>”</w:t>
      </w:r>
      <w:r>
        <w:rPr>
          <w:rFonts w:hint="eastAsia"/>
          <w:szCs w:val="21"/>
        </w:rPr>
        <w:t xml:space="preserve"> as the power of "PDSCH+PUCCH" at 23dBm. Power of </w:t>
      </w:r>
      <w:r>
        <w:rPr>
          <w:szCs w:val="21"/>
        </w:rPr>
        <w:t>“</w:t>
      </w:r>
      <w:r>
        <w:rPr>
          <w:rFonts w:hint="eastAsia"/>
          <w:szCs w:val="21"/>
        </w:rPr>
        <w:t>PDSCH+PUCCH</w:t>
      </w:r>
      <w:r>
        <w:rPr>
          <w:szCs w:val="21"/>
        </w:rPr>
        <w:t>”</w:t>
      </w:r>
      <w:r>
        <w:rPr>
          <w:rFonts w:hint="eastAsia"/>
          <w:szCs w:val="21"/>
        </w:rPr>
        <w:t xml:space="preserve"> and </w:t>
      </w:r>
      <w:r>
        <w:rPr>
          <w:szCs w:val="21"/>
        </w:rPr>
        <w:t>“</w:t>
      </w:r>
      <w:r>
        <w:rPr>
          <w:rFonts w:hint="eastAsia"/>
          <w:szCs w:val="21"/>
        </w:rPr>
        <w:t>PDCCH+PDSCH+PUCCH</w:t>
      </w:r>
      <w:r>
        <w:rPr>
          <w:szCs w:val="21"/>
        </w:rPr>
        <w:t>”</w:t>
      </w:r>
      <w:r>
        <w:rPr>
          <w:rFonts w:hint="eastAsia"/>
          <w:szCs w:val="21"/>
        </w:rPr>
        <w:t xml:space="preserve"> for transmission power other than 0dBm should thus be discussed. </w:t>
      </w:r>
      <w:r>
        <w:rPr>
          <w:kern w:val="0"/>
        </w:rPr>
        <w:t>Our suggested method is as following,</w:t>
      </w:r>
    </w:p>
    <w:p w:rsidR="00B94A4B" w:rsidRDefault="002B2EC1">
      <w:pPr>
        <w:numPr>
          <w:ilvl w:val="255"/>
          <w:numId w:val="0"/>
        </w:numPr>
        <w:tabs>
          <w:tab w:val="left" w:pos="0"/>
        </w:tabs>
        <w:spacing w:beforeLines="0" w:after="120"/>
        <w:contextualSpacing/>
        <w:rPr>
          <w:i/>
          <w:szCs w:val="21"/>
        </w:rPr>
      </w:pPr>
      <w:r>
        <w:rPr>
          <w:rFonts w:hint="eastAsia"/>
          <w:i/>
          <w:szCs w:val="21"/>
        </w:rPr>
        <w:t xml:space="preserve">Firstly, power of </w:t>
      </w:r>
      <w:r>
        <w:rPr>
          <w:i/>
          <w:szCs w:val="21"/>
        </w:rPr>
        <w:t>“</w:t>
      </w:r>
      <w:r>
        <w:rPr>
          <w:rFonts w:hint="eastAsia"/>
          <w:i/>
          <w:szCs w:val="21"/>
        </w:rPr>
        <w:t>P</w:t>
      </w:r>
      <w:r>
        <w:rPr>
          <w:i/>
          <w:szCs w:val="21"/>
        </w:rPr>
        <w:t>DSCH+PUCCH”</w:t>
      </w:r>
      <w:r>
        <w:rPr>
          <w:rFonts w:hint="eastAsia"/>
          <w:i/>
          <w:szCs w:val="21"/>
        </w:rPr>
        <w:t xml:space="preserve"> and </w:t>
      </w:r>
      <w:r>
        <w:rPr>
          <w:i/>
          <w:szCs w:val="21"/>
        </w:rPr>
        <w:t>“</w:t>
      </w:r>
      <w:r>
        <w:rPr>
          <w:rFonts w:hint="eastAsia"/>
          <w:i/>
          <w:szCs w:val="21"/>
        </w:rPr>
        <w:t>PDCCH+PDSCH+PUCCH</w:t>
      </w:r>
      <w:r>
        <w:rPr>
          <w:i/>
          <w:szCs w:val="21"/>
        </w:rPr>
        <w:t>”</w:t>
      </w:r>
      <w:r>
        <w:rPr>
          <w:rFonts w:hint="eastAsia"/>
          <w:i/>
          <w:szCs w:val="21"/>
        </w:rPr>
        <w:t xml:space="preserve">at 23dBm should be determined. Then power of </w:t>
      </w:r>
      <w:r>
        <w:rPr>
          <w:i/>
          <w:szCs w:val="21"/>
        </w:rPr>
        <w:t>“</w:t>
      </w:r>
      <w:r>
        <w:rPr>
          <w:rFonts w:hint="eastAsia"/>
          <w:i/>
          <w:szCs w:val="21"/>
        </w:rPr>
        <w:t>P</w:t>
      </w:r>
      <w:r>
        <w:rPr>
          <w:i/>
          <w:szCs w:val="21"/>
        </w:rPr>
        <w:t>DSCH+PUCCH”</w:t>
      </w:r>
      <w:r>
        <w:rPr>
          <w:rFonts w:hint="eastAsia"/>
          <w:i/>
          <w:szCs w:val="21"/>
        </w:rPr>
        <w:t xml:space="preserve"> and </w:t>
      </w:r>
      <w:r>
        <w:rPr>
          <w:i/>
          <w:szCs w:val="21"/>
        </w:rPr>
        <w:t>“</w:t>
      </w:r>
      <w:r>
        <w:rPr>
          <w:rFonts w:hint="eastAsia"/>
          <w:i/>
          <w:szCs w:val="21"/>
        </w:rPr>
        <w:t>PDCCH+PDSCH+PUCCH</w:t>
      </w:r>
      <w:r>
        <w:rPr>
          <w:i/>
          <w:szCs w:val="21"/>
        </w:rPr>
        <w:t>”</w:t>
      </w:r>
      <w:r>
        <w:rPr>
          <w:rFonts w:hint="eastAsia"/>
          <w:i/>
          <w:szCs w:val="21"/>
        </w:rPr>
        <w:t>at other transmission power can be obtained according to the power at 0dBm and 23dBm.</w:t>
      </w:r>
    </w:p>
    <w:p w:rsidR="00B94A4B" w:rsidRDefault="002B2EC1">
      <w:pPr>
        <w:spacing w:before="120" w:after="120"/>
        <w:rPr>
          <w:kern w:val="0"/>
        </w:rPr>
      </w:pPr>
      <w:r>
        <w:rPr>
          <w:kern w:val="0"/>
        </w:rPr>
        <w:lastRenderedPageBreak/>
        <w:t xml:space="preserve">An exemplary calculation for the power </w:t>
      </w:r>
      <w:r>
        <w:rPr>
          <w:rFonts w:hint="eastAsia"/>
          <w:kern w:val="0"/>
        </w:rPr>
        <w:t xml:space="preserve">at </w:t>
      </w:r>
      <w:r>
        <w:rPr>
          <w:kern w:val="0"/>
        </w:rPr>
        <w:t>23dBm. Power of short PUCCH is 210</w:t>
      </w:r>
      <w:r>
        <w:rPr>
          <w:rFonts w:hint="eastAsia"/>
          <w:kern w:val="0"/>
        </w:rPr>
        <w:t xml:space="preserve"> </w:t>
      </w:r>
      <w:r>
        <w:rPr>
          <w:kern w:val="0"/>
        </w:rPr>
        <w:t>units at 23dBm and only one symbol is used to transmit PUCCH. Assuming the power of the 2 UL symbols(including one symbol for micro sleep) is X units and the other symbol</w:t>
      </w:r>
      <w:r>
        <w:rPr>
          <w:rFonts w:hint="eastAsia"/>
          <w:kern w:val="0"/>
        </w:rPr>
        <w:t>s</w:t>
      </w:r>
      <w:r>
        <w:rPr>
          <w:kern w:val="0"/>
        </w:rPr>
        <w:t xml:space="preserve"> </w:t>
      </w:r>
      <w:r>
        <w:rPr>
          <w:rFonts w:hint="eastAsia"/>
          <w:kern w:val="0"/>
        </w:rPr>
        <w:t xml:space="preserve">are </w:t>
      </w:r>
      <w:r>
        <w:rPr>
          <w:kern w:val="0"/>
        </w:rPr>
        <w:t>micro sleep. X≈170 is obtained according to the formula X + 12*(45/14) = 210.</w:t>
      </w:r>
    </w:p>
    <w:p w:rsidR="00B94A4B" w:rsidRDefault="002B2EC1">
      <w:pPr>
        <w:spacing w:before="120" w:after="120"/>
        <w:rPr>
          <w:kern w:val="0"/>
        </w:rPr>
      </w:pPr>
      <w:r>
        <w:rPr>
          <w:kern w:val="0"/>
        </w:rPr>
        <w:t>Then the power of “PDSCH+PUCCH” can be set to 280+170 = 450 unit</w:t>
      </w:r>
      <w:r>
        <w:rPr>
          <w:rFonts w:hint="eastAsia"/>
          <w:kern w:val="0"/>
        </w:rPr>
        <w:t xml:space="preserve">s at </w:t>
      </w:r>
      <w:r>
        <w:rPr>
          <w:kern w:val="0"/>
        </w:rPr>
        <w:t>23dBm.</w:t>
      </w:r>
    </w:p>
    <w:p w:rsidR="00B94A4B" w:rsidRDefault="002B2EC1">
      <w:pPr>
        <w:spacing w:before="120" w:after="120"/>
        <w:rPr>
          <w:kern w:val="0"/>
        </w:rPr>
      </w:pPr>
      <w:r>
        <w:rPr>
          <w:kern w:val="0"/>
        </w:rPr>
        <w:t>And the power of “PDCCH+PDSCH+PUCCH” can be set to 300+170 = 470 unit</w:t>
      </w:r>
      <w:r>
        <w:rPr>
          <w:rFonts w:hint="eastAsia"/>
          <w:kern w:val="0"/>
        </w:rPr>
        <w:t xml:space="preserve">s at </w:t>
      </w:r>
      <w:r>
        <w:rPr>
          <w:kern w:val="0"/>
        </w:rPr>
        <w:t>23dBm.</w:t>
      </w:r>
    </w:p>
    <w:p w:rsidR="00B94A4B" w:rsidRDefault="002B2EC1">
      <w:pPr>
        <w:numPr>
          <w:ilvl w:val="255"/>
          <w:numId w:val="0"/>
        </w:numPr>
        <w:tabs>
          <w:tab w:val="left" w:pos="0"/>
        </w:tabs>
        <w:spacing w:beforeLines="0" w:after="120"/>
        <w:contextualSpacing/>
        <w:rPr>
          <w:szCs w:val="21"/>
        </w:rPr>
      </w:pPr>
      <w:r>
        <w:rPr>
          <w:rFonts w:hint="eastAsia"/>
          <w:szCs w:val="21"/>
        </w:rPr>
        <w:t>Accordingly, the following proposal is drawn</w:t>
      </w:r>
    </w:p>
    <w:p w:rsidR="00B94A4B" w:rsidRDefault="002B2EC1">
      <w:pPr>
        <w:pStyle w:val="YJ-Proposal"/>
        <w:spacing w:before="120" w:after="120"/>
        <w:jc w:val="both"/>
        <w:rPr>
          <w:sz w:val="21"/>
          <w:szCs w:val="21"/>
          <w:lang w:val="en-US" w:eastAsia="zh-CN"/>
        </w:rPr>
      </w:pPr>
      <w:bookmarkStart w:id="46" w:name="_Toc19134"/>
      <w:bookmarkStart w:id="47" w:name="_Toc68687732"/>
      <w:r>
        <w:rPr>
          <w:sz w:val="21"/>
          <w:szCs w:val="21"/>
        </w:rPr>
        <w:t>Power of “PDSCH+PUCCH” is 450</w:t>
      </w:r>
      <w:r w:rsidR="00835C7C">
        <w:rPr>
          <w:sz w:val="21"/>
          <w:szCs w:val="21"/>
        </w:rPr>
        <w:t xml:space="preserve"> units</w:t>
      </w:r>
      <w:r>
        <w:rPr>
          <w:sz w:val="21"/>
          <w:szCs w:val="21"/>
        </w:rPr>
        <w:t xml:space="preserve"> at 23dBm, and power of “PDCCH+PDSCH+PUCCH” is 470</w:t>
      </w:r>
      <w:r w:rsidR="00835C7C">
        <w:rPr>
          <w:sz w:val="21"/>
          <w:szCs w:val="21"/>
        </w:rPr>
        <w:t xml:space="preserve"> units</w:t>
      </w:r>
      <w:r>
        <w:rPr>
          <w:sz w:val="21"/>
          <w:szCs w:val="21"/>
        </w:rPr>
        <w:t xml:space="preserve"> at 23 dBm.</w:t>
      </w:r>
      <w:bookmarkEnd w:id="46"/>
      <w:bookmarkEnd w:id="47"/>
    </w:p>
    <w:p w:rsidR="00B94A4B" w:rsidRDefault="00B94A4B">
      <w:pPr>
        <w:pStyle w:val="YJ-Proposal"/>
        <w:numPr>
          <w:ilvl w:val="0"/>
          <w:numId w:val="0"/>
        </w:numPr>
        <w:spacing w:before="120" w:after="120"/>
        <w:jc w:val="both"/>
        <w:rPr>
          <w:sz w:val="21"/>
          <w:szCs w:val="21"/>
        </w:rPr>
      </w:pPr>
    </w:p>
    <w:p w:rsidR="00B94A4B" w:rsidRDefault="002B2EC1">
      <w:pPr>
        <w:pStyle w:val="1"/>
        <w:spacing w:before="120" w:after="120"/>
        <w:ind w:left="0"/>
        <w:rPr>
          <w:rFonts w:eastAsia="宋体"/>
        </w:rPr>
      </w:pPr>
      <w:bookmarkStart w:id="48" w:name="_Toc29089"/>
      <w:bookmarkStart w:id="49" w:name="_Toc525"/>
      <w:bookmarkStart w:id="50" w:name="_Toc82"/>
      <w:bookmarkStart w:id="51" w:name="_Toc29400"/>
      <w:bookmarkEnd w:id="48"/>
      <w:bookmarkEnd w:id="49"/>
      <w:bookmarkEnd w:id="50"/>
      <w:bookmarkEnd w:id="51"/>
      <w:r>
        <w:rPr>
          <w:rFonts w:eastAsia="宋体" w:hint="eastAsia"/>
        </w:rPr>
        <w:t>Conclusion</w:t>
      </w:r>
    </w:p>
    <w:p w:rsidR="009E1D95" w:rsidRDefault="00B94A4B">
      <w:pPr>
        <w:pStyle w:val="10"/>
        <w:tabs>
          <w:tab w:val="left" w:pos="1470"/>
        </w:tabs>
        <w:spacing w:before="120" w:after="120"/>
        <w:rPr>
          <w:rFonts w:asciiTheme="minorHAnsi" w:eastAsiaTheme="minorEastAsia" w:hAnsiTheme="minorHAnsi" w:cstheme="minorBidi"/>
          <w:b w:val="0"/>
          <w:bCs w:val="0"/>
          <w:i w:val="0"/>
          <w:iCs w:val="0"/>
          <w:noProof/>
          <w:sz w:val="21"/>
          <w:szCs w:val="22"/>
        </w:rPr>
      </w:pPr>
      <w:r>
        <w:rPr>
          <w:sz w:val="21"/>
          <w:szCs w:val="21"/>
        </w:rPr>
        <w:fldChar w:fldCharType="begin"/>
      </w:r>
      <w:r w:rsidR="002B2EC1">
        <w:rPr>
          <w:sz w:val="21"/>
          <w:szCs w:val="21"/>
        </w:rPr>
        <w:instrText xml:space="preserve"> TOC \n  \t "YJ-Observation,1,subullet,2,subsub,3" \* MERGEFORMAT </w:instrText>
      </w:r>
      <w:r>
        <w:rPr>
          <w:sz w:val="21"/>
          <w:szCs w:val="21"/>
        </w:rPr>
        <w:fldChar w:fldCharType="separate"/>
      </w:r>
      <w:r w:rsidR="009E1D95" w:rsidRPr="00F46E5F">
        <w:rPr>
          <w:noProof/>
        </w:rPr>
        <w:t>Observation 1:</w:t>
      </w:r>
      <w:r w:rsidR="009E1D95">
        <w:rPr>
          <w:rFonts w:asciiTheme="minorHAnsi" w:eastAsiaTheme="minorEastAsia" w:hAnsiTheme="minorHAnsi" w:cstheme="minorBidi"/>
          <w:b w:val="0"/>
          <w:bCs w:val="0"/>
          <w:i w:val="0"/>
          <w:iCs w:val="0"/>
          <w:noProof/>
          <w:sz w:val="21"/>
          <w:szCs w:val="22"/>
        </w:rPr>
        <w:tab/>
      </w:r>
      <w:r w:rsidR="009E1D95" w:rsidRPr="00F46E5F">
        <w:rPr>
          <w:noProof/>
        </w:rPr>
        <w:t>The configurations of DL video stream for VR and AR can be the same and the UL traffic models for CG and VR are the same.</w:t>
      </w:r>
    </w:p>
    <w:p w:rsidR="009E1D95" w:rsidRDefault="009E1D95">
      <w:pPr>
        <w:pStyle w:val="10"/>
        <w:tabs>
          <w:tab w:val="left" w:pos="1470"/>
        </w:tabs>
        <w:spacing w:before="120" w:after="120"/>
        <w:rPr>
          <w:rFonts w:asciiTheme="minorHAnsi" w:eastAsiaTheme="minorEastAsia" w:hAnsiTheme="minorHAnsi" w:cstheme="minorBidi"/>
          <w:b w:val="0"/>
          <w:bCs w:val="0"/>
          <w:i w:val="0"/>
          <w:iCs w:val="0"/>
          <w:noProof/>
          <w:sz w:val="21"/>
          <w:szCs w:val="22"/>
        </w:rPr>
      </w:pPr>
      <w:r w:rsidRPr="00F46E5F">
        <w:rPr>
          <w:noProof/>
        </w:rPr>
        <w:t>Observation 2:</w:t>
      </w:r>
      <w:r>
        <w:rPr>
          <w:rFonts w:asciiTheme="minorHAnsi" w:eastAsiaTheme="minorEastAsia" w:hAnsiTheme="minorHAnsi" w:cstheme="minorBidi"/>
          <w:b w:val="0"/>
          <w:bCs w:val="0"/>
          <w:i w:val="0"/>
          <w:iCs w:val="0"/>
          <w:noProof/>
          <w:sz w:val="21"/>
          <w:szCs w:val="22"/>
        </w:rPr>
        <w:tab/>
      </w:r>
      <w:r w:rsidRPr="00F46E5F">
        <w:rPr>
          <w:noProof/>
        </w:rPr>
        <w:t>The attenuation and O2I penetration loss are large in FR2.</w:t>
      </w:r>
    </w:p>
    <w:p w:rsidR="009E1D95" w:rsidRDefault="009E1D95">
      <w:pPr>
        <w:pStyle w:val="10"/>
        <w:tabs>
          <w:tab w:val="left" w:pos="1470"/>
        </w:tabs>
        <w:spacing w:before="120" w:after="120"/>
        <w:rPr>
          <w:rFonts w:asciiTheme="minorHAnsi" w:eastAsiaTheme="minorEastAsia" w:hAnsiTheme="minorHAnsi" w:cstheme="minorBidi"/>
          <w:b w:val="0"/>
          <w:bCs w:val="0"/>
          <w:i w:val="0"/>
          <w:iCs w:val="0"/>
          <w:noProof/>
          <w:sz w:val="21"/>
          <w:szCs w:val="22"/>
        </w:rPr>
      </w:pPr>
      <w:r w:rsidRPr="00F46E5F">
        <w:rPr>
          <w:noProof/>
        </w:rPr>
        <w:t>Observation 3:</w:t>
      </w:r>
      <w:r>
        <w:rPr>
          <w:rFonts w:asciiTheme="minorHAnsi" w:eastAsiaTheme="minorEastAsia" w:hAnsiTheme="minorHAnsi" w:cstheme="minorBidi"/>
          <w:b w:val="0"/>
          <w:bCs w:val="0"/>
          <w:i w:val="0"/>
          <w:iCs w:val="0"/>
          <w:noProof/>
          <w:sz w:val="21"/>
          <w:szCs w:val="22"/>
        </w:rPr>
        <w:tab/>
      </w:r>
      <w:r>
        <w:rPr>
          <w:noProof/>
        </w:rPr>
        <w:t>Setting the UL slots as UE sleep states will simplify the power consumption evaluation</w:t>
      </w:r>
    </w:p>
    <w:p w:rsidR="009E1D95" w:rsidRDefault="009E1D95">
      <w:pPr>
        <w:pStyle w:val="10"/>
        <w:tabs>
          <w:tab w:val="left" w:pos="1470"/>
        </w:tabs>
        <w:spacing w:before="120" w:after="120"/>
        <w:rPr>
          <w:rFonts w:asciiTheme="minorHAnsi" w:eastAsiaTheme="minorEastAsia" w:hAnsiTheme="minorHAnsi" w:cstheme="minorBidi"/>
          <w:b w:val="0"/>
          <w:bCs w:val="0"/>
          <w:i w:val="0"/>
          <w:iCs w:val="0"/>
          <w:noProof/>
          <w:sz w:val="21"/>
          <w:szCs w:val="22"/>
        </w:rPr>
      </w:pPr>
      <w:r w:rsidRPr="00F46E5F">
        <w:rPr>
          <w:noProof/>
        </w:rPr>
        <w:t>Observation 4:</w:t>
      </w:r>
      <w:r>
        <w:rPr>
          <w:rFonts w:asciiTheme="minorHAnsi" w:eastAsiaTheme="minorEastAsia" w:hAnsiTheme="minorHAnsi" w:cstheme="minorBidi"/>
          <w:b w:val="0"/>
          <w:bCs w:val="0"/>
          <w:i w:val="0"/>
          <w:iCs w:val="0"/>
          <w:noProof/>
          <w:sz w:val="21"/>
          <w:szCs w:val="22"/>
        </w:rPr>
        <w:tab/>
      </w:r>
      <w:r w:rsidRPr="00F46E5F">
        <w:rPr>
          <w:noProof/>
        </w:rPr>
        <w:t>UE with transmit power less than 0 dBm will occur frequently, especially in Indoor scenarios.</w:t>
      </w:r>
    </w:p>
    <w:p w:rsidR="009E1D95" w:rsidRDefault="009E1D95">
      <w:pPr>
        <w:pStyle w:val="10"/>
        <w:tabs>
          <w:tab w:val="left" w:pos="1470"/>
        </w:tabs>
        <w:spacing w:before="120" w:after="120"/>
        <w:rPr>
          <w:rFonts w:asciiTheme="minorHAnsi" w:eastAsiaTheme="minorEastAsia" w:hAnsiTheme="minorHAnsi" w:cstheme="minorBidi"/>
          <w:b w:val="0"/>
          <w:bCs w:val="0"/>
          <w:i w:val="0"/>
          <w:iCs w:val="0"/>
          <w:noProof/>
          <w:sz w:val="21"/>
          <w:szCs w:val="22"/>
        </w:rPr>
      </w:pPr>
      <w:r w:rsidRPr="00F46E5F">
        <w:rPr>
          <w:noProof/>
        </w:rPr>
        <w:t>Observation 5:</w:t>
      </w:r>
      <w:r>
        <w:rPr>
          <w:rFonts w:asciiTheme="minorHAnsi" w:eastAsiaTheme="minorEastAsia" w:hAnsiTheme="minorHAnsi" w:cstheme="minorBidi"/>
          <w:b w:val="0"/>
          <w:bCs w:val="0"/>
          <w:i w:val="0"/>
          <w:iCs w:val="0"/>
          <w:noProof/>
          <w:sz w:val="21"/>
          <w:szCs w:val="22"/>
        </w:rPr>
        <w:tab/>
      </w:r>
      <w:r w:rsidRPr="00F46E5F">
        <w:rPr>
          <w:noProof/>
        </w:rPr>
        <w:t>Antenna scaling is not considered for FR2 in TR 38.840.</w:t>
      </w:r>
    </w:p>
    <w:p w:rsidR="009E1D95" w:rsidRDefault="009E1D95">
      <w:pPr>
        <w:pStyle w:val="10"/>
        <w:tabs>
          <w:tab w:val="left" w:pos="1470"/>
        </w:tabs>
        <w:spacing w:before="120" w:after="120"/>
        <w:rPr>
          <w:rFonts w:asciiTheme="minorHAnsi" w:eastAsiaTheme="minorEastAsia" w:hAnsiTheme="minorHAnsi" w:cstheme="minorBidi"/>
          <w:b w:val="0"/>
          <w:bCs w:val="0"/>
          <w:i w:val="0"/>
          <w:iCs w:val="0"/>
          <w:noProof/>
          <w:sz w:val="21"/>
          <w:szCs w:val="22"/>
        </w:rPr>
      </w:pPr>
      <w:r w:rsidRPr="00F46E5F">
        <w:rPr>
          <w:noProof/>
        </w:rPr>
        <w:t>Observation 6:</w:t>
      </w:r>
      <w:r>
        <w:rPr>
          <w:rFonts w:asciiTheme="minorHAnsi" w:eastAsiaTheme="minorEastAsia" w:hAnsiTheme="minorHAnsi" w:cstheme="minorBidi"/>
          <w:b w:val="0"/>
          <w:bCs w:val="0"/>
          <w:i w:val="0"/>
          <w:iCs w:val="0"/>
          <w:noProof/>
          <w:sz w:val="21"/>
          <w:szCs w:val="22"/>
        </w:rPr>
        <w:tab/>
      </w:r>
      <w:r w:rsidRPr="00F46E5F">
        <w:rPr>
          <w:noProof/>
        </w:rPr>
        <w:t>UE antenna can be 4Tx for FR2.</w:t>
      </w:r>
    </w:p>
    <w:p w:rsidR="00B94A4B" w:rsidRDefault="00B94A4B">
      <w:pPr>
        <w:spacing w:before="120" w:after="120"/>
        <w:rPr>
          <w:szCs w:val="21"/>
        </w:rPr>
      </w:pPr>
      <w:r>
        <w:rPr>
          <w:szCs w:val="21"/>
        </w:rPr>
        <w:fldChar w:fldCharType="end"/>
      </w:r>
    </w:p>
    <w:p w:rsidR="00835C7C" w:rsidRDefault="00B94A4B">
      <w:pPr>
        <w:pStyle w:val="10"/>
        <w:tabs>
          <w:tab w:val="left" w:pos="1260"/>
        </w:tabs>
        <w:spacing w:before="120" w:after="120"/>
        <w:rPr>
          <w:rFonts w:asciiTheme="minorHAnsi" w:eastAsiaTheme="minorEastAsia" w:hAnsiTheme="minorHAnsi" w:cstheme="minorBidi"/>
          <w:b w:val="0"/>
          <w:bCs w:val="0"/>
          <w:i w:val="0"/>
          <w:iCs w:val="0"/>
          <w:noProof/>
          <w:sz w:val="21"/>
          <w:szCs w:val="22"/>
        </w:rPr>
      </w:pPr>
      <w:r>
        <w:rPr>
          <w:sz w:val="21"/>
          <w:szCs w:val="21"/>
        </w:rPr>
        <w:fldChar w:fldCharType="begin"/>
      </w:r>
      <w:r w:rsidR="002B2EC1">
        <w:rPr>
          <w:sz w:val="21"/>
          <w:szCs w:val="21"/>
        </w:rPr>
        <w:instrText>TOC \n  \t "YJ-Proposal,1,sub-proposal,2,3rd level proposal,3" \h</w:instrText>
      </w:r>
      <w:r>
        <w:rPr>
          <w:sz w:val="21"/>
          <w:szCs w:val="21"/>
        </w:rPr>
        <w:fldChar w:fldCharType="separate"/>
      </w:r>
      <w:hyperlink w:anchor="_Toc68687710" w:history="1">
        <w:r w:rsidR="00835C7C" w:rsidRPr="00AD0EE2">
          <w:rPr>
            <w:rStyle w:val="af"/>
            <w:noProof/>
          </w:rPr>
          <w:t>Proposal 1:</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Prioritize the following combinations of deployment scenarios and applications:</w:t>
        </w:r>
      </w:hyperlink>
    </w:p>
    <w:p w:rsidR="00835C7C" w:rsidRDefault="00C1431A">
      <w:pPr>
        <w:pStyle w:val="10"/>
        <w:spacing w:before="120" w:after="120"/>
        <w:rPr>
          <w:rFonts w:asciiTheme="minorHAnsi" w:eastAsiaTheme="minorEastAsia" w:hAnsiTheme="minorHAnsi" w:cstheme="minorBidi"/>
          <w:b w:val="0"/>
          <w:bCs w:val="0"/>
          <w:i w:val="0"/>
          <w:iCs w:val="0"/>
          <w:noProof/>
          <w:sz w:val="21"/>
          <w:szCs w:val="22"/>
        </w:rPr>
      </w:pPr>
      <w:hyperlink w:anchor="_Toc68687711" w:history="1">
        <w:r w:rsidR="00835C7C" w:rsidRPr="00AD0EE2">
          <w:rPr>
            <w:rStyle w:val="af"/>
            <w:noProof/>
          </w:rPr>
          <w:t>VR, CG: Indoor, dense urban</w:t>
        </w:r>
      </w:hyperlink>
    </w:p>
    <w:p w:rsidR="00835C7C" w:rsidRDefault="00C1431A">
      <w:pPr>
        <w:pStyle w:val="10"/>
        <w:spacing w:before="120" w:after="120"/>
        <w:rPr>
          <w:rFonts w:asciiTheme="minorHAnsi" w:eastAsiaTheme="minorEastAsia" w:hAnsiTheme="minorHAnsi" w:cstheme="minorBidi"/>
          <w:b w:val="0"/>
          <w:bCs w:val="0"/>
          <w:i w:val="0"/>
          <w:iCs w:val="0"/>
          <w:noProof/>
          <w:sz w:val="21"/>
          <w:szCs w:val="22"/>
        </w:rPr>
      </w:pPr>
      <w:hyperlink w:anchor="_Toc68687712" w:history="1">
        <w:r w:rsidR="00835C7C" w:rsidRPr="00AD0EE2">
          <w:rPr>
            <w:rStyle w:val="af"/>
            <w:noProof/>
          </w:rPr>
          <w:t>AR: Indoor</w:t>
        </w:r>
      </w:hyperlink>
    </w:p>
    <w:p w:rsidR="00835C7C" w:rsidRDefault="00C1431A">
      <w:pPr>
        <w:pStyle w:val="10"/>
        <w:spacing w:before="120" w:after="120"/>
        <w:rPr>
          <w:rFonts w:asciiTheme="minorHAnsi" w:eastAsiaTheme="minorEastAsia" w:hAnsiTheme="minorHAnsi" w:cstheme="minorBidi"/>
          <w:b w:val="0"/>
          <w:bCs w:val="0"/>
          <w:i w:val="0"/>
          <w:iCs w:val="0"/>
          <w:noProof/>
          <w:sz w:val="21"/>
          <w:szCs w:val="22"/>
        </w:rPr>
      </w:pPr>
      <w:hyperlink w:anchor="_Toc68687713" w:history="1">
        <w:r w:rsidR="00835C7C" w:rsidRPr="00AD0EE2">
          <w:rPr>
            <w:rStyle w:val="af"/>
            <w:noProof/>
          </w:rPr>
          <w:t>Note: For DL evaluation, VR/AR use a same DL traffic model.</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14" w:history="1">
        <w:r w:rsidR="00835C7C" w:rsidRPr="00AD0EE2">
          <w:rPr>
            <w:rStyle w:val="af"/>
            <w:noProof/>
          </w:rPr>
          <w:t>Proposal 2:</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Indoor scenario can be prioritized in FR2 simulation.</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15" w:history="1">
        <w:r w:rsidR="00835C7C" w:rsidRPr="00AD0EE2">
          <w:rPr>
            <w:rStyle w:val="af"/>
            <w:noProof/>
          </w:rPr>
          <w:t>Proposal 3:</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When multiple drops are simulated, the percentage of satisfied users can be calculated by averaging the percentage of satisfied users across multiple drops.</w:t>
        </w:r>
      </w:hyperlink>
    </w:p>
    <w:p w:rsidR="00835C7C" w:rsidRDefault="00C1431A">
      <w:pPr>
        <w:pStyle w:val="10"/>
        <w:spacing w:before="120" w:after="120"/>
        <w:rPr>
          <w:rFonts w:asciiTheme="minorHAnsi" w:eastAsiaTheme="minorEastAsia" w:hAnsiTheme="minorHAnsi" w:cstheme="minorBidi"/>
          <w:b w:val="0"/>
          <w:bCs w:val="0"/>
          <w:i w:val="0"/>
          <w:iCs w:val="0"/>
          <w:noProof/>
          <w:sz w:val="21"/>
          <w:szCs w:val="22"/>
        </w:rPr>
      </w:pPr>
      <w:hyperlink w:anchor="_Toc68687716" w:history="1">
        <w:r w:rsidR="00835C7C" w:rsidRPr="00AD0EE2">
          <w:rPr>
            <w:rStyle w:val="af"/>
            <w:noProof/>
          </w:rPr>
          <w:t>Note: The number of UEs per cell in each drop should be same if multiple drops are simulated.</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17" w:history="1">
        <w:r w:rsidR="00835C7C" w:rsidRPr="00AD0EE2">
          <w:rPr>
            <w:rStyle w:val="af"/>
            <w:noProof/>
          </w:rPr>
          <w:t>Proposal 4:</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For UL traffic, the air interface PDB is measured from the point when a packet is generated at UE to the point when it is successfully delivered to gNB.</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18" w:history="1">
        <w:r w:rsidR="00835C7C" w:rsidRPr="00AD0EE2">
          <w:rPr>
            <w:rStyle w:val="af"/>
            <w:noProof/>
          </w:rPr>
          <w:t>Proposal 5:</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All UEs are included for obtaining the PS gain.</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19" w:history="1">
        <w:r w:rsidR="00835C7C" w:rsidRPr="00AD0EE2">
          <w:rPr>
            <w:rStyle w:val="af"/>
            <w:noProof/>
          </w:rPr>
          <w:t>Proposal 6:</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DL and UL traffic are modeled separately no matter whether or not DL and UL performances are evaluated independently.</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20" w:history="1">
        <w:r w:rsidR="00835C7C" w:rsidRPr="00AD0EE2">
          <w:rPr>
            <w:rStyle w:val="af"/>
            <w:noProof/>
          </w:rPr>
          <w:t>Proposal 7:</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There is no need to differentiate the two options.</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21" w:history="1">
        <w:r w:rsidR="00835C7C" w:rsidRPr="00AD0EE2">
          <w:rPr>
            <w:rStyle w:val="af"/>
            <w:noProof/>
          </w:rPr>
          <w:t>Proposal 8:</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UE with transmit power less than 0 dBm should be considered.</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22" w:history="1">
        <w:r w:rsidR="00835C7C" w:rsidRPr="00AD0EE2">
          <w:rPr>
            <w:rStyle w:val="af"/>
            <w:noProof/>
          </w:rPr>
          <w:t>Proposal 9:</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Option 1 is preferred for UL UE power consumption evaluation.</w:t>
        </w:r>
      </w:hyperlink>
    </w:p>
    <w:p w:rsidR="00835C7C" w:rsidRDefault="00C1431A">
      <w:pPr>
        <w:pStyle w:val="10"/>
        <w:tabs>
          <w:tab w:val="left" w:pos="1470"/>
        </w:tabs>
        <w:spacing w:before="120" w:after="120"/>
        <w:rPr>
          <w:rFonts w:asciiTheme="minorHAnsi" w:eastAsiaTheme="minorEastAsia" w:hAnsiTheme="minorHAnsi" w:cstheme="minorBidi"/>
          <w:b w:val="0"/>
          <w:bCs w:val="0"/>
          <w:i w:val="0"/>
          <w:iCs w:val="0"/>
          <w:noProof/>
          <w:sz w:val="21"/>
          <w:szCs w:val="22"/>
        </w:rPr>
      </w:pPr>
      <w:hyperlink w:anchor="_Toc68687723" w:history="1">
        <w:r w:rsidR="00835C7C" w:rsidRPr="00AD0EE2">
          <w:rPr>
            <w:rStyle w:val="af"/>
            <w:noProof/>
          </w:rPr>
          <w:t>Proposal 10:</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For FR2, re-use the 350 relative power in case no new power state is further defined for 23dBm.</w:t>
        </w:r>
      </w:hyperlink>
    </w:p>
    <w:p w:rsidR="00835C7C" w:rsidRDefault="00C1431A">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68687724" w:history="1">
        <w:r w:rsidR="00835C7C" w:rsidRPr="00AD0EE2">
          <w:rPr>
            <w:rStyle w:val="af"/>
            <w:noProof/>
          </w:rPr>
          <w:t>Proposal 11:</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The following method can be used to model the antenna scaling for power consumption within [A, 23dBm] in both FR1 and FR2:</w:t>
        </w:r>
      </w:hyperlink>
    </w:p>
    <w:p w:rsidR="00835C7C" w:rsidRDefault="00C1431A">
      <w:pPr>
        <w:pStyle w:val="10"/>
        <w:tabs>
          <w:tab w:val="left" w:pos="420"/>
        </w:tabs>
        <w:spacing w:before="120" w:after="120"/>
        <w:rPr>
          <w:rFonts w:asciiTheme="minorHAnsi" w:eastAsiaTheme="minorEastAsia" w:hAnsiTheme="minorHAnsi" w:cstheme="minorBidi"/>
          <w:b w:val="0"/>
          <w:bCs w:val="0"/>
          <w:i w:val="0"/>
          <w:iCs w:val="0"/>
          <w:noProof/>
          <w:sz w:val="21"/>
          <w:szCs w:val="22"/>
        </w:rPr>
      </w:pPr>
      <w:hyperlink w:anchor="_Toc68687725" w:history="1">
        <w:r w:rsidR="00835C7C" w:rsidRPr="00AD0EE2">
          <w:rPr>
            <w:rStyle w:val="af"/>
            <w:rFonts w:ascii="Wingdings" w:hAnsi="Wingdings"/>
            <w:noProof/>
          </w:rPr>
          <w:t></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2Tx power is 1.4x 1Tx power within [A,M] and 1.2x.within (M,23dBm].</w:t>
        </w:r>
      </w:hyperlink>
    </w:p>
    <w:p w:rsidR="00835C7C" w:rsidRDefault="00C1431A">
      <w:pPr>
        <w:pStyle w:val="10"/>
        <w:tabs>
          <w:tab w:val="left" w:pos="420"/>
        </w:tabs>
        <w:spacing w:before="120" w:after="120"/>
        <w:rPr>
          <w:rFonts w:asciiTheme="minorHAnsi" w:eastAsiaTheme="minorEastAsia" w:hAnsiTheme="minorHAnsi" w:cstheme="minorBidi"/>
          <w:b w:val="0"/>
          <w:bCs w:val="0"/>
          <w:i w:val="0"/>
          <w:iCs w:val="0"/>
          <w:noProof/>
          <w:sz w:val="21"/>
          <w:szCs w:val="22"/>
        </w:rPr>
      </w:pPr>
      <w:hyperlink w:anchor="_Toc68687726" w:history="1">
        <w:r w:rsidR="00835C7C" w:rsidRPr="00AD0EE2">
          <w:rPr>
            <w:rStyle w:val="af"/>
            <w:rFonts w:ascii="Wingdings" w:hAnsi="Wingdings"/>
            <w:noProof/>
          </w:rPr>
          <w:t></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4Tx power is 1.4x 2Tx power within [A,M] and 1.2x.within (M,23dBm].</w:t>
        </w:r>
      </w:hyperlink>
    </w:p>
    <w:p w:rsidR="00835C7C" w:rsidRDefault="00C1431A">
      <w:pPr>
        <w:pStyle w:val="10"/>
        <w:tabs>
          <w:tab w:val="left" w:pos="420"/>
        </w:tabs>
        <w:spacing w:before="120" w:after="120"/>
        <w:rPr>
          <w:rFonts w:asciiTheme="minorHAnsi" w:eastAsiaTheme="minorEastAsia" w:hAnsiTheme="minorHAnsi" w:cstheme="minorBidi"/>
          <w:b w:val="0"/>
          <w:bCs w:val="0"/>
          <w:i w:val="0"/>
          <w:iCs w:val="0"/>
          <w:noProof/>
          <w:sz w:val="21"/>
          <w:szCs w:val="22"/>
        </w:rPr>
      </w:pPr>
      <w:hyperlink w:anchor="_Toc68687727" w:history="1">
        <w:r w:rsidR="00835C7C" w:rsidRPr="00AD0EE2">
          <w:rPr>
            <w:rStyle w:val="af"/>
            <w:rFonts w:ascii="Wingdings" w:hAnsi="Wingdings"/>
            <w:noProof/>
          </w:rPr>
          <w:t></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M=[20dBm]</w:t>
        </w:r>
      </w:hyperlink>
    </w:p>
    <w:p w:rsidR="00835C7C" w:rsidRDefault="00C1431A">
      <w:pPr>
        <w:pStyle w:val="10"/>
        <w:tabs>
          <w:tab w:val="left" w:pos="420"/>
        </w:tabs>
        <w:spacing w:before="120" w:after="120"/>
        <w:rPr>
          <w:rFonts w:asciiTheme="minorHAnsi" w:eastAsiaTheme="minorEastAsia" w:hAnsiTheme="minorHAnsi" w:cstheme="minorBidi"/>
          <w:b w:val="0"/>
          <w:bCs w:val="0"/>
          <w:i w:val="0"/>
          <w:iCs w:val="0"/>
          <w:noProof/>
          <w:sz w:val="21"/>
          <w:szCs w:val="22"/>
        </w:rPr>
      </w:pPr>
      <w:hyperlink w:anchor="_Toc68687728" w:history="1">
        <w:r w:rsidR="00835C7C" w:rsidRPr="00AD0EE2">
          <w:rPr>
            <w:rStyle w:val="af"/>
            <w:rFonts w:ascii="Wingdings" w:hAnsi="Wingdings"/>
            <w:noProof/>
          </w:rPr>
          <w:t></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A is 0dBm if UE transmit power less than 0dBm is not considered, otherwise, A is the minimum value of UE transmit power.</w:t>
        </w:r>
      </w:hyperlink>
    </w:p>
    <w:p w:rsidR="00835C7C" w:rsidRDefault="00C1431A">
      <w:pPr>
        <w:pStyle w:val="10"/>
        <w:tabs>
          <w:tab w:val="left" w:pos="1470"/>
        </w:tabs>
        <w:spacing w:before="120" w:after="120"/>
        <w:rPr>
          <w:rFonts w:asciiTheme="minorHAnsi" w:eastAsiaTheme="minorEastAsia" w:hAnsiTheme="minorHAnsi" w:cstheme="minorBidi"/>
          <w:b w:val="0"/>
          <w:bCs w:val="0"/>
          <w:i w:val="0"/>
          <w:iCs w:val="0"/>
          <w:noProof/>
          <w:sz w:val="21"/>
          <w:szCs w:val="22"/>
        </w:rPr>
      </w:pPr>
      <w:hyperlink w:anchor="_Toc68687729" w:history="1">
        <w:r w:rsidR="00835C7C" w:rsidRPr="00AD0EE2">
          <w:rPr>
            <w:rStyle w:val="af"/>
            <w:noProof/>
          </w:rPr>
          <w:t>Proposal 12:</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For XR evaluation, the following two alternatives for UL power states can be considered.</w:t>
        </w:r>
      </w:hyperlink>
    </w:p>
    <w:p w:rsidR="00835C7C" w:rsidRDefault="00C1431A">
      <w:pPr>
        <w:pStyle w:val="10"/>
        <w:spacing w:before="120" w:after="120"/>
        <w:rPr>
          <w:rFonts w:asciiTheme="minorHAnsi" w:eastAsiaTheme="minorEastAsia" w:hAnsiTheme="minorHAnsi" w:cstheme="minorBidi"/>
          <w:b w:val="0"/>
          <w:bCs w:val="0"/>
          <w:i w:val="0"/>
          <w:iCs w:val="0"/>
          <w:noProof/>
          <w:sz w:val="21"/>
          <w:szCs w:val="22"/>
        </w:rPr>
      </w:pPr>
      <w:hyperlink w:anchor="_Toc68687730" w:history="1">
        <w:r w:rsidR="00835C7C" w:rsidRPr="00AD0EE2">
          <w:rPr>
            <w:rStyle w:val="af"/>
            <w:noProof/>
          </w:rPr>
          <w:t>Alt 1: Use the original power states and do not add more power states.</w:t>
        </w:r>
      </w:hyperlink>
    </w:p>
    <w:p w:rsidR="00835C7C" w:rsidRDefault="00C1431A">
      <w:pPr>
        <w:pStyle w:val="10"/>
        <w:spacing w:before="120" w:after="120"/>
        <w:rPr>
          <w:rFonts w:asciiTheme="minorHAnsi" w:eastAsiaTheme="minorEastAsia" w:hAnsiTheme="minorHAnsi" w:cstheme="minorBidi"/>
          <w:b w:val="0"/>
          <w:bCs w:val="0"/>
          <w:i w:val="0"/>
          <w:iCs w:val="0"/>
          <w:noProof/>
          <w:sz w:val="21"/>
          <w:szCs w:val="22"/>
        </w:rPr>
      </w:pPr>
      <w:hyperlink w:anchor="_Toc68687731" w:history="1">
        <w:r w:rsidR="00835C7C" w:rsidRPr="00AD0EE2">
          <w:rPr>
            <w:rStyle w:val="af"/>
            <w:noProof/>
          </w:rPr>
          <w:t>Alt 2: Power of PUCCH or PUSCH with different number of symbols can be obtained by power of long PUCCH multiplied by a coefficient. The coefficient can be calculated by C = 0.3 + (N-1)/13*0.7, N is the number of symbols the PUCCH or PUSCH or UL power state occupied.</w:t>
        </w:r>
      </w:hyperlink>
    </w:p>
    <w:p w:rsidR="00835C7C" w:rsidRDefault="00C1431A">
      <w:pPr>
        <w:pStyle w:val="10"/>
        <w:tabs>
          <w:tab w:val="left" w:pos="1470"/>
        </w:tabs>
        <w:spacing w:before="120" w:after="120"/>
        <w:rPr>
          <w:rFonts w:asciiTheme="minorHAnsi" w:eastAsiaTheme="minorEastAsia" w:hAnsiTheme="minorHAnsi" w:cstheme="minorBidi"/>
          <w:b w:val="0"/>
          <w:bCs w:val="0"/>
          <w:i w:val="0"/>
          <w:iCs w:val="0"/>
          <w:noProof/>
          <w:sz w:val="21"/>
          <w:szCs w:val="22"/>
        </w:rPr>
      </w:pPr>
      <w:hyperlink w:anchor="_Toc68687732" w:history="1">
        <w:r w:rsidR="00835C7C" w:rsidRPr="00AD0EE2">
          <w:rPr>
            <w:rStyle w:val="af"/>
            <w:noProof/>
          </w:rPr>
          <w:t>Proposal 13:</w:t>
        </w:r>
        <w:r w:rsidR="00835C7C">
          <w:rPr>
            <w:rFonts w:asciiTheme="minorHAnsi" w:eastAsiaTheme="minorEastAsia" w:hAnsiTheme="minorHAnsi" w:cstheme="minorBidi"/>
            <w:b w:val="0"/>
            <w:bCs w:val="0"/>
            <w:i w:val="0"/>
            <w:iCs w:val="0"/>
            <w:noProof/>
            <w:sz w:val="21"/>
            <w:szCs w:val="22"/>
          </w:rPr>
          <w:tab/>
        </w:r>
        <w:r w:rsidR="00835C7C" w:rsidRPr="00AD0EE2">
          <w:rPr>
            <w:rStyle w:val="af"/>
            <w:noProof/>
          </w:rPr>
          <w:t>Power of “PDSCH+PUCCH” is 450 units at 23dBm, and power of “PDCCH+PDSCH+PUCCH” is 470 units at 23 dBm.</w:t>
        </w:r>
      </w:hyperlink>
    </w:p>
    <w:p w:rsidR="00B94A4B" w:rsidRDefault="00B94A4B">
      <w:pPr>
        <w:pStyle w:val="Proposal"/>
        <w:numPr>
          <w:ilvl w:val="0"/>
          <w:numId w:val="0"/>
        </w:numPr>
        <w:spacing w:before="120" w:after="120"/>
        <w:jc w:val="both"/>
        <w:rPr>
          <w:szCs w:val="21"/>
        </w:rPr>
      </w:pPr>
      <w:r>
        <w:rPr>
          <w:szCs w:val="21"/>
        </w:rPr>
        <w:fldChar w:fldCharType="end"/>
      </w:r>
    </w:p>
    <w:p w:rsidR="00B94A4B" w:rsidRDefault="002B2EC1">
      <w:pPr>
        <w:pStyle w:val="1"/>
        <w:spacing w:before="120" w:after="120"/>
        <w:ind w:left="0"/>
        <w:rPr>
          <w:rFonts w:eastAsia="宋体"/>
        </w:rPr>
      </w:pPr>
      <w:r>
        <w:rPr>
          <w:rFonts w:eastAsia="宋体" w:hint="eastAsia"/>
        </w:rPr>
        <w:t>Reference</w:t>
      </w:r>
      <w:r>
        <w:rPr>
          <w:rFonts w:eastAsia="宋体"/>
        </w:rPr>
        <w:t>s</w:t>
      </w:r>
    </w:p>
    <w:p w:rsidR="00B94A4B" w:rsidRDefault="002B2EC1">
      <w:pPr>
        <w:pStyle w:val="References"/>
        <w:spacing w:before="120" w:after="120"/>
        <w:rPr>
          <w:szCs w:val="21"/>
        </w:rPr>
      </w:pPr>
      <w:bookmarkStart w:id="52" w:name="_Ref18691"/>
      <w:r>
        <w:rPr>
          <w:rFonts w:hint="eastAsia"/>
          <w:szCs w:val="21"/>
        </w:rPr>
        <w:t>RAN1 Chairman</w:t>
      </w:r>
      <w:r>
        <w:rPr>
          <w:szCs w:val="21"/>
        </w:rPr>
        <w:t>’</w:t>
      </w:r>
      <w:r>
        <w:rPr>
          <w:rFonts w:hint="eastAsia"/>
          <w:szCs w:val="21"/>
        </w:rPr>
        <w:t>s notes.  3GPP TSG RAN WG1 Meeting #104-e-Meeting, January 25</w:t>
      </w:r>
      <w:r>
        <w:rPr>
          <w:rFonts w:hint="eastAsia"/>
          <w:szCs w:val="21"/>
          <w:vertAlign w:val="superscript"/>
        </w:rPr>
        <w:t>th</w:t>
      </w:r>
      <w:r>
        <w:rPr>
          <w:rFonts w:hint="eastAsia"/>
          <w:szCs w:val="21"/>
        </w:rPr>
        <w:t xml:space="preserve"> - February 5</w:t>
      </w:r>
      <w:r>
        <w:rPr>
          <w:rFonts w:hint="eastAsia"/>
          <w:szCs w:val="21"/>
          <w:vertAlign w:val="superscript"/>
        </w:rPr>
        <w:t>th</w:t>
      </w:r>
      <w:r>
        <w:rPr>
          <w:rFonts w:hint="eastAsia"/>
          <w:szCs w:val="21"/>
        </w:rPr>
        <w:t xml:space="preserve"> , 2021</w:t>
      </w:r>
      <w:r>
        <w:rPr>
          <w:szCs w:val="21"/>
        </w:rPr>
        <w:t>S4aV200633, Draft LS to RAN1, 3GPP TSG SA WG4</w:t>
      </w:r>
    </w:p>
    <w:p w:rsidR="00B94A4B" w:rsidRDefault="002B2EC1">
      <w:pPr>
        <w:pStyle w:val="References"/>
        <w:spacing w:before="120" w:after="120"/>
        <w:rPr>
          <w:szCs w:val="21"/>
        </w:rPr>
      </w:pPr>
      <w:r>
        <w:rPr>
          <w:szCs w:val="21"/>
        </w:rPr>
        <w:t>TR 26.928, “Extended Reality (XR) in 5G”, v16.0.0</w:t>
      </w:r>
    </w:p>
    <w:p w:rsidR="00B94A4B" w:rsidRDefault="002B2EC1">
      <w:pPr>
        <w:pStyle w:val="References"/>
        <w:spacing w:before="120" w:after="120"/>
        <w:ind w:left="363" w:hanging="363"/>
        <w:rPr>
          <w:szCs w:val="21"/>
        </w:rPr>
      </w:pPr>
      <w:r>
        <w:rPr>
          <w:rFonts w:hint="eastAsia"/>
          <w:szCs w:val="21"/>
        </w:rPr>
        <w:t xml:space="preserve">TR 26.918, </w:t>
      </w:r>
      <w:r>
        <w:rPr>
          <w:szCs w:val="21"/>
        </w:rPr>
        <w:t>“Typical traffic characteristics of media services on 3GPP networks”</w:t>
      </w:r>
      <w:r>
        <w:rPr>
          <w:rFonts w:hint="eastAsia"/>
          <w:szCs w:val="21"/>
        </w:rPr>
        <w:t>, v16.0.0</w:t>
      </w:r>
    </w:p>
    <w:p w:rsidR="00B94A4B" w:rsidRDefault="002B2EC1">
      <w:pPr>
        <w:pStyle w:val="References"/>
        <w:spacing w:before="120" w:after="120"/>
        <w:ind w:left="363" w:hanging="363"/>
        <w:rPr>
          <w:szCs w:val="21"/>
        </w:rPr>
      </w:pPr>
      <w:r>
        <w:rPr>
          <w:rFonts w:hint="eastAsia"/>
          <w:szCs w:val="21"/>
        </w:rPr>
        <w:t>Measurements of construction materials penetration losses at frequencies from 26.5 GHz to 40 GHz[C]// Pacific Rim Conference on Communications, Computers and Signal Processing.</w:t>
      </w:r>
    </w:p>
    <w:p w:rsidR="00B94A4B" w:rsidRDefault="002B2EC1">
      <w:pPr>
        <w:pStyle w:val="References"/>
        <w:spacing w:before="120" w:after="120"/>
        <w:ind w:left="363" w:hanging="363"/>
        <w:rPr>
          <w:szCs w:val="21"/>
        </w:rPr>
      </w:pPr>
      <w:r>
        <w:rPr>
          <w:rFonts w:hint="eastAsia"/>
          <w:szCs w:val="21"/>
        </w:rPr>
        <w:t xml:space="preserve">TR 38.901, </w:t>
      </w:r>
      <w:r>
        <w:rPr>
          <w:szCs w:val="21"/>
        </w:rPr>
        <w:t>“</w:t>
      </w:r>
      <w:r>
        <w:rPr>
          <w:lang w:eastAsia="ko-KR"/>
        </w:rPr>
        <w:t>Study on channel model for frequencies from 0.5 to 100 GH</w:t>
      </w:r>
      <w:r>
        <w:rPr>
          <w:rFonts w:hint="eastAsia"/>
        </w:rPr>
        <w:t>z</w:t>
      </w:r>
      <w:r>
        <w:rPr>
          <w:szCs w:val="21"/>
        </w:rPr>
        <w:t>”</w:t>
      </w:r>
    </w:p>
    <w:p w:rsidR="00B94A4B" w:rsidRDefault="002B2EC1">
      <w:pPr>
        <w:pStyle w:val="References"/>
        <w:spacing w:before="120" w:after="120"/>
        <w:ind w:left="363" w:hanging="363"/>
        <w:rPr>
          <w:szCs w:val="21"/>
        </w:rPr>
      </w:pPr>
      <w:r>
        <w:rPr>
          <w:rFonts w:hint="eastAsia"/>
          <w:szCs w:val="21"/>
        </w:rPr>
        <w:t>R1-163408, Additional Considerations on Building Penetration Loss Modeling for 5G System Performance Evaluation</w:t>
      </w:r>
    </w:p>
    <w:p w:rsidR="00B94A4B" w:rsidRDefault="002B2EC1">
      <w:pPr>
        <w:pStyle w:val="References"/>
        <w:spacing w:before="120" w:after="120"/>
        <w:ind w:left="363" w:hanging="363"/>
        <w:rPr>
          <w:szCs w:val="21"/>
        </w:rPr>
      </w:pPr>
      <w:r>
        <w:rPr>
          <w:rFonts w:hint="eastAsia"/>
          <w:szCs w:val="21"/>
        </w:rPr>
        <w:t xml:space="preserve">TR 38.840, </w:t>
      </w:r>
      <w:r>
        <w:rPr>
          <w:szCs w:val="21"/>
        </w:rPr>
        <w:t>“Study on User Equipment (UE) power saving in N</w:t>
      </w:r>
      <w:r>
        <w:rPr>
          <w:rFonts w:hint="eastAsia"/>
          <w:szCs w:val="21"/>
        </w:rPr>
        <w:t>R</w:t>
      </w:r>
      <w:r>
        <w:rPr>
          <w:szCs w:val="21"/>
        </w:rPr>
        <w:t>”</w:t>
      </w:r>
      <w:r>
        <w:rPr>
          <w:rFonts w:hint="eastAsia"/>
          <w:szCs w:val="21"/>
        </w:rPr>
        <w:t>, v16.0.0</w:t>
      </w:r>
      <w:bookmarkEnd w:id="52"/>
    </w:p>
    <w:p w:rsidR="00240F59" w:rsidRPr="00240F59" w:rsidRDefault="00832337" w:rsidP="00E04D3C">
      <w:pPr>
        <w:pStyle w:val="1"/>
        <w:numPr>
          <w:ilvl w:val="0"/>
          <w:numId w:val="0"/>
        </w:numPr>
        <w:spacing w:before="120" w:after="120"/>
        <w:rPr>
          <w:rFonts w:eastAsia="宋体"/>
        </w:rPr>
      </w:pPr>
      <w:bookmarkStart w:id="53" w:name="_GoBack"/>
      <w:bookmarkEnd w:id="53"/>
      <w:r>
        <w:rPr>
          <w:rFonts w:eastAsia="宋体" w:hint="eastAsia"/>
        </w:rPr>
        <w:t>Appendix</w:t>
      </w:r>
      <w:r w:rsidR="00240F59" w:rsidRPr="00240F59">
        <w:rPr>
          <w:rFonts w:eastAsia="宋体" w:hint="eastAsia"/>
        </w:rPr>
        <w:t xml:space="preserve"> Simulation Parameters</w:t>
      </w:r>
    </w:p>
    <w:p w:rsidR="00240F59" w:rsidRDefault="00240F59" w:rsidP="00240F59">
      <w:pPr>
        <w:pStyle w:val="a4"/>
        <w:spacing w:before="120" w:after="120" w:line="273" w:lineRule="auto"/>
        <w:jc w:val="center"/>
        <w:rPr>
          <w:rFonts w:ascii="Times New Roman" w:eastAsia="宋体" w:hAnsi="Times New Roman"/>
        </w:rPr>
      </w:pPr>
      <w:r>
        <w:rPr>
          <w:rFonts w:ascii="Times New Roman" w:hAnsi="Times New Roman"/>
        </w:rPr>
        <w:t xml:space="preserve">Table </w:t>
      </w:r>
      <w:r>
        <w:rPr>
          <w:rFonts w:ascii="Times New Roman" w:hAnsi="Times New Roman" w:hint="eastAsia"/>
        </w:rPr>
        <w:t>A1</w:t>
      </w:r>
      <w:r>
        <w:rPr>
          <w:rFonts w:ascii="Times New Roman" w:eastAsia="宋体" w:hAnsi="Times New Roman"/>
        </w:rPr>
        <w:t xml:space="preserve"> Simulation assumption for FR1 UL</w:t>
      </w:r>
    </w:p>
    <w:tbl>
      <w:tblPr>
        <w:tblStyle w:val="ac"/>
        <w:tblW w:w="9019" w:type="dxa"/>
        <w:jc w:val="center"/>
        <w:tblLook w:val="04A0" w:firstRow="1" w:lastRow="0" w:firstColumn="1" w:lastColumn="0" w:noHBand="0" w:noVBand="1"/>
      </w:tblPr>
      <w:tblGrid>
        <w:gridCol w:w="2263"/>
        <w:gridCol w:w="6756"/>
      </w:tblGrid>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40F59" w:rsidRDefault="00240F59">
            <w:pPr>
              <w:spacing w:before="120" w:after="120"/>
              <w:jc w:val="center"/>
              <w:rPr>
                <w:b/>
                <w:bCs/>
                <w:sz w:val="20"/>
              </w:rPr>
            </w:pPr>
            <w:r>
              <w:rPr>
                <w:b/>
                <w:bCs/>
                <w:sz w:val="20"/>
              </w:rPr>
              <w:t>Parameter</w:t>
            </w:r>
          </w:p>
        </w:tc>
        <w:tc>
          <w:tcPr>
            <w:tcW w:w="6756" w:type="dxa"/>
            <w:tcBorders>
              <w:top w:val="single" w:sz="4" w:space="0" w:color="auto"/>
              <w:left w:val="nil"/>
              <w:bottom w:val="single" w:sz="4" w:space="0" w:color="auto"/>
              <w:right w:val="single" w:sz="4" w:space="0" w:color="auto"/>
            </w:tcBorders>
            <w:shd w:val="clear" w:color="auto" w:fill="FFFFFF"/>
            <w:vAlign w:val="center"/>
            <w:hideMark/>
          </w:tcPr>
          <w:p w:rsidR="00240F59" w:rsidRDefault="00240F59">
            <w:pPr>
              <w:spacing w:before="120" w:after="120"/>
              <w:jc w:val="center"/>
              <w:rPr>
                <w:b/>
                <w:bCs/>
                <w:sz w:val="20"/>
              </w:rPr>
            </w:pPr>
            <w:r>
              <w:rPr>
                <w:b/>
                <w:bCs/>
                <w:sz w:val="20"/>
              </w:rPr>
              <w:t>value</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Scenarios</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Scenario-1: Indoor Hotspot </w:t>
            </w:r>
          </w:p>
          <w:p w:rsidR="00240F59" w:rsidRDefault="00240F59">
            <w:pPr>
              <w:spacing w:before="120" w:after="120"/>
              <w:rPr>
                <w:sz w:val="20"/>
              </w:rPr>
            </w:pPr>
            <w:r>
              <w:rPr>
                <w:sz w:val="20"/>
              </w:rPr>
              <w:t>12 nodes in 50 m x 120 m</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Carrier frequency</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4GHz</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 xml:space="preserve">Bandwidth </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100 MHz</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Subcarrier spacing</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30 KHz</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lastRenderedPageBreak/>
              <w:t>Frame structure</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DDDSU (S: 10D:2G:2U) for UL interaction/pose information delivering</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 xml:space="preserve">BS Antennas </w:t>
            </w:r>
          </w:p>
          <w:p w:rsidR="00240F59" w:rsidRDefault="00240F59">
            <w:pPr>
              <w:spacing w:before="120" w:after="120"/>
              <w:rPr>
                <w:sz w:val="20"/>
              </w:rPr>
            </w:pPr>
            <w:r>
              <w:rPr>
                <w:sz w:val="20"/>
              </w:rPr>
              <w:t>(M,N,P,Mg,Ng;Mp,Np)</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For 32R: (4,4,2,1,1;4,4)</w:t>
            </w:r>
          </w:p>
          <w:p w:rsidR="00240F59" w:rsidRDefault="00240F59">
            <w:pPr>
              <w:spacing w:before="120" w:after="120"/>
              <w:rPr>
                <w:sz w:val="20"/>
              </w:rPr>
            </w:pPr>
            <w:r>
              <w:rPr>
                <w:sz w:val="20"/>
              </w:rPr>
              <w:t>(dH,dV) = (0.5, 0.5)λ</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 xml:space="preserve">UE Antennas </w:t>
            </w:r>
          </w:p>
          <w:p w:rsidR="00240F59" w:rsidRDefault="00240F59">
            <w:pPr>
              <w:spacing w:before="120" w:after="120"/>
              <w:rPr>
                <w:sz w:val="20"/>
              </w:rPr>
            </w:pPr>
            <w:r>
              <w:rPr>
                <w:sz w:val="20"/>
              </w:rPr>
              <w:t>(M,N,P,Mg,Ng;Mp,Np)</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For 2T: (1,1,2,1,1;1,1)</w:t>
            </w:r>
          </w:p>
          <w:p w:rsidR="00240F59" w:rsidRDefault="00240F59">
            <w:pPr>
              <w:spacing w:before="120" w:after="120"/>
              <w:rPr>
                <w:sz w:val="20"/>
              </w:rPr>
            </w:pPr>
            <w:r>
              <w:rPr>
                <w:sz w:val="20"/>
              </w:rPr>
              <w:t>(dH, dV)=( 0.5, N/A)λ</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BS antenna pattern</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Ceiling-mount pattern, 5 dBi</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UE antenna pattern</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Omnidirectional, 0 dBi</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UE max Power</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 xml:space="preserve">23 dBm </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Power control</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bookmarkStart w:id="54" w:name="OLE_LINK6"/>
            <w:r>
              <w:rPr>
                <w:sz w:val="20"/>
              </w:rPr>
              <w:t>P0 = -80 dBm, alpha = 0.8</w:t>
            </w:r>
            <w:bookmarkEnd w:id="54"/>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Noise Figure</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color w:val="000000"/>
                <w:kern w:val="0"/>
                <w:sz w:val="20"/>
              </w:rPr>
              <w:t>5dB for BS and 9dB for UE</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Scheduler</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MU-MIMO+PF</w:t>
            </w:r>
          </w:p>
        </w:tc>
      </w:tr>
      <w:tr w:rsidR="00240F59" w:rsidTr="00240F59">
        <w:trPr>
          <w:trHeight w:val="29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Device deployment</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100% indoor</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sz w:val="20"/>
              </w:rPr>
            </w:pPr>
            <w:r>
              <w:rPr>
                <w:sz w:val="20"/>
              </w:rPr>
              <w:t>Down-tilt</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sz w:val="20"/>
              </w:rPr>
              <w:t>90 degrees</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hideMark/>
          </w:tcPr>
          <w:p w:rsidR="00240F59" w:rsidRDefault="00240F59">
            <w:pPr>
              <w:spacing w:before="120" w:after="120"/>
              <w:rPr>
                <w:sz w:val="20"/>
              </w:rPr>
            </w:pPr>
            <w:r>
              <w:rPr>
                <w:color w:val="000000"/>
                <w:sz w:val="20"/>
              </w:rPr>
              <w:t>BS receiver</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sz w:val="20"/>
              </w:rPr>
            </w:pPr>
            <w:r>
              <w:rPr>
                <w:color w:val="000000"/>
                <w:sz w:val="20"/>
              </w:rPr>
              <w:t>MMSE-IRC</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hideMark/>
          </w:tcPr>
          <w:p w:rsidR="00240F59" w:rsidRDefault="00240F59">
            <w:pPr>
              <w:spacing w:before="120" w:after="120"/>
              <w:rPr>
                <w:color w:val="000000"/>
                <w:sz w:val="20"/>
              </w:rPr>
            </w:pPr>
            <w:r>
              <w:rPr>
                <w:color w:val="000000"/>
                <w:sz w:val="20"/>
              </w:rPr>
              <w:t>UE receiver</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color w:val="000000"/>
                <w:sz w:val="20"/>
              </w:rPr>
            </w:pPr>
            <w:r>
              <w:rPr>
                <w:color w:val="000000"/>
                <w:sz w:val="20"/>
              </w:rPr>
              <w:t>MMSE-IRC</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hideMark/>
          </w:tcPr>
          <w:p w:rsidR="00240F59" w:rsidRDefault="00240F59">
            <w:pPr>
              <w:spacing w:before="120" w:after="120"/>
              <w:rPr>
                <w:color w:val="000000"/>
                <w:sz w:val="20"/>
              </w:rPr>
            </w:pPr>
            <w:r>
              <w:rPr>
                <w:color w:val="000000"/>
                <w:sz w:val="20"/>
              </w:rPr>
              <w:t>Channel estimation</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color w:val="000000"/>
                <w:sz w:val="20"/>
              </w:rPr>
            </w:pPr>
            <w:r>
              <w:rPr>
                <w:color w:val="000000"/>
                <w:sz w:val="20"/>
              </w:rPr>
              <w:t>Realistic</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color w:val="000000"/>
                <w:sz w:val="20"/>
              </w:rPr>
            </w:pPr>
            <w:r>
              <w:rPr>
                <w:rFonts w:eastAsia="Arial"/>
                <w:sz w:val="20"/>
              </w:rPr>
              <w:t>Target BLER</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color w:val="000000"/>
                <w:sz w:val="20"/>
              </w:rPr>
            </w:pPr>
            <w:r>
              <w:rPr>
                <w:rFonts w:eastAsia="Arial"/>
                <w:sz w:val="20"/>
              </w:rPr>
              <w:t>10% for first transmission</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spacing w:before="120" w:after="120"/>
              <w:rPr>
                <w:color w:val="000000"/>
                <w:sz w:val="20"/>
              </w:rPr>
            </w:pPr>
            <w:r>
              <w:rPr>
                <w:sz w:val="20"/>
              </w:rPr>
              <w:t>UE speed</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spacing w:before="120" w:after="120"/>
              <w:rPr>
                <w:color w:val="000000"/>
                <w:sz w:val="20"/>
              </w:rPr>
            </w:pPr>
            <w:r>
              <w:rPr>
                <w:sz w:val="20"/>
              </w:rPr>
              <w:t>3 km/h</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hideMark/>
          </w:tcPr>
          <w:p w:rsidR="00240F59" w:rsidRDefault="00240F59">
            <w:pPr>
              <w:spacing w:before="120" w:after="120"/>
              <w:jc w:val="left"/>
              <w:textAlignment w:val="center"/>
              <w:rPr>
                <w:sz w:val="20"/>
              </w:rPr>
            </w:pPr>
            <w:r>
              <w:rPr>
                <w:color w:val="000000"/>
                <w:kern w:val="0"/>
                <w:sz w:val="20"/>
              </w:rPr>
              <w:t>HARQ/repetition</w:t>
            </w:r>
          </w:p>
        </w:tc>
        <w:tc>
          <w:tcPr>
            <w:tcW w:w="6756" w:type="dxa"/>
            <w:tcBorders>
              <w:top w:val="single" w:sz="4" w:space="0" w:color="auto"/>
              <w:left w:val="nil"/>
              <w:bottom w:val="single" w:sz="4" w:space="0" w:color="auto"/>
              <w:right w:val="single" w:sz="4" w:space="0" w:color="auto"/>
            </w:tcBorders>
            <w:hideMark/>
          </w:tcPr>
          <w:p w:rsidR="00240F59" w:rsidRDefault="00240F59">
            <w:pPr>
              <w:spacing w:before="120" w:after="120"/>
              <w:jc w:val="left"/>
              <w:textAlignment w:val="center"/>
              <w:rPr>
                <w:sz w:val="20"/>
              </w:rPr>
            </w:pPr>
            <w:r>
              <w:rPr>
                <w:color w:val="000000"/>
                <w:kern w:val="0"/>
                <w:sz w:val="20"/>
              </w:rPr>
              <w:t>HARQ retransmission,Maximum number of retransmissions is 3</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pStyle w:val="xmsonormal"/>
              <w:spacing w:before="120" w:after="120"/>
              <w:jc w:val="left"/>
              <w:rPr>
                <w:rFonts w:ascii="Times New Roman" w:hAnsi="Times New Roman" w:cs="Times New Roman"/>
                <w:sz w:val="20"/>
                <w:szCs w:val="20"/>
              </w:rPr>
            </w:pPr>
            <w:r>
              <w:rPr>
                <w:rFonts w:ascii="Times New Roman" w:hAnsi="Times New Roman" w:cs="Times New Roman"/>
                <w:sz w:val="20"/>
                <w:szCs w:val="20"/>
              </w:rPr>
              <w:t>PHY processing delay</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pStyle w:val="xmsonormal"/>
              <w:spacing w:before="120" w:after="120"/>
              <w:jc w:val="left"/>
              <w:rPr>
                <w:rFonts w:ascii="Times New Roman" w:hAnsi="Times New Roman" w:cs="Times New Roman"/>
                <w:sz w:val="20"/>
                <w:szCs w:val="20"/>
              </w:rPr>
            </w:pPr>
            <w:r>
              <w:rPr>
                <w:rFonts w:ascii="Times New Roman" w:hAnsi="Times New Roman" w:cs="Times New Roman"/>
                <w:sz w:val="20"/>
                <w:szCs w:val="20"/>
              </w:rPr>
              <w:t>UE PUSCH processing Capability #1,N2=12</w:t>
            </w:r>
          </w:p>
        </w:tc>
      </w:tr>
      <w:tr w:rsidR="00240F59" w:rsidTr="00240F59">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40F59" w:rsidRDefault="00240F59">
            <w:pPr>
              <w:pStyle w:val="xmsonormal"/>
              <w:spacing w:before="120" w:after="120"/>
              <w:jc w:val="left"/>
              <w:rPr>
                <w:rFonts w:ascii="Times New Roman" w:hAnsi="Times New Roman" w:cs="Times New Roman"/>
                <w:sz w:val="20"/>
                <w:szCs w:val="20"/>
              </w:rPr>
            </w:pPr>
            <w:r>
              <w:rPr>
                <w:rFonts w:ascii="Times New Roman" w:hAnsi="Times New Roman" w:cs="Times New Roman"/>
                <w:sz w:val="20"/>
                <w:szCs w:val="20"/>
              </w:rPr>
              <w:t>DMRE overhead</w:t>
            </w:r>
          </w:p>
        </w:tc>
        <w:tc>
          <w:tcPr>
            <w:tcW w:w="6756" w:type="dxa"/>
            <w:tcBorders>
              <w:top w:val="single" w:sz="4" w:space="0" w:color="auto"/>
              <w:left w:val="nil"/>
              <w:bottom w:val="single" w:sz="4" w:space="0" w:color="auto"/>
              <w:right w:val="single" w:sz="4" w:space="0" w:color="auto"/>
            </w:tcBorders>
            <w:vAlign w:val="center"/>
            <w:hideMark/>
          </w:tcPr>
          <w:p w:rsidR="00240F59" w:rsidRDefault="00240F59">
            <w:pPr>
              <w:pStyle w:val="xmsonormal"/>
              <w:spacing w:before="120" w:after="120"/>
              <w:jc w:val="left"/>
              <w:rPr>
                <w:rFonts w:ascii="Times New Roman" w:hAnsi="Times New Roman" w:cs="Times New Roman"/>
                <w:sz w:val="20"/>
                <w:szCs w:val="20"/>
              </w:rPr>
            </w:pPr>
            <w:r>
              <w:rPr>
                <w:rFonts w:ascii="Times New Roman" w:hAnsi="Times New Roman" w:cs="Times New Roman"/>
                <w:sz w:val="20"/>
                <w:szCs w:val="20"/>
              </w:rPr>
              <w:t>4RE</w:t>
            </w:r>
          </w:p>
        </w:tc>
      </w:tr>
    </w:tbl>
    <w:p w:rsidR="00240F59" w:rsidRDefault="00240F59" w:rsidP="00240F59">
      <w:pPr>
        <w:pStyle w:val="References"/>
        <w:numPr>
          <w:ilvl w:val="0"/>
          <w:numId w:val="0"/>
        </w:numPr>
        <w:spacing w:before="120" w:after="120"/>
        <w:ind w:left="363"/>
        <w:rPr>
          <w:szCs w:val="21"/>
        </w:rPr>
      </w:pPr>
    </w:p>
    <w:sectPr w:rsidR="00240F59" w:rsidSect="00B94A4B">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31A" w:rsidRDefault="00C1431A" w:rsidP="002B2EC1">
      <w:pPr>
        <w:spacing w:before="120" w:after="120" w:line="240" w:lineRule="auto"/>
      </w:pPr>
      <w:r>
        <w:separator/>
      </w:r>
    </w:p>
  </w:endnote>
  <w:endnote w:type="continuationSeparator" w:id="0">
    <w:p w:rsidR="00C1431A" w:rsidRDefault="00C1431A" w:rsidP="002B2EC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EC1" w:rsidRDefault="002B2EC1">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EC1" w:rsidRDefault="00C1431A">
    <w:pPr>
      <w:pStyle w:val="a8"/>
      <w:spacing w:before="120" w:after="120"/>
    </w:pPr>
    <w:r>
      <w:pict w14:anchorId="571700F0">
        <v:shapetype id="_x0000_t202" coordsize="21600,21600" o:spt="202" path="m,l,21600r21600,l21600,xe">
          <v:stroke joinstyle="miter"/>
          <v:path gradientshapeok="t" o:connecttype="rect"/>
        </v:shapetype>
        <v:shape id="文本框 1" o:spid="_x0000_s2050" type="#_x0000_t202" style="position:absolute;margin-left:0;margin-top:0;width:4.55pt;height:22.35pt;z-index:251659264;mso-wrap-style:none;mso-position-horizontal:center;mso-position-horizontal-relative:margin" o:gfxdata="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RS0ODRAAAAAgEAAA8AAAAA&#10;AAAAAQAgAAAAIgAAAGRycy9kb3ducmV2LnhtbFBLAQIUABQAAAAIAIdO4kAQlQ0lGwIAABIEAAAO&#10;AAAAAAAAAAEAIAAAACABAABkcnMvZTJvRG9jLnhtbFBLBQYAAAAABgAGAFkBAACtBQAAAAA=&#10;" filled="f" stroked="f" strokeweight=".5pt">
          <v:textbox style="mso-fit-shape-to-text:t" inset="0,0,0,0">
            <w:txbxContent>
              <w:p w:rsidR="002B2EC1" w:rsidRDefault="0021674D">
                <w:pPr>
                  <w:pStyle w:val="a8"/>
                  <w:spacing w:before="120" w:after="120"/>
                </w:pPr>
                <w:r>
                  <w:fldChar w:fldCharType="begin"/>
                </w:r>
                <w:r>
                  <w:instrText xml:space="preserve"> PAGE  \* MERGEFORMAT </w:instrText>
                </w:r>
                <w:r>
                  <w:fldChar w:fldCharType="separate"/>
                </w:r>
                <w:r w:rsidR="00E04D3C">
                  <w:rPr>
                    <w:noProof/>
                  </w:rPr>
                  <w:t>11</w:t>
                </w:r>
                <w:r>
                  <w:rPr>
                    <w:noProof/>
                  </w:rP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EC1" w:rsidRDefault="002B2EC1">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31A" w:rsidRDefault="00C1431A" w:rsidP="002B2EC1">
      <w:pPr>
        <w:spacing w:before="120" w:after="120" w:line="240" w:lineRule="auto"/>
      </w:pPr>
      <w:r>
        <w:separator/>
      </w:r>
    </w:p>
  </w:footnote>
  <w:footnote w:type="continuationSeparator" w:id="0">
    <w:p w:rsidR="00C1431A" w:rsidRDefault="00C1431A" w:rsidP="002B2EC1">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EC1" w:rsidRDefault="002B2EC1">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EC1" w:rsidRDefault="002B2EC1">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EC1" w:rsidRDefault="002B2EC1">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1BEBB2"/>
    <w:multiLevelType w:val="singleLevel"/>
    <w:tmpl w:val="971BEBB2"/>
    <w:lvl w:ilvl="0">
      <w:start w:val="1"/>
      <w:numFmt w:val="bullet"/>
      <w:lvlText w:val=""/>
      <w:lvlJc w:val="left"/>
      <w:pPr>
        <w:ind w:left="420" w:hanging="420"/>
      </w:pPr>
      <w:rPr>
        <w:rFonts w:ascii="Wingdings" w:hAnsi="Wingdings" w:hint="default"/>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nsid w:val="B871B2C2"/>
    <w:multiLevelType w:val="singleLevel"/>
    <w:tmpl w:val="B871B2C2"/>
    <w:lvl w:ilvl="0">
      <w:start w:val="1"/>
      <w:numFmt w:val="lowerLetter"/>
      <w:suff w:val="space"/>
      <w:lvlText w:val="(%1)"/>
      <w:lvlJc w:val="left"/>
    </w:lvl>
  </w:abstractNum>
  <w:abstractNum w:abstractNumId="3">
    <w:nsid w:val="BDDBCC53"/>
    <w:multiLevelType w:val="multilevel"/>
    <w:tmpl w:val="BDDBCC5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5C8771D"/>
    <w:multiLevelType w:val="multilevel"/>
    <w:tmpl w:val="05C87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37CE06"/>
    <w:multiLevelType w:val="multilevel"/>
    <w:tmpl w:val="0737CE06"/>
    <w:lvl w:ilvl="0">
      <w:start w:val="1"/>
      <w:numFmt w:val="decimal"/>
      <w:pStyle w:val="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Times New Roman"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077D0197"/>
    <w:multiLevelType w:val="multilevel"/>
    <w:tmpl w:val="077D01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nsid w:val="15C008CA"/>
    <w:multiLevelType w:val="multilevel"/>
    <w:tmpl w:val="15C008CA"/>
    <w:lvl w:ilvl="0">
      <w:start w:val="1"/>
      <w:numFmt w:val="bullet"/>
      <w:lvlText w:val="•"/>
      <w:lvlJc w:val="left"/>
      <w:pPr>
        <w:ind w:left="720" w:hanging="360"/>
      </w:pPr>
      <w:rPr>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D875B8"/>
    <w:multiLevelType w:val="multilevel"/>
    <w:tmpl w:val="1AD875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201F7CE7"/>
    <w:multiLevelType w:val="multilevel"/>
    <w:tmpl w:val="201F7CE7"/>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nsid w:val="26053ABB"/>
    <w:multiLevelType w:val="multilevel"/>
    <w:tmpl w:val="26053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426330D3"/>
    <w:multiLevelType w:val="singleLevel"/>
    <w:tmpl w:val="426330D3"/>
    <w:lvl w:ilvl="0">
      <w:start w:val="1"/>
      <w:numFmt w:val="bullet"/>
      <w:lvlText w:val=""/>
      <w:lvlJc w:val="left"/>
      <w:pPr>
        <w:ind w:left="420" w:hanging="420"/>
      </w:pPr>
      <w:rPr>
        <w:rFonts w:ascii="Wingdings" w:hAnsi="Wingdings" w:hint="default"/>
      </w:rPr>
    </w:lvl>
  </w:abstractNum>
  <w:abstractNum w:abstractNumId="14">
    <w:nsid w:val="4DA03868"/>
    <w:multiLevelType w:val="multilevel"/>
    <w:tmpl w:val="4DA038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504E784C"/>
    <w:multiLevelType w:val="multilevel"/>
    <w:tmpl w:val="504E7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D1FD633"/>
    <w:multiLevelType w:val="multilevel"/>
    <w:tmpl w:val="5D1FD63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nsid w:val="60C06AA1"/>
    <w:multiLevelType w:val="multilevel"/>
    <w:tmpl w:val="60C06AA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7277F3D2"/>
    <w:multiLevelType w:val="singleLevel"/>
    <w:tmpl w:val="7277F3D2"/>
    <w:lvl w:ilvl="0">
      <w:start w:val="1"/>
      <w:numFmt w:val="decimal"/>
      <w:pStyle w:val="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9">
    <w:nsid w:val="776D6CD5"/>
    <w:multiLevelType w:val="multilevel"/>
    <w:tmpl w:val="776D6C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7B8F6157"/>
    <w:multiLevelType w:val="multilevel"/>
    <w:tmpl w:val="7B8F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7CB97A3A"/>
    <w:multiLevelType w:val="singleLevel"/>
    <w:tmpl w:val="7CB97A3A"/>
    <w:lvl w:ilvl="0">
      <w:start w:val="1"/>
      <w:numFmt w:val="bullet"/>
      <w:lvlText w:val=""/>
      <w:lvlJc w:val="left"/>
      <w:pPr>
        <w:ind w:left="420" w:hanging="420"/>
      </w:pPr>
      <w:rPr>
        <w:rFonts w:ascii="Wingdings" w:hAnsi="Wingdings" w:hint="default"/>
      </w:rPr>
    </w:lvl>
  </w:abstractNum>
  <w:num w:numId="1">
    <w:abstractNumId w:val="7"/>
  </w:num>
  <w:num w:numId="2">
    <w:abstractNumId w:val="12"/>
  </w:num>
  <w:num w:numId="3">
    <w:abstractNumId w:val="5"/>
  </w:num>
  <w:num w:numId="4">
    <w:abstractNumId w:val="18"/>
  </w:num>
  <w:num w:numId="5">
    <w:abstractNumId w:val="1"/>
  </w:num>
  <w:num w:numId="6">
    <w:abstractNumId w:val="10"/>
  </w:num>
  <w:num w:numId="7">
    <w:abstractNumId w:val="9"/>
  </w:num>
  <w:num w:numId="8">
    <w:abstractNumId w:val="17"/>
  </w:num>
  <w:num w:numId="9">
    <w:abstractNumId w:val="14"/>
  </w:num>
  <w:num w:numId="10">
    <w:abstractNumId w:val="6"/>
  </w:num>
  <w:num w:numId="11">
    <w:abstractNumId w:val="4"/>
  </w:num>
  <w:num w:numId="12">
    <w:abstractNumId w:val="20"/>
  </w:num>
  <w:num w:numId="13">
    <w:abstractNumId w:val="15"/>
  </w:num>
  <w:num w:numId="14">
    <w:abstractNumId w:val="11"/>
  </w:num>
  <w:num w:numId="15">
    <w:abstractNumId w:val="21"/>
  </w:num>
  <w:num w:numId="16">
    <w:abstractNumId w:val="8"/>
  </w:num>
  <w:num w:numId="17">
    <w:abstractNumId w:val="19"/>
  </w:num>
  <w:num w:numId="18">
    <w:abstractNumId w:val="13"/>
  </w:num>
  <w:num w:numId="19">
    <w:abstractNumId w:val="2"/>
  </w:num>
  <w:num w:numId="20">
    <w:abstractNumId w:val="16"/>
  </w:num>
  <w:num w:numId="21">
    <w:abstractNumId w:val="3"/>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23D5E"/>
    <w:rsid w:val="00047836"/>
    <w:rsid w:val="00072FB0"/>
    <w:rsid w:val="00087364"/>
    <w:rsid w:val="000B287E"/>
    <w:rsid w:val="000B71A3"/>
    <w:rsid w:val="000F04E2"/>
    <w:rsid w:val="000F7BB1"/>
    <w:rsid w:val="00103CA2"/>
    <w:rsid w:val="00112044"/>
    <w:rsid w:val="00153BF7"/>
    <w:rsid w:val="00195F46"/>
    <w:rsid w:val="001A28E6"/>
    <w:rsid w:val="001A6D92"/>
    <w:rsid w:val="001B5AA9"/>
    <w:rsid w:val="001C196F"/>
    <w:rsid w:val="0021674D"/>
    <w:rsid w:val="00240F59"/>
    <w:rsid w:val="00272391"/>
    <w:rsid w:val="002B2EC1"/>
    <w:rsid w:val="002B4661"/>
    <w:rsid w:val="002F3463"/>
    <w:rsid w:val="003122DC"/>
    <w:rsid w:val="0034156C"/>
    <w:rsid w:val="00344626"/>
    <w:rsid w:val="003A1DCE"/>
    <w:rsid w:val="003B169A"/>
    <w:rsid w:val="003D1B97"/>
    <w:rsid w:val="0040064E"/>
    <w:rsid w:val="00413E38"/>
    <w:rsid w:val="00437DB2"/>
    <w:rsid w:val="004545A5"/>
    <w:rsid w:val="004A699E"/>
    <w:rsid w:val="004B44A9"/>
    <w:rsid w:val="004C40B9"/>
    <w:rsid w:val="004C541B"/>
    <w:rsid w:val="00502002"/>
    <w:rsid w:val="005176E7"/>
    <w:rsid w:val="00523D5E"/>
    <w:rsid w:val="00571707"/>
    <w:rsid w:val="005733C7"/>
    <w:rsid w:val="00574776"/>
    <w:rsid w:val="00577319"/>
    <w:rsid w:val="005A54AD"/>
    <w:rsid w:val="005E0167"/>
    <w:rsid w:val="005E2B3F"/>
    <w:rsid w:val="005F6729"/>
    <w:rsid w:val="006179F7"/>
    <w:rsid w:val="00617EE7"/>
    <w:rsid w:val="00640B94"/>
    <w:rsid w:val="00646EAA"/>
    <w:rsid w:val="0065371F"/>
    <w:rsid w:val="00691D8D"/>
    <w:rsid w:val="006D417E"/>
    <w:rsid w:val="006D7D0A"/>
    <w:rsid w:val="006E41B6"/>
    <w:rsid w:val="00725534"/>
    <w:rsid w:val="007C440F"/>
    <w:rsid w:val="007D67FA"/>
    <w:rsid w:val="007E1961"/>
    <w:rsid w:val="007E4A23"/>
    <w:rsid w:val="00803E19"/>
    <w:rsid w:val="008174DA"/>
    <w:rsid w:val="00832337"/>
    <w:rsid w:val="00835C7C"/>
    <w:rsid w:val="00837222"/>
    <w:rsid w:val="00857E93"/>
    <w:rsid w:val="00874ED4"/>
    <w:rsid w:val="008A2EBD"/>
    <w:rsid w:val="008B6EC4"/>
    <w:rsid w:val="008E008F"/>
    <w:rsid w:val="008E05B1"/>
    <w:rsid w:val="0093617A"/>
    <w:rsid w:val="009A42AF"/>
    <w:rsid w:val="009B05AD"/>
    <w:rsid w:val="009E1D95"/>
    <w:rsid w:val="009E4656"/>
    <w:rsid w:val="00A33BD9"/>
    <w:rsid w:val="00A4182C"/>
    <w:rsid w:val="00A47CF1"/>
    <w:rsid w:val="00A81C3B"/>
    <w:rsid w:val="00A9161E"/>
    <w:rsid w:val="00AA2204"/>
    <w:rsid w:val="00AA530A"/>
    <w:rsid w:val="00AA74F5"/>
    <w:rsid w:val="00AE5530"/>
    <w:rsid w:val="00AF16CD"/>
    <w:rsid w:val="00B11405"/>
    <w:rsid w:val="00B35DE9"/>
    <w:rsid w:val="00B40F14"/>
    <w:rsid w:val="00B535E5"/>
    <w:rsid w:val="00B53DA8"/>
    <w:rsid w:val="00B76717"/>
    <w:rsid w:val="00B84B76"/>
    <w:rsid w:val="00B86AC1"/>
    <w:rsid w:val="00B8736C"/>
    <w:rsid w:val="00B935D4"/>
    <w:rsid w:val="00B94A4B"/>
    <w:rsid w:val="00BB08C4"/>
    <w:rsid w:val="00BD4B7A"/>
    <w:rsid w:val="00BD72A5"/>
    <w:rsid w:val="00BF22C5"/>
    <w:rsid w:val="00BF526E"/>
    <w:rsid w:val="00C1431A"/>
    <w:rsid w:val="00C15CED"/>
    <w:rsid w:val="00C16E81"/>
    <w:rsid w:val="00C22FCF"/>
    <w:rsid w:val="00C66A05"/>
    <w:rsid w:val="00C67DFE"/>
    <w:rsid w:val="00CB0A47"/>
    <w:rsid w:val="00CB7FB3"/>
    <w:rsid w:val="00CC7E15"/>
    <w:rsid w:val="00D11076"/>
    <w:rsid w:val="00D20D19"/>
    <w:rsid w:val="00D24674"/>
    <w:rsid w:val="00D83598"/>
    <w:rsid w:val="00D838A0"/>
    <w:rsid w:val="00D839A5"/>
    <w:rsid w:val="00D92AC3"/>
    <w:rsid w:val="00DD6616"/>
    <w:rsid w:val="00E04D3C"/>
    <w:rsid w:val="00E065EF"/>
    <w:rsid w:val="00E24C34"/>
    <w:rsid w:val="00E337D1"/>
    <w:rsid w:val="00E52879"/>
    <w:rsid w:val="00E82DCB"/>
    <w:rsid w:val="00E90940"/>
    <w:rsid w:val="00E92BF0"/>
    <w:rsid w:val="00E94718"/>
    <w:rsid w:val="00EF58E4"/>
    <w:rsid w:val="00F015FC"/>
    <w:rsid w:val="00F3146F"/>
    <w:rsid w:val="00F6257A"/>
    <w:rsid w:val="00F82200"/>
    <w:rsid w:val="00F95A32"/>
    <w:rsid w:val="00FA6AF6"/>
    <w:rsid w:val="00FB72C5"/>
    <w:rsid w:val="00FC5D4D"/>
    <w:rsid w:val="00FF00B3"/>
    <w:rsid w:val="010D0267"/>
    <w:rsid w:val="01116D56"/>
    <w:rsid w:val="01A53744"/>
    <w:rsid w:val="01B74129"/>
    <w:rsid w:val="02306AF2"/>
    <w:rsid w:val="02E733D8"/>
    <w:rsid w:val="03974615"/>
    <w:rsid w:val="046249EF"/>
    <w:rsid w:val="04B147BC"/>
    <w:rsid w:val="05440B32"/>
    <w:rsid w:val="05D90056"/>
    <w:rsid w:val="05DD3B0E"/>
    <w:rsid w:val="06A12B72"/>
    <w:rsid w:val="07537003"/>
    <w:rsid w:val="0768607F"/>
    <w:rsid w:val="07E43613"/>
    <w:rsid w:val="07F83CDD"/>
    <w:rsid w:val="083900EE"/>
    <w:rsid w:val="089D4BC3"/>
    <w:rsid w:val="09274C7B"/>
    <w:rsid w:val="0A902401"/>
    <w:rsid w:val="0AFF380B"/>
    <w:rsid w:val="0B24227A"/>
    <w:rsid w:val="0BE9216B"/>
    <w:rsid w:val="0C243614"/>
    <w:rsid w:val="0C937D96"/>
    <w:rsid w:val="0CBA3E26"/>
    <w:rsid w:val="0CC86926"/>
    <w:rsid w:val="0CCA2E65"/>
    <w:rsid w:val="0DC46801"/>
    <w:rsid w:val="0E9E306F"/>
    <w:rsid w:val="0F244800"/>
    <w:rsid w:val="0F913335"/>
    <w:rsid w:val="10FB35A5"/>
    <w:rsid w:val="110E7959"/>
    <w:rsid w:val="1127264D"/>
    <w:rsid w:val="115863AE"/>
    <w:rsid w:val="116237ED"/>
    <w:rsid w:val="118F4329"/>
    <w:rsid w:val="11AC5FF4"/>
    <w:rsid w:val="120B2D4E"/>
    <w:rsid w:val="12331CC0"/>
    <w:rsid w:val="12753E07"/>
    <w:rsid w:val="13B07F3E"/>
    <w:rsid w:val="140876D8"/>
    <w:rsid w:val="14430ED7"/>
    <w:rsid w:val="145E7A95"/>
    <w:rsid w:val="16455636"/>
    <w:rsid w:val="16E21508"/>
    <w:rsid w:val="17613E3F"/>
    <w:rsid w:val="18655B8E"/>
    <w:rsid w:val="18C06461"/>
    <w:rsid w:val="193337BA"/>
    <w:rsid w:val="19733859"/>
    <w:rsid w:val="1A7272B3"/>
    <w:rsid w:val="1AAD0BB3"/>
    <w:rsid w:val="1AE26A3D"/>
    <w:rsid w:val="1BBB692B"/>
    <w:rsid w:val="1CEB46F7"/>
    <w:rsid w:val="1E0236EC"/>
    <w:rsid w:val="1E0F1EAB"/>
    <w:rsid w:val="1E3D3EBB"/>
    <w:rsid w:val="1E4B2FD7"/>
    <w:rsid w:val="1EA50F33"/>
    <w:rsid w:val="1F3A5F92"/>
    <w:rsid w:val="1F6C48C4"/>
    <w:rsid w:val="1FDC0C2A"/>
    <w:rsid w:val="201965D3"/>
    <w:rsid w:val="2053493C"/>
    <w:rsid w:val="20DD7F39"/>
    <w:rsid w:val="20F25221"/>
    <w:rsid w:val="2165140C"/>
    <w:rsid w:val="22C4277A"/>
    <w:rsid w:val="239549BE"/>
    <w:rsid w:val="24C674E1"/>
    <w:rsid w:val="254369E7"/>
    <w:rsid w:val="25494E1D"/>
    <w:rsid w:val="257147D2"/>
    <w:rsid w:val="257A74F9"/>
    <w:rsid w:val="258D735D"/>
    <w:rsid w:val="25DF6A97"/>
    <w:rsid w:val="25E6024A"/>
    <w:rsid w:val="26212585"/>
    <w:rsid w:val="26282ED7"/>
    <w:rsid w:val="27962ACA"/>
    <w:rsid w:val="29815F2B"/>
    <w:rsid w:val="29F45543"/>
    <w:rsid w:val="29F52544"/>
    <w:rsid w:val="2B7C6921"/>
    <w:rsid w:val="2B9556F5"/>
    <w:rsid w:val="2BFE1EDB"/>
    <w:rsid w:val="2C1F32E8"/>
    <w:rsid w:val="2C552CB4"/>
    <w:rsid w:val="2C7226C5"/>
    <w:rsid w:val="2CBC0FFA"/>
    <w:rsid w:val="2D006219"/>
    <w:rsid w:val="2D410346"/>
    <w:rsid w:val="2D8A76F5"/>
    <w:rsid w:val="2D9E7CAE"/>
    <w:rsid w:val="2DE2223D"/>
    <w:rsid w:val="2DE40DD4"/>
    <w:rsid w:val="2E270A97"/>
    <w:rsid w:val="2E2E238E"/>
    <w:rsid w:val="2EAD7170"/>
    <w:rsid w:val="2ED67D31"/>
    <w:rsid w:val="2F7829B7"/>
    <w:rsid w:val="2FDB72F7"/>
    <w:rsid w:val="308645E8"/>
    <w:rsid w:val="30E14993"/>
    <w:rsid w:val="30EF21BA"/>
    <w:rsid w:val="31220A0B"/>
    <w:rsid w:val="322A09EC"/>
    <w:rsid w:val="32F707FF"/>
    <w:rsid w:val="330D52B8"/>
    <w:rsid w:val="331E1C54"/>
    <w:rsid w:val="33644008"/>
    <w:rsid w:val="33666803"/>
    <w:rsid w:val="338C018A"/>
    <w:rsid w:val="340C4063"/>
    <w:rsid w:val="343B5578"/>
    <w:rsid w:val="3465056A"/>
    <w:rsid w:val="346866A1"/>
    <w:rsid w:val="348167F0"/>
    <w:rsid w:val="3507732C"/>
    <w:rsid w:val="371F5FD4"/>
    <w:rsid w:val="38AB3C78"/>
    <w:rsid w:val="39221703"/>
    <w:rsid w:val="39283EEC"/>
    <w:rsid w:val="39720D30"/>
    <w:rsid w:val="398473E8"/>
    <w:rsid w:val="39C269E0"/>
    <w:rsid w:val="3A0E4E62"/>
    <w:rsid w:val="3A711825"/>
    <w:rsid w:val="3AF21E9B"/>
    <w:rsid w:val="3B50783E"/>
    <w:rsid w:val="3B6A281B"/>
    <w:rsid w:val="3BB94D10"/>
    <w:rsid w:val="3D0D553D"/>
    <w:rsid w:val="3D243E35"/>
    <w:rsid w:val="3D3D696D"/>
    <w:rsid w:val="3D8356CA"/>
    <w:rsid w:val="3DA75BB4"/>
    <w:rsid w:val="3F323523"/>
    <w:rsid w:val="3FED10C4"/>
    <w:rsid w:val="400F717A"/>
    <w:rsid w:val="402551CC"/>
    <w:rsid w:val="40AD7C5B"/>
    <w:rsid w:val="41C36A02"/>
    <w:rsid w:val="4237497C"/>
    <w:rsid w:val="43255500"/>
    <w:rsid w:val="435C6176"/>
    <w:rsid w:val="43806B74"/>
    <w:rsid w:val="43A77AB2"/>
    <w:rsid w:val="43E65B03"/>
    <w:rsid w:val="43F669C3"/>
    <w:rsid w:val="44F61A48"/>
    <w:rsid w:val="45AD524F"/>
    <w:rsid w:val="45AE36B8"/>
    <w:rsid w:val="45CF7FBC"/>
    <w:rsid w:val="46400CA9"/>
    <w:rsid w:val="467929B2"/>
    <w:rsid w:val="46995FD1"/>
    <w:rsid w:val="4745188E"/>
    <w:rsid w:val="479D3544"/>
    <w:rsid w:val="48171903"/>
    <w:rsid w:val="48323CC7"/>
    <w:rsid w:val="48B863E7"/>
    <w:rsid w:val="48C55381"/>
    <w:rsid w:val="494305AE"/>
    <w:rsid w:val="4A0C5C2E"/>
    <w:rsid w:val="4A0F6E1A"/>
    <w:rsid w:val="4A284B3F"/>
    <w:rsid w:val="4BF61A49"/>
    <w:rsid w:val="4C251632"/>
    <w:rsid w:val="4C266DAF"/>
    <w:rsid w:val="4C4A29A2"/>
    <w:rsid w:val="4CF21886"/>
    <w:rsid w:val="4D2B1C5F"/>
    <w:rsid w:val="4D5E5A56"/>
    <w:rsid w:val="4EA45038"/>
    <w:rsid w:val="4F053AD4"/>
    <w:rsid w:val="4F880F0E"/>
    <w:rsid w:val="4F9B4517"/>
    <w:rsid w:val="50662285"/>
    <w:rsid w:val="50B77EE3"/>
    <w:rsid w:val="51351C9B"/>
    <w:rsid w:val="5159308A"/>
    <w:rsid w:val="51902457"/>
    <w:rsid w:val="51AA7D08"/>
    <w:rsid w:val="51DF2711"/>
    <w:rsid w:val="5249313E"/>
    <w:rsid w:val="52527419"/>
    <w:rsid w:val="525A4669"/>
    <w:rsid w:val="52F367E9"/>
    <w:rsid w:val="533550AB"/>
    <w:rsid w:val="5352327A"/>
    <w:rsid w:val="543B2FCB"/>
    <w:rsid w:val="546A6559"/>
    <w:rsid w:val="54733F7A"/>
    <w:rsid w:val="54EC1FC6"/>
    <w:rsid w:val="55B13035"/>
    <w:rsid w:val="55C708F6"/>
    <w:rsid w:val="56015FD4"/>
    <w:rsid w:val="56087037"/>
    <w:rsid w:val="56534D2A"/>
    <w:rsid w:val="56BB5794"/>
    <w:rsid w:val="56C75E65"/>
    <w:rsid w:val="57703672"/>
    <w:rsid w:val="57823D14"/>
    <w:rsid w:val="57C82DD9"/>
    <w:rsid w:val="57F7343E"/>
    <w:rsid w:val="583F1055"/>
    <w:rsid w:val="585A018E"/>
    <w:rsid w:val="58744829"/>
    <w:rsid w:val="59B5672C"/>
    <w:rsid w:val="5A5B739C"/>
    <w:rsid w:val="5A83298E"/>
    <w:rsid w:val="5AE51650"/>
    <w:rsid w:val="5B5265A7"/>
    <w:rsid w:val="5BB36D0A"/>
    <w:rsid w:val="5BEA7806"/>
    <w:rsid w:val="5CC00825"/>
    <w:rsid w:val="5CC14996"/>
    <w:rsid w:val="5D38401E"/>
    <w:rsid w:val="5E2C3252"/>
    <w:rsid w:val="5EEC29C3"/>
    <w:rsid w:val="5FA4478F"/>
    <w:rsid w:val="5FFA2F3B"/>
    <w:rsid w:val="606850F6"/>
    <w:rsid w:val="606A4501"/>
    <w:rsid w:val="60767889"/>
    <w:rsid w:val="610B1EC3"/>
    <w:rsid w:val="612B0DCB"/>
    <w:rsid w:val="616138BF"/>
    <w:rsid w:val="61F34165"/>
    <w:rsid w:val="62426D4A"/>
    <w:rsid w:val="624F7D90"/>
    <w:rsid w:val="62842199"/>
    <w:rsid w:val="62896288"/>
    <w:rsid w:val="62AB0925"/>
    <w:rsid w:val="63A94A31"/>
    <w:rsid w:val="645214CF"/>
    <w:rsid w:val="645724AF"/>
    <w:rsid w:val="6487530B"/>
    <w:rsid w:val="64A10B3E"/>
    <w:rsid w:val="64A118B1"/>
    <w:rsid w:val="64CF3CAA"/>
    <w:rsid w:val="655F6DD9"/>
    <w:rsid w:val="658855D4"/>
    <w:rsid w:val="65A8095A"/>
    <w:rsid w:val="680328B7"/>
    <w:rsid w:val="68774632"/>
    <w:rsid w:val="692C4F44"/>
    <w:rsid w:val="697D4944"/>
    <w:rsid w:val="6AF47AD0"/>
    <w:rsid w:val="6B2726B5"/>
    <w:rsid w:val="6B3F4A26"/>
    <w:rsid w:val="6BB54D4E"/>
    <w:rsid w:val="6C014982"/>
    <w:rsid w:val="6C077B7C"/>
    <w:rsid w:val="6C93673A"/>
    <w:rsid w:val="6CE93DEC"/>
    <w:rsid w:val="6D0C70FA"/>
    <w:rsid w:val="6E1F0F34"/>
    <w:rsid w:val="6EAE41DE"/>
    <w:rsid w:val="6F70301C"/>
    <w:rsid w:val="6F8B6285"/>
    <w:rsid w:val="6FB95193"/>
    <w:rsid w:val="6FEE7F40"/>
    <w:rsid w:val="70B73E00"/>
    <w:rsid w:val="70D9446F"/>
    <w:rsid w:val="711E6ABB"/>
    <w:rsid w:val="7145398D"/>
    <w:rsid w:val="71611C06"/>
    <w:rsid w:val="71686453"/>
    <w:rsid w:val="71CB6BC8"/>
    <w:rsid w:val="71CD6796"/>
    <w:rsid w:val="71FD5FED"/>
    <w:rsid w:val="72230C1B"/>
    <w:rsid w:val="729310B6"/>
    <w:rsid w:val="72DB349B"/>
    <w:rsid w:val="73062CBE"/>
    <w:rsid w:val="738A6877"/>
    <w:rsid w:val="73941900"/>
    <w:rsid w:val="739C4779"/>
    <w:rsid w:val="743255C6"/>
    <w:rsid w:val="74472CC7"/>
    <w:rsid w:val="74FD176E"/>
    <w:rsid w:val="75F83FB4"/>
    <w:rsid w:val="76524919"/>
    <w:rsid w:val="766F3A66"/>
    <w:rsid w:val="76A12DC3"/>
    <w:rsid w:val="771A3278"/>
    <w:rsid w:val="773C43E6"/>
    <w:rsid w:val="778B2B7B"/>
    <w:rsid w:val="77A61394"/>
    <w:rsid w:val="77B856B5"/>
    <w:rsid w:val="78091695"/>
    <w:rsid w:val="78602ABF"/>
    <w:rsid w:val="78D02FB6"/>
    <w:rsid w:val="79103037"/>
    <w:rsid w:val="79392A29"/>
    <w:rsid w:val="795C7162"/>
    <w:rsid w:val="799D7539"/>
    <w:rsid w:val="799F72C4"/>
    <w:rsid w:val="79F947A0"/>
    <w:rsid w:val="7A7F6A39"/>
    <w:rsid w:val="7AA85A57"/>
    <w:rsid w:val="7AFA0AB2"/>
    <w:rsid w:val="7AFD3E7F"/>
    <w:rsid w:val="7B274798"/>
    <w:rsid w:val="7B7C479D"/>
    <w:rsid w:val="7BB31913"/>
    <w:rsid w:val="7C065702"/>
    <w:rsid w:val="7CEA65EE"/>
    <w:rsid w:val="7CFD68A1"/>
    <w:rsid w:val="7D9142A9"/>
    <w:rsid w:val="7E575AC2"/>
    <w:rsid w:val="7E937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DB699981-53D9-4D07-84CC-735FF8EF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A4B"/>
    <w:pPr>
      <w:spacing w:beforeLines="50" w:afterLines="50" w:line="259" w:lineRule="auto"/>
      <w:jc w:val="both"/>
    </w:pPr>
    <w:rPr>
      <w:kern w:val="2"/>
      <w:sz w:val="21"/>
    </w:rPr>
  </w:style>
  <w:style w:type="paragraph" w:styleId="1">
    <w:name w:val="heading 1"/>
    <w:basedOn w:val="a"/>
    <w:next w:val="a"/>
    <w:link w:val="1Char"/>
    <w:qFormat/>
    <w:rsid w:val="00B94A4B"/>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B94A4B"/>
    <w:pPr>
      <w:numPr>
        <w:ilvl w:val="1"/>
      </w:numPr>
      <w:pBdr>
        <w:top w:val="none" w:sz="0" w:space="0" w:color="auto"/>
      </w:pBdr>
      <w:spacing w:before="180"/>
      <w:ind w:left="993" w:rightChars="100" w:right="100"/>
      <w:outlineLvl w:val="1"/>
    </w:pPr>
    <w:rPr>
      <w:sz w:val="28"/>
    </w:rPr>
  </w:style>
  <w:style w:type="paragraph" w:styleId="3">
    <w:name w:val="heading 3"/>
    <w:basedOn w:val="2"/>
    <w:next w:val="a"/>
    <w:link w:val="3Char"/>
    <w:qFormat/>
    <w:rsid w:val="00B94A4B"/>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B94A4B"/>
    <w:pPr>
      <w:ind w:left="1135"/>
    </w:pPr>
  </w:style>
  <w:style w:type="paragraph" w:styleId="20">
    <w:name w:val="List 2"/>
    <w:basedOn w:val="a3"/>
    <w:qFormat/>
    <w:rsid w:val="00B94A4B"/>
    <w:pPr>
      <w:ind w:left="851"/>
    </w:pPr>
  </w:style>
  <w:style w:type="paragraph" w:styleId="a3">
    <w:name w:val="List"/>
    <w:basedOn w:val="a"/>
    <w:qFormat/>
    <w:rsid w:val="00B94A4B"/>
    <w:pPr>
      <w:ind w:left="568" w:hanging="284"/>
    </w:pPr>
  </w:style>
  <w:style w:type="paragraph" w:styleId="a4">
    <w:name w:val="caption"/>
    <w:basedOn w:val="a"/>
    <w:next w:val="a"/>
    <w:uiPriority w:val="99"/>
    <w:unhideWhenUsed/>
    <w:qFormat/>
    <w:rsid w:val="00B94A4B"/>
    <w:rPr>
      <w:rFonts w:ascii="Arial" w:eastAsia="黑体" w:hAnsi="Arial"/>
      <w:sz w:val="20"/>
    </w:rPr>
  </w:style>
  <w:style w:type="paragraph" w:styleId="a5">
    <w:name w:val="Document Map"/>
    <w:basedOn w:val="a"/>
    <w:link w:val="Char"/>
    <w:uiPriority w:val="99"/>
    <w:semiHidden/>
    <w:unhideWhenUsed/>
    <w:qFormat/>
    <w:rsid w:val="00B94A4B"/>
    <w:rPr>
      <w:rFonts w:ascii="宋体"/>
      <w:sz w:val="18"/>
      <w:szCs w:val="18"/>
    </w:rPr>
  </w:style>
  <w:style w:type="paragraph" w:styleId="a6">
    <w:name w:val="annotation text"/>
    <w:basedOn w:val="a"/>
    <w:link w:val="Char0"/>
    <w:qFormat/>
    <w:rsid w:val="00B94A4B"/>
  </w:style>
  <w:style w:type="paragraph" w:styleId="a7">
    <w:name w:val="Balloon Text"/>
    <w:basedOn w:val="a"/>
    <w:link w:val="Char1"/>
    <w:uiPriority w:val="99"/>
    <w:semiHidden/>
    <w:unhideWhenUsed/>
    <w:qFormat/>
    <w:rsid w:val="00B94A4B"/>
    <w:rPr>
      <w:sz w:val="18"/>
      <w:szCs w:val="18"/>
    </w:rPr>
  </w:style>
  <w:style w:type="paragraph" w:styleId="a8">
    <w:name w:val="footer"/>
    <w:basedOn w:val="a"/>
    <w:link w:val="Char2"/>
    <w:uiPriority w:val="99"/>
    <w:semiHidden/>
    <w:unhideWhenUsed/>
    <w:qFormat/>
    <w:rsid w:val="00B94A4B"/>
    <w:pPr>
      <w:tabs>
        <w:tab w:val="center" w:pos="4153"/>
        <w:tab w:val="right" w:pos="8306"/>
      </w:tabs>
      <w:snapToGrid w:val="0"/>
      <w:jc w:val="left"/>
    </w:pPr>
    <w:rPr>
      <w:sz w:val="18"/>
      <w:szCs w:val="18"/>
    </w:rPr>
  </w:style>
  <w:style w:type="paragraph" w:styleId="a9">
    <w:name w:val="header"/>
    <w:basedOn w:val="a"/>
    <w:link w:val="Char3"/>
    <w:semiHidden/>
    <w:qFormat/>
    <w:rsid w:val="00B94A4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B94A4B"/>
    <w:pPr>
      <w:tabs>
        <w:tab w:val="decimal" w:pos="0"/>
        <w:tab w:val="right" w:pos="9660"/>
      </w:tabs>
      <w:ind w:rightChars="200" w:right="420"/>
      <w:jc w:val="left"/>
    </w:pPr>
    <w:rPr>
      <w:b/>
      <w:bCs/>
      <w:i/>
      <w:iCs/>
      <w:sz w:val="20"/>
    </w:rPr>
  </w:style>
  <w:style w:type="paragraph" w:styleId="21">
    <w:name w:val="toc 2"/>
    <w:basedOn w:val="a"/>
    <w:next w:val="a"/>
    <w:uiPriority w:val="39"/>
    <w:unhideWhenUsed/>
    <w:qFormat/>
    <w:rsid w:val="00B94A4B"/>
    <w:pPr>
      <w:ind w:leftChars="200" w:left="420"/>
    </w:pPr>
    <w:rPr>
      <w:b/>
      <w:i/>
      <w:sz w:val="20"/>
    </w:rPr>
  </w:style>
  <w:style w:type="paragraph" w:styleId="aa">
    <w:name w:val="Normal (Web)"/>
    <w:basedOn w:val="a"/>
    <w:uiPriority w:val="99"/>
    <w:unhideWhenUsed/>
    <w:qFormat/>
    <w:rsid w:val="00B94A4B"/>
    <w:pPr>
      <w:spacing w:beforeAutospacing="1" w:afterAutospacing="1"/>
      <w:jc w:val="left"/>
    </w:pPr>
    <w:rPr>
      <w:kern w:val="0"/>
      <w:sz w:val="24"/>
    </w:rPr>
  </w:style>
  <w:style w:type="paragraph" w:styleId="ab">
    <w:name w:val="annotation subject"/>
    <w:basedOn w:val="a6"/>
    <w:next w:val="a6"/>
    <w:link w:val="Char4"/>
    <w:uiPriority w:val="99"/>
    <w:semiHidden/>
    <w:unhideWhenUsed/>
    <w:qFormat/>
    <w:rsid w:val="00B94A4B"/>
    <w:pPr>
      <w:jc w:val="left"/>
    </w:pPr>
    <w:rPr>
      <w:b/>
      <w:bCs/>
    </w:rPr>
  </w:style>
  <w:style w:type="table" w:styleId="ac">
    <w:name w:val="Table Grid"/>
    <w:basedOn w:val="a1"/>
    <w:uiPriority w:val="99"/>
    <w:unhideWhenUsed/>
    <w:qFormat/>
    <w:rsid w:val="00B94A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B94A4B"/>
    <w:rPr>
      <w:b/>
      <w:bCs/>
    </w:rPr>
  </w:style>
  <w:style w:type="character" w:styleId="ae">
    <w:name w:val="Emphasis"/>
    <w:basedOn w:val="a0"/>
    <w:uiPriority w:val="20"/>
    <w:qFormat/>
    <w:rsid w:val="00B94A4B"/>
    <w:rPr>
      <w:i/>
      <w:iCs/>
    </w:rPr>
  </w:style>
  <w:style w:type="character" w:styleId="af">
    <w:name w:val="Hyperlink"/>
    <w:basedOn w:val="a0"/>
    <w:uiPriority w:val="99"/>
    <w:qFormat/>
    <w:rsid w:val="00B94A4B"/>
    <w:rPr>
      <w:color w:val="0000FF"/>
      <w:u w:val="single"/>
    </w:rPr>
  </w:style>
  <w:style w:type="character" w:styleId="af0">
    <w:name w:val="annotation reference"/>
    <w:qFormat/>
    <w:rsid w:val="00B94A4B"/>
    <w:rPr>
      <w:sz w:val="16"/>
    </w:rPr>
  </w:style>
  <w:style w:type="character" w:customStyle="1" w:styleId="1Char">
    <w:name w:val="标题 1 Char"/>
    <w:basedOn w:val="a0"/>
    <w:link w:val="1"/>
    <w:qFormat/>
    <w:rsid w:val="00B94A4B"/>
    <w:rPr>
      <w:rFonts w:ascii="Arial" w:eastAsia="MS Mincho" w:hAnsi="Arial" w:cs="Times New Roman"/>
      <w:sz w:val="32"/>
      <w:szCs w:val="20"/>
    </w:rPr>
  </w:style>
  <w:style w:type="character" w:customStyle="1" w:styleId="2Char">
    <w:name w:val="标题 2 Char"/>
    <w:basedOn w:val="a0"/>
    <w:link w:val="2"/>
    <w:qFormat/>
    <w:rsid w:val="00B94A4B"/>
    <w:rPr>
      <w:rFonts w:ascii="Arial" w:eastAsia="MS Mincho" w:hAnsi="Arial" w:cs="Times New Roman"/>
      <w:sz w:val="28"/>
      <w:szCs w:val="20"/>
    </w:rPr>
  </w:style>
  <w:style w:type="character" w:customStyle="1" w:styleId="3Char">
    <w:name w:val="标题 3 Char"/>
    <w:basedOn w:val="a0"/>
    <w:link w:val="3"/>
    <w:qFormat/>
    <w:rsid w:val="00B94A4B"/>
    <w:rPr>
      <w:rFonts w:ascii="Arial" w:eastAsia="MS Mincho" w:hAnsi="Arial" w:cs="Times New Roman"/>
      <w:sz w:val="24"/>
      <w:szCs w:val="20"/>
    </w:rPr>
  </w:style>
  <w:style w:type="character" w:customStyle="1" w:styleId="Char0">
    <w:name w:val="批注文字 Char"/>
    <w:basedOn w:val="a0"/>
    <w:link w:val="a6"/>
    <w:qFormat/>
    <w:rsid w:val="00B94A4B"/>
    <w:rPr>
      <w:rFonts w:ascii="Times New Roman" w:eastAsia="宋体" w:hAnsi="Times New Roman" w:cs="Times New Roman"/>
      <w:szCs w:val="20"/>
    </w:rPr>
  </w:style>
  <w:style w:type="character" w:customStyle="1" w:styleId="Char2">
    <w:name w:val="页脚 Char"/>
    <w:basedOn w:val="a0"/>
    <w:link w:val="a8"/>
    <w:uiPriority w:val="99"/>
    <w:semiHidden/>
    <w:qFormat/>
    <w:rsid w:val="00B94A4B"/>
    <w:rPr>
      <w:rFonts w:ascii="Times New Roman" w:eastAsia="宋体" w:hAnsi="Times New Roman" w:cs="Times New Roman"/>
      <w:sz w:val="18"/>
      <w:szCs w:val="18"/>
    </w:rPr>
  </w:style>
  <w:style w:type="character" w:customStyle="1" w:styleId="Char3">
    <w:name w:val="页眉 Char"/>
    <w:basedOn w:val="a0"/>
    <w:link w:val="a9"/>
    <w:semiHidden/>
    <w:qFormat/>
    <w:rsid w:val="00B94A4B"/>
    <w:rPr>
      <w:rFonts w:ascii="Times New Roman" w:eastAsia="宋体" w:hAnsi="Times New Roman" w:cs="Times New Roman"/>
      <w:sz w:val="18"/>
      <w:szCs w:val="18"/>
    </w:rPr>
  </w:style>
  <w:style w:type="paragraph" w:customStyle="1" w:styleId="References">
    <w:name w:val="References"/>
    <w:basedOn w:val="a"/>
    <w:qFormat/>
    <w:rsid w:val="00B94A4B"/>
    <w:pPr>
      <w:numPr>
        <w:numId w:val="2"/>
      </w:numPr>
      <w:spacing w:after="60"/>
    </w:pPr>
    <w:rPr>
      <w:szCs w:val="16"/>
    </w:rPr>
  </w:style>
  <w:style w:type="paragraph" w:styleId="af1">
    <w:name w:val="List Paragraph"/>
    <w:basedOn w:val="a"/>
    <w:link w:val="Char5"/>
    <w:uiPriority w:val="34"/>
    <w:qFormat/>
    <w:rsid w:val="00B94A4B"/>
    <w:pPr>
      <w:spacing w:beforeLines="0"/>
      <w:ind w:left="720"/>
      <w:contextualSpacing/>
    </w:pPr>
    <w:rPr>
      <w:rFonts w:eastAsia="Times New Roman"/>
      <w:sz w:val="24"/>
      <w:szCs w:val="24"/>
    </w:rPr>
  </w:style>
  <w:style w:type="character" w:customStyle="1" w:styleId="font21">
    <w:name w:val="font21"/>
    <w:basedOn w:val="a0"/>
    <w:qFormat/>
    <w:rsid w:val="00B94A4B"/>
    <w:rPr>
      <w:rFonts w:ascii="Times New Roman" w:hAnsi="Times New Roman" w:cs="Times New Roman" w:hint="default"/>
      <w:color w:val="000000"/>
      <w:sz w:val="20"/>
      <w:szCs w:val="20"/>
      <w:u w:val="none"/>
    </w:rPr>
  </w:style>
  <w:style w:type="character" w:customStyle="1" w:styleId="font11">
    <w:name w:val="font11"/>
    <w:basedOn w:val="a0"/>
    <w:qFormat/>
    <w:rsid w:val="00B94A4B"/>
    <w:rPr>
      <w:rFonts w:ascii="Symbol" w:hAnsi="Symbol" w:cs="Symbol" w:hint="default"/>
      <w:b/>
      <w:color w:val="000000"/>
      <w:sz w:val="20"/>
      <w:szCs w:val="20"/>
      <w:u w:val="none"/>
    </w:rPr>
  </w:style>
  <w:style w:type="character" w:customStyle="1" w:styleId="font01">
    <w:name w:val="font01"/>
    <w:basedOn w:val="a0"/>
    <w:qFormat/>
    <w:rsid w:val="00B94A4B"/>
    <w:rPr>
      <w:rFonts w:ascii="Symbol" w:hAnsi="Symbol" w:cs="Symbol" w:hint="default"/>
      <w:color w:val="000000"/>
      <w:sz w:val="20"/>
      <w:szCs w:val="20"/>
      <w:u w:val="none"/>
    </w:rPr>
  </w:style>
  <w:style w:type="character" w:customStyle="1" w:styleId="Char1">
    <w:name w:val="批注框文本 Char"/>
    <w:basedOn w:val="a0"/>
    <w:link w:val="a7"/>
    <w:uiPriority w:val="99"/>
    <w:semiHidden/>
    <w:qFormat/>
    <w:rsid w:val="00B94A4B"/>
    <w:rPr>
      <w:rFonts w:ascii="Times New Roman" w:eastAsia="宋体" w:hAnsi="Times New Roman" w:cs="Times New Roman"/>
      <w:sz w:val="18"/>
      <w:szCs w:val="18"/>
    </w:rPr>
  </w:style>
  <w:style w:type="character" w:customStyle="1" w:styleId="Char4">
    <w:name w:val="批注主题 Char"/>
    <w:basedOn w:val="Char0"/>
    <w:link w:val="ab"/>
    <w:uiPriority w:val="99"/>
    <w:semiHidden/>
    <w:qFormat/>
    <w:rsid w:val="00B94A4B"/>
    <w:rPr>
      <w:rFonts w:ascii="Times New Roman" w:eastAsia="宋体" w:hAnsi="Times New Roman" w:cs="Times New Roman"/>
      <w:b/>
      <w:bCs/>
      <w:kern w:val="2"/>
      <w:sz w:val="21"/>
      <w:szCs w:val="20"/>
    </w:rPr>
  </w:style>
  <w:style w:type="paragraph" w:customStyle="1" w:styleId="ZT">
    <w:name w:val="ZT"/>
    <w:qFormat/>
    <w:rsid w:val="00B94A4B"/>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1"/>
    <w:uiPriority w:val="34"/>
    <w:qFormat/>
    <w:locked/>
    <w:rsid w:val="00B94A4B"/>
    <w:rPr>
      <w:rFonts w:ascii="Times New Roman" w:eastAsia="Times New Roman" w:hAnsi="Times New Roman" w:cs="Times New Roman"/>
      <w:kern w:val="2"/>
      <w:sz w:val="24"/>
      <w:szCs w:val="24"/>
    </w:rPr>
  </w:style>
  <w:style w:type="character" w:styleId="af2">
    <w:name w:val="Placeholder Text"/>
    <w:basedOn w:val="a0"/>
    <w:uiPriority w:val="99"/>
    <w:unhideWhenUsed/>
    <w:qFormat/>
    <w:rsid w:val="00B94A4B"/>
    <w:rPr>
      <w:color w:val="808080"/>
    </w:rPr>
  </w:style>
  <w:style w:type="paragraph" w:customStyle="1" w:styleId="xmsonormal">
    <w:name w:val="x_msonormal"/>
    <w:basedOn w:val="a"/>
    <w:qFormat/>
    <w:rsid w:val="00B94A4B"/>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rsid w:val="00B94A4B"/>
  </w:style>
  <w:style w:type="paragraph" w:customStyle="1" w:styleId="TAH">
    <w:name w:val="TAH"/>
    <w:basedOn w:val="TAC"/>
    <w:qFormat/>
    <w:rsid w:val="00B94A4B"/>
    <w:rPr>
      <w:b/>
    </w:rPr>
  </w:style>
  <w:style w:type="paragraph" w:customStyle="1" w:styleId="TAC">
    <w:name w:val="TAC"/>
    <w:basedOn w:val="TAL"/>
    <w:qFormat/>
    <w:rsid w:val="00B94A4B"/>
    <w:pPr>
      <w:jc w:val="center"/>
    </w:pPr>
  </w:style>
  <w:style w:type="paragraph" w:customStyle="1" w:styleId="TAL">
    <w:name w:val="TAL"/>
    <w:basedOn w:val="a"/>
    <w:qFormat/>
    <w:rsid w:val="00B94A4B"/>
    <w:pPr>
      <w:keepNext/>
      <w:keepLines/>
    </w:pPr>
    <w:rPr>
      <w:rFonts w:ascii="Arial" w:hAnsi="Arial"/>
      <w:sz w:val="18"/>
    </w:rPr>
  </w:style>
  <w:style w:type="paragraph" w:customStyle="1" w:styleId="B1">
    <w:name w:val="B1"/>
    <w:basedOn w:val="a3"/>
    <w:qFormat/>
    <w:rsid w:val="00B94A4B"/>
  </w:style>
  <w:style w:type="paragraph" w:customStyle="1" w:styleId="B2">
    <w:name w:val="B2"/>
    <w:basedOn w:val="20"/>
    <w:qFormat/>
    <w:rsid w:val="00B94A4B"/>
  </w:style>
  <w:style w:type="paragraph" w:customStyle="1" w:styleId="B3">
    <w:name w:val="B3"/>
    <w:basedOn w:val="30"/>
    <w:qFormat/>
    <w:rsid w:val="00B94A4B"/>
  </w:style>
  <w:style w:type="paragraph" w:customStyle="1" w:styleId="Proposal">
    <w:name w:val="Proposal"/>
    <w:basedOn w:val="a"/>
    <w:qFormat/>
    <w:rsid w:val="00B94A4B"/>
    <w:pPr>
      <w:numPr>
        <w:numId w:val="3"/>
      </w:numPr>
      <w:spacing w:before="50" w:after="50"/>
      <w:jc w:val="left"/>
    </w:pPr>
    <w:rPr>
      <w:b/>
      <w:i/>
    </w:rPr>
  </w:style>
  <w:style w:type="paragraph" w:customStyle="1" w:styleId="observation">
    <w:name w:val="observation"/>
    <w:basedOn w:val="Proposal"/>
    <w:qFormat/>
    <w:rsid w:val="00B94A4B"/>
    <w:pPr>
      <w:numPr>
        <w:numId w:val="4"/>
      </w:numPr>
    </w:pPr>
    <w:rPr>
      <w:rFonts w:hint="eastAsia"/>
      <w:bCs/>
      <w:sz w:val="20"/>
    </w:rPr>
  </w:style>
  <w:style w:type="paragraph" w:customStyle="1" w:styleId="YJ-Observation">
    <w:name w:val="YJ-Observation"/>
    <w:basedOn w:val="YJ-Proposal"/>
    <w:qFormat/>
    <w:rsid w:val="00B94A4B"/>
    <w:pPr>
      <w:numPr>
        <w:numId w:val="5"/>
      </w:numPr>
      <w:tabs>
        <w:tab w:val="left" w:pos="420"/>
      </w:tabs>
    </w:pPr>
  </w:style>
  <w:style w:type="paragraph" w:customStyle="1" w:styleId="YJ-Proposal">
    <w:name w:val="YJ-Proposal"/>
    <w:basedOn w:val="a"/>
    <w:qFormat/>
    <w:rsid w:val="00B94A4B"/>
    <w:pPr>
      <w:numPr>
        <w:numId w:val="6"/>
      </w:numPr>
      <w:spacing w:before="50" w:after="50"/>
      <w:jc w:val="left"/>
    </w:pPr>
    <w:rPr>
      <w:rFonts w:eastAsiaTheme="minorEastAsia"/>
      <w:b/>
      <w:bCs/>
      <w:i/>
      <w:iCs/>
      <w:sz w:val="20"/>
      <w:lang w:val="en-GB" w:eastAsia="en-US"/>
    </w:rPr>
  </w:style>
  <w:style w:type="character" w:customStyle="1" w:styleId="Char">
    <w:name w:val="文档结构图 Char"/>
    <w:basedOn w:val="a0"/>
    <w:link w:val="a5"/>
    <w:uiPriority w:val="99"/>
    <w:semiHidden/>
    <w:qFormat/>
    <w:rsid w:val="00B94A4B"/>
    <w:rPr>
      <w:rFonts w:ascii="宋体"/>
      <w:kern w:val="2"/>
      <w:sz w:val="18"/>
      <w:szCs w:val="18"/>
    </w:rPr>
  </w:style>
  <w:style w:type="character" w:customStyle="1" w:styleId="apple-converted-space">
    <w:name w:val="apple-converted-space"/>
    <w:basedOn w:val="a0"/>
    <w:qFormat/>
    <w:rsid w:val="00B94A4B"/>
  </w:style>
  <w:style w:type="paragraph" w:customStyle="1" w:styleId="xxmsonormal">
    <w:name w:val="x_xmsonormal"/>
    <w:basedOn w:val="a"/>
    <w:rsid w:val="00B94A4B"/>
    <w:rPr>
      <w:rFonts w:ascii="宋体" w:hAnsi="宋体"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529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18FE16-BEF2-459D-90B6-E9A177045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4793</Words>
  <Characters>23776</Characters>
  <Application>Microsoft Office Word</Application>
  <DocSecurity>0</DocSecurity>
  <Lines>516</Lines>
  <Paragraphs>408</Paragraphs>
  <ScaleCrop>false</ScaleCrop>
  <Company/>
  <LinksUpToDate>false</LinksUpToDate>
  <CharactersWithSpaces>28161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马骁颖00245855</cp:lastModifiedBy>
  <cp:revision>5</cp:revision>
  <dcterms:created xsi:type="dcterms:W3CDTF">2021-04-07T03:43:00Z</dcterms:created>
  <dcterms:modified xsi:type="dcterms:W3CDTF">2021-04-07T03:53:00Z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