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a6"/>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rsidRPr="00082E5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I_TBS=14, I_SF=1 : TBS=552</w:t>
            </w:r>
          </w:p>
          <w:p w14:paraId="5D343296"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I_TBS=16, I_SF=0 : TBS=328</w:t>
            </w:r>
          </w:p>
          <w:p w14:paraId="3FAA9840" w14:textId="77777777" w:rsidR="00340DB0"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I_TBS=21, I_SF=4 : TBS=2472</w:t>
            </w:r>
          </w:p>
          <w:p w14:paraId="5DDE7D1D" w14:textId="4A41FEEB" w:rsidR="008202B0" w:rsidRPr="00082E50" w:rsidRDefault="008202B0" w:rsidP="008202B0">
            <w:pPr>
              <w:rPr>
                <w:b/>
                <w:bCs/>
                <w:noProof/>
                <w:lang w:val="sv-SE"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4F099B"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4F099B"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af6"/>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Pr="00082E50" w:rsidRDefault="00F8739A" w:rsidP="00F8739A">
      <w:pPr>
        <w:pStyle w:val="af6"/>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Nokia, NSB, ZTE, Lenovo, Moto, </w:t>
      </w:r>
    </w:p>
    <w:p w14:paraId="11150596" w14:textId="19C3EE18"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af6"/>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af6"/>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a6"/>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4pt" o:ole="">
                  <v:imagedata r:id="rId9" o:title=""/>
                </v:shape>
                <o:OLEObject Type="Embed" ProgID="Equation.3" ShapeID="_x0000_i1025" DrawAspect="Content" ObjectID="_1673180855"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4pt;height:21.3pt" o:ole="">
                  <v:imagedata r:id="rId11" o:title=""/>
                </v:shape>
                <o:OLEObject Type="Embed" ProgID="Equation.DSMT4" ShapeID="_x0000_i1026" DrawAspect="Content" ObjectID="_1673180856"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a9"/>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a9"/>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a9"/>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a9"/>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a9"/>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af6"/>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af6"/>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r>
              <w:rPr>
                <w:rFonts w:hint="eastAsia"/>
                <w:szCs w:val="20"/>
                <w:lang w:eastAsia="zh-CN"/>
              </w:rPr>
              <w:t>Lenovo</w:t>
            </w:r>
            <w:r>
              <w:rPr>
                <w:szCs w:val="20"/>
              </w:rPr>
              <w:t>&amp;MotoM</w:t>
            </w:r>
          </w:p>
        </w:tc>
        <w:tc>
          <w:tcPr>
            <w:tcW w:w="7469" w:type="dxa"/>
          </w:tcPr>
          <w:p w14:paraId="461B8B9E" w14:textId="34A4A0DC" w:rsidR="003702C3" w:rsidRDefault="001507C2" w:rsidP="00EC2A65">
            <w:pPr>
              <w:rPr>
                <w:szCs w:val="20"/>
                <w:lang w:eastAsia="zh-CN"/>
              </w:rPr>
            </w:pPr>
            <w:r>
              <w:rPr>
                <w:szCs w:val="20"/>
                <w:lang w:eastAsia="zh-CN"/>
              </w:rPr>
              <w:t>Support the three proposal, and hope to reuse the legacy LTE MCS table fully.</w:t>
            </w:r>
          </w:p>
        </w:tc>
      </w:tr>
      <w:tr w:rsidR="003702C3" w14:paraId="534529B9" w14:textId="77777777" w:rsidTr="00EC2A65">
        <w:tc>
          <w:tcPr>
            <w:tcW w:w="1838" w:type="dxa"/>
          </w:tcPr>
          <w:p w14:paraId="783FB3DE" w14:textId="4013E047" w:rsidR="003702C3" w:rsidRDefault="00082E50" w:rsidP="00EC2A65">
            <w:pPr>
              <w:rPr>
                <w:szCs w:val="20"/>
              </w:rPr>
            </w:pPr>
            <w:r w:rsidRPr="008C0628">
              <w:rPr>
                <w:color w:val="0070C0"/>
                <w:szCs w:val="20"/>
              </w:rPr>
              <w:t>Ericsson</w:t>
            </w:r>
          </w:p>
        </w:tc>
        <w:tc>
          <w:tcPr>
            <w:tcW w:w="7469" w:type="dxa"/>
          </w:tcPr>
          <w:p w14:paraId="3F17AB0A" w14:textId="77777777" w:rsidR="00082E50" w:rsidRDefault="00082E50" w:rsidP="00082E50">
            <w:pPr>
              <w:rPr>
                <w:color w:val="0070C0"/>
                <w:szCs w:val="20"/>
              </w:rPr>
            </w:pPr>
            <w:r>
              <w:rPr>
                <w:color w:val="0070C0"/>
                <w:szCs w:val="20"/>
              </w:rPr>
              <w:t>On Proposal 1 and 2:</w:t>
            </w:r>
          </w:p>
          <w:p w14:paraId="0A097F85" w14:textId="69AA7E5C" w:rsidR="00082E50" w:rsidRPr="008C0628" w:rsidRDefault="00082E50" w:rsidP="00082E50">
            <w:pPr>
              <w:rPr>
                <w:color w:val="0070C0"/>
                <w:szCs w:val="20"/>
              </w:rPr>
            </w:pPr>
            <w:r w:rsidRPr="008C0628">
              <w:rPr>
                <w:color w:val="0070C0"/>
                <w:szCs w:val="20"/>
              </w:rPr>
              <w:t xml:space="preserve">LTE would be our preference as well the problem is that </w:t>
            </w:r>
            <w:r>
              <w:rPr>
                <w:color w:val="0070C0"/>
                <w:szCs w:val="20"/>
              </w:rPr>
              <w:t xml:space="preserve">for NB-IoT </w:t>
            </w:r>
            <w:r w:rsidRPr="008C0628">
              <w:rPr>
                <w:color w:val="0070C0"/>
                <w:szCs w:val="20"/>
              </w:rPr>
              <w:t>on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16, I</w:t>
            </w:r>
            <w:r w:rsidRPr="008C0628">
              <w:rPr>
                <w:color w:val="0070C0"/>
                <w:sz w:val="20"/>
                <w:szCs w:val="20"/>
                <w:vertAlign w:val="subscript"/>
              </w:rPr>
              <w:t>SF</w:t>
            </w:r>
            <w:r w:rsidRPr="008C0628">
              <w:rPr>
                <w:color w:val="0070C0"/>
                <w:sz w:val="20"/>
                <w:szCs w:val="20"/>
              </w:rPr>
              <w:t xml:space="preserve"> = 0 → [328, 296]</w:t>
            </w:r>
            <w:r w:rsidRPr="008C0628">
              <w:rPr>
                <w:color w:val="0070C0"/>
                <w:szCs w:val="20"/>
              </w:rPr>
              <w:t>” and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14, I</w:t>
            </w:r>
            <w:r w:rsidRPr="008C0628">
              <w:rPr>
                <w:color w:val="0070C0"/>
                <w:sz w:val="20"/>
                <w:szCs w:val="20"/>
                <w:vertAlign w:val="subscript"/>
              </w:rPr>
              <w:t>SF</w:t>
            </w:r>
            <w:r w:rsidRPr="008C0628">
              <w:rPr>
                <w:color w:val="0070C0"/>
                <w:sz w:val="20"/>
                <w:szCs w:val="20"/>
              </w:rPr>
              <w:t xml:space="preserve"> = 1 → [552, 536]</w:t>
            </w:r>
            <w:r w:rsidRPr="008C0628">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296DBF79" w14:textId="77777777" w:rsidR="00082E50" w:rsidRDefault="00082E50" w:rsidP="00082E50">
            <w:pPr>
              <w:rPr>
                <w:color w:val="0070C0"/>
                <w:szCs w:val="20"/>
              </w:rPr>
            </w:pPr>
            <w:r w:rsidRPr="008C0628">
              <w:rPr>
                <w:color w:val="0070C0"/>
                <w:szCs w:val="20"/>
              </w:rPr>
              <w:t>For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21, I</w:t>
            </w:r>
            <w:r w:rsidRPr="008C0628">
              <w:rPr>
                <w:color w:val="0070C0"/>
                <w:sz w:val="20"/>
                <w:szCs w:val="20"/>
                <w:vertAlign w:val="subscript"/>
              </w:rPr>
              <w:t>SF</w:t>
            </w:r>
            <w:r w:rsidRPr="008C0628">
              <w:rPr>
                <w:color w:val="0070C0"/>
                <w:sz w:val="20"/>
                <w:szCs w:val="20"/>
              </w:rPr>
              <w:t xml:space="preserve"> = 4 → [2472, 2536]</w:t>
            </w:r>
            <w:r w:rsidRPr="008C0628">
              <w:rPr>
                <w:color w:val="0070C0"/>
                <w:szCs w:val="20"/>
              </w:rPr>
              <w:t xml:space="preserve">” choosing TBS = 2536 bits will make possible to transmit the max Rel-16 TBS with half of the time-domain resources when 16-QAM is used. The WA for UL accounts for this exact change, which is an </w:t>
            </w:r>
            <w:r>
              <w:rPr>
                <w:color w:val="0070C0"/>
                <w:szCs w:val="20"/>
              </w:rPr>
              <w:t>advantage</w:t>
            </w:r>
            <w:r w:rsidRPr="008C0628">
              <w:rPr>
                <w:color w:val="0070C0"/>
                <w:szCs w:val="20"/>
              </w:rPr>
              <w:t xml:space="preserve"> that DL should also have.</w:t>
            </w:r>
          </w:p>
          <w:p w14:paraId="72575A99" w14:textId="77777777" w:rsidR="00082E50" w:rsidRDefault="00082E50" w:rsidP="00082E50">
            <w:pPr>
              <w:rPr>
                <w:color w:val="0070C0"/>
                <w:szCs w:val="20"/>
              </w:rPr>
            </w:pPr>
            <w:r>
              <w:rPr>
                <w:color w:val="0070C0"/>
                <w:szCs w:val="20"/>
              </w:rPr>
              <w:t>On Proposal 3:</w:t>
            </w:r>
          </w:p>
          <w:p w14:paraId="3EE43154" w14:textId="1C3B9107" w:rsidR="003702C3" w:rsidRDefault="00082E50" w:rsidP="00082E50">
            <w:pPr>
              <w:rPr>
                <w:szCs w:val="20"/>
              </w:rPr>
            </w:pPr>
            <w:r>
              <w:rPr>
                <w:color w:val="0070C0"/>
                <w:szCs w:val="20"/>
              </w:rPr>
              <w:t>We are fine.</w:t>
            </w:r>
          </w:p>
        </w:tc>
      </w:tr>
      <w:tr w:rsidR="003702C3" w14:paraId="045D7142" w14:textId="77777777" w:rsidTr="00EC2A65">
        <w:tc>
          <w:tcPr>
            <w:tcW w:w="1838" w:type="dxa"/>
          </w:tcPr>
          <w:p w14:paraId="1F5E7F9E" w14:textId="23AD4B0B" w:rsidR="003702C3" w:rsidRDefault="001B2C45" w:rsidP="00EC2A65">
            <w:pPr>
              <w:rPr>
                <w:szCs w:val="20"/>
                <w:lang w:eastAsia="zh-CN"/>
              </w:rPr>
            </w:pPr>
            <w:r>
              <w:rPr>
                <w:szCs w:val="20"/>
                <w:lang w:eastAsia="zh-CN"/>
              </w:rPr>
              <w:t>Nokia, NSB</w:t>
            </w:r>
          </w:p>
        </w:tc>
        <w:tc>
          <w:tcPr>
            <w:tcW w:w="7469" w:type="dxa"/>
          </w:tcPr>
          <w:p w14:paraId="075288F9" w14:textId="18577C21" w:rsidR="003702C3" w:rsidRDefault="001B2C45" w:rsidP="00EC2A65">
            <w:pPr>
              <w:rPr>
                <w:szCs w:val="20"/>
                <w:lang w:eastAsia="zh-CN"/>
              </w:rPr>
            </w:pPr>
            <w:r>
              <w:rPr>
                <w:szCs w:val="20"/>
                <w:lang w:eastAsia="zh-CN"/>
              </w:rPr>
              <w:t>We are fine with all three proposals. On proposal 2, our preference is to use the existing LTE value.</w:t>
            </w:r>
          </w:p>
        </w:tc>
      </w:tr>
      <w:tr w:rsidR="003202D9" w14:paraId="0F3016CD" w14:textId="77777777" w:rsidTr="00EC2A65">
        <w:tc>
          <w:tcPr>
            <w:tcW w:w="1838" w:type="dxa"/>
          </w:tcPr>
          <w:p w14:paraId="50B71F01" w14:textId="50F355B3" w:rsidR="003202D9" w:rsidRDefault="003202D9" w:rsidP="00EC2A65">
            <w:pPr>
              <w:rPr>
                <w:szCs w:val="20"/>
                <w:lang w:eastAsia="zh-CN"/>
              </w:rPr>
            </w:pPr>
            <w:r>
              <w:rPr>
                <w:szCs w:val="20"/>
                <w:lang w:eastAsia="zh-CN"/>
              </w:rPr>
              <w:t>Qualcomm</w:t>
            </w:r>
          </w:p>
        </w:tc>
        <w:tc>
          <w:tcPr>
            <w:tcW w:w="7469" w:type="dxa"/>
          </w:tcPr>
          <w:p w14:paraId="1C2D4155" w14:textId="593CDD46" w:rsidR="003202D9" w:rsidRDefault="003202D9" w:rsidP="00EC2A65">
            <w:pPr>
              <w:rPr>
                <w:szCs w:val="20"/>
                <w:lang w:eastAsia="zh-CN"/>
              </w:rPr>
            </w:pPr>
            <w:r>
              <w:rPr>
                <w:szCs w:val="20"/>
                <w:lang w:eastAsia="zh-CN"/>
              </w:rPr>
              <w:t>We are OK with the three proposals.</w:t>
            </w:r>
          </w:p>
        </w:tc>
      </w:tr>
      <w:tr w:rsidR="004F099B" w14:paraId="3251F7F7" w14:textId="77777777" w:rsidTr="00EC2A65">
        <w:tc>
          <w:tcPr>
            <w:tcW w:w="1838" w:type="dxa"/>
          </w:tcPr>
          <w:p w14:paraId="653AE15A" w14:textId="24B24C7E" w:rsidR="004F099B" w:rsidRDefault="004F099B" w:rsidP="004F099B">
            <w:pPr>
              <w:rPr>
                <w:szCs w:val="20"/>
                <w:lang w:eastAsia="zh-CN"/>
              </w:rPr>
            </w:pPr>
            <w:r>
              <w:rPr>
                <w:szCs w:val="20"/>
                <w:lang w:eastAsia="zh-CN"/>
              </w:rPr>
              <w:t xml:space="preserve">Huawei, </w:t>
            </w:r>
            <w:r w:rsidRPr="00716789">
              <w:t>HiSilicon</w:t>
            </w:r>
          </w:p>
        </w:tc>
        <w:tc>
          <w:tcPr>
            <w:tcW w:w="7469" w:type="dxa"/>
          </w:tcPr>
          <w:p w14:paraId="1EE42AFD" w14:textId="7D16BFC2" w:rsidR="004F099B" w:rsidRDefault="004F099B" w:rsidP="004F099B">
            <w:pPr>
              <w:rPr>
                <w:szCs w:val="20"/>
                <w:lang w:eastAsia="zh-CN"/>
              </w:rPr>
            </w:pPr>
            <w:r>
              <w:rPr>
                <w:szCs w:val="20"/>
                <w:lang w:eastAsia="zh-CN"/>
              </w:rPr>
              <w:t>Support the three proposals, and prefer to reuse the legacy LTE MCS table with 328 for</w:t>
            </w:r>
            <w:r w:rsidRPr="00ED339C">
              <w:rPr>
                <w:b/>
              </w:rPr>
              <w:t xml:space="preserve"> </w:t>
            </w:r>
            <w:r w:rsidRPr="0043139E">
              <w:t>I_TBS=16, I_SF=0.</w:t>
            </w:r>
            <w:bookmarkStart w:id="6" w:name="_GoBack"/>
            <w:bookmarkEnd w:id="6"/>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a6"/>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For standalone and guardband deployments, the downlink TBS entries between 14 (TBS of 2856 for I_SF=7) and 21 are used for 16QAM.</w:t>
            </w:r>
          </w:p>
          <w:p w14:paraId="38EB1F52" w14:textId="77777777" w:rsidR="008D5075" w:rsidRPr="00270840" w:rsidRDefault="008D5075" w:rsidP="008D5075">
            <w:pPr>
              <w:pStyle w:val="a6"/>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inband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standalone and guardband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inband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lastRenderedPageBreak/>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t>For standalone and guardband deployments, the downlink TBS entries between 14 (TBS of 2856 for I_SF=7) and 21 are used for 16QAM.</w:t>
            </w:r>
          </w:p>
          <w:p w14:paraId="22C4EA22"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inband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8"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8"/>
            <w:r w:rsidRPr="00D865A5">
              <w:rPr>
                <w:rFonts w:ascii="Arial" w:hAnsi="Arial"/>
                <w:b/>
                <w:bCs/>
                <w:sz w:val="20"/>
                <w:szCs w:val="20"/>
                <w:lang w:val="en-GB" w:eastAsia="ja-JP"/>
              </w:rPr>
              <w:t xml:space="preserve"> can be confirmed from a stand-alone/guard-band deployments perspective.</w:t>
            </w:r>
            <w:bookmarkEnd w:id="7"/>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9"/>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10"/>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a9"/>
                    <w:spacing w:after="0"/>
                    <w:jc w:val="center"/>
                    <w:rPr>
                      <w:sz w:val="12"/>
                      <w:szCs w:val="12"/>
                      <w:lang w:eastAsia="en-US"/>
                    </w:rPr>
                  </w:pPr>
                </w:p>
                <w:p w14:paraId="62860B2A" w14:textId="77777777" w:rsidR="000F2926" w:rsidRPr="007B2384" w:rsidRDefault="000F2926" w:rsidP="000F2926">
                  <w:pPr>
                    <w:pStyle w:val="a9"/>
                    <w:spacing w:after="0"/>
                    <w:jc w:val="center"/>
                    <w:rPr>
                      <w:sz w:val="12"/>
                      <w:szCs w:val="12"/>
                      <w:lang w:eastAsia="en-US"/>
                    </w:rPr>
                  </w:pPr>
                </w:p>
                <w:p w14:paraId="4B6728D1" w14:textId="77777777" w:rsidR="000F2926" w:rsidRPr="007B2384" w:rsidRDefault="000F2926" w:rsidP="000F2926">
                  <w:pPr>
                    <w:pStyle w:val="a9"/>
                    <w:spacing w:after="0"/>
                    <w:jc w:val="center"/>
                    <w:rPr>
                      <w:sz w:val="12"/>
                      <w:szCs w:val="12"/>
                      <w:lang w:eastAsia="en-US"/>
                    </w:rPr>
                  </w:pPr>
                </w:p>
                <w:p w14:paraId="4F95BC9B" w14:textId="77777777" w:rsidR="000F2926" w:rsidRPr="007B2384" w:rsidRDefault="000F2926" w:rsidP="000F2926">
                  <w:pPr>
                    <w:pStyle w:val="a9"/>
                    <w:spacing w:after="0"/>
                    <w:jc w:val="center"/>
                    <w:rPr>
                      <w:sz w:val="12"/>
                      <w:szCs w:val="12"/>
                      <w:lang w:eastAsia="en-US"/>
                    </w:rPr>
                  </w:pPr>
                </w:p>
                <w:p w14:paraId="3E71689D" w14:textId="77777777" w:rsidR="000F2926" w:rsidRPr="007B2384" w:rsidRDefault="000F2926" w:rsidP="000F2926">
                  <w:pPr>
                    <w:pStyle w:val="a9"/>
                    <w:spacing w:after="0"/>
                    <w:jc w:val="center"/>
                    <w:rPr>
                      <w:sz w:val="12"/>
                      <w:szCs w:val="12"/>
                      <w:lang w:eastAsia="en-US"/>
                    </w:rPr>
                  </w:pPr>
                </w:p>
                <w:p w14:paraId="1FC734DD" w14:textId="77777777" w:rsidR="000F2926" w:rsidRPr="007B2384" w:rsidRDefault="000F2926" w:rsidP="000F2926">
                  <w:pPr>
                    <w:pStyle w:val="a9"/>
                    <w:spacing w:after="0"/>
                    <w:jc w:val="center"/>
                    <w:rPr>
                      <w:sz w:val="12"/>
                      <w:szCs w:val="12"/>
                      <w:lang w:eastAsia="en-US"/>
                    </w:rPr>
                  </w:pPr>
                </w:p>
                <w:p w14:paraId="3843D65B" w14:textId="77777777" w:rsidR="000F2926" w:rsidRPr="007B2384" w:rsidRDefault="000F2926" w:rsidP="000F2926">
                  <w:pPr>
                    <w:pStyle w:val="a9"/>
                    <w:spacing w:after="0"/>
                    <w:jc w:val="center"/>
                    <w:rPr>
                      <w:sz w:val="12"/>
                      <w:szCs w:val="12"/>
                      <w:lang w:eastAsia="en-US"/>
                    </w:rPr>
                  </w:pPr>
                </w:p>
                <w:p w14:paraId="1D833342" w14:textId="77777777" w:rsidR="000F2926" w:rsidRPr="007B2384" w:rsidRDefault="000F2926" w:rsidP="000F2926">
                  <w:pPr>
                    <w:pStyle w:val="a9"/>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a9"/>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a9"/>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a9"/>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a9"/>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a9"/>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a9"/>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a9"/>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a9"/>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a9"/>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a9"/>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a9"/>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a9"/>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a9"/>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a9"/>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a9"/>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a9"/>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a9"/>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a9"/>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a9"/>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a9"/>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a9"/>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a9"/>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a9"/>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a9"/>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a9"/>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a9"/>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a9"/>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a9"/>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a9"/>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a9"/>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a9"/>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a9"/>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a9"/>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a9"/>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a9"/>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a9"/>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a9"/>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a9"/>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a9"/>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a9"/>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a9"/>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a9"/>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a9"/>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a9"/>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a9"/>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a9"/>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a9"/>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a9"/>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a9"/>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a9"/>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a9"/>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a9"/>
                    <w:spacing w:after="0"/>
                    <w:jc w:val="center"/>
                    <w:rPr>
                      <w:color w:val="000000"/>
                      <w:sz w:val="12"/>
                      <w:szCs w:val="12"/>
                      <w:lang w:eastAsia="en-US"/>
                    </w:rPr>
                  </w:pPr>
                </w:p>
                <w:p w14:paraId="30756ACD" w14:textId="77777777" w:rsidR="000F2926" w:rsidRDefault="000F2926" w:rsidP="000F2926">
                  <w:pPr>
                    <w:pStyle w:val="a9"/>
                    <w:spacing w:after="0"/>
                    <w:jc w:val="center"/>
                    <w:rPr>
                      <w:color w:val="000000"/>
                      <w:sz w:val="12"/>
                      <w:szCs w:val="12"/>
                      <w:lang w:eastAsia="en-US"/>
                    </w:rPr>
                  </w:pPr>
                </w:p>
                <w:p w14:paraId="238EFCC9"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a9"/>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a9"/>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a9"/>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a9"/>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a9"/>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a9"/>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a9"/>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a9"/>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a9"/>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a9"/>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a9"/>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a9"/>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a9"/>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a9"/>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a9"/>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a9"/>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a9"/>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a9"/>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a9"/>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a9"/>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a9"/>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a9"/>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a9"/>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a9"/>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a9"/>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a9"/>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a9"/>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a9"/>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a9"/>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a9"/>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a9"/>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a9"/>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a9"/>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a9"/>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a9"/>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a9"/>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a9"/>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a9"/>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a9"/>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a9"/>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a9"/>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a9"/>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2"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2"/>
          </w:p>
          <w:p w14:paraId="23B9B515" w14:textId="5AE4DD86" w:rsidR="00C900EA" w:rsidRDefault="00C900EA" w:rsidP="00C900EA">
            <w:pPr>
              <w:pStyle w:val="Proposal"/>
              <w:numPr>
                <w:ilvl w:val="0"/>
                <w:numId w:val="0"/>
              </w:numPr>
              <w:ind w:left="1701" w:hanging="1701"/>
            </w:pPr>
            <w:bookmarkStart w:id="13" w:name="_Toc61448922"/>
            <w:r>
              <w:lastRenderedPageBreak/>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3"/>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4"/>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6"/>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7"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7"/>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af6"/>
        <w:numPr>
          <w:ilvl w:val="0"/>
          <w:numId w:val="9"/>
        </w:numPr>
      </w:pPr>
      <w:r>
        <w:rPr>
          <w:rFonts w:ascii="Times New Roman" w:hAnsi="Times New Roman" w:cs="Times New Roman" w:hint="cs"/>
          <w:sz w:val="22"/>
        </w:rPr>
        <w:t>Confirm the working assumption and remove the brackets</w:t>
      </w:r>
    </w:p>
    <w:p w14:paraId="78021334" w14:textId="6A158F47" w:rsidR="00F71E5D" w:rsidRPr="00082E50" w:rsidRDefault="00716789" w:rsidP="00F71E5D">
      <w:pPr>
        <w:pStyle w:val="af6"/>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w:t>
      </w:r>
      <w:r w:rsidR="006207A2" w:rsidRPr="00082E50">
        <w:rPr>
          <w:rFonts w:ascii="Times New Roman" w:hAnsi="Times New Roman" w:cs="Times New Roman"/>
          <w:sz w:val="22"/>
          <w:lang w:val="es-MX"/>
        </w:rPr>
        <w:t xml:space="preserve">Nokia, NSB, </w:t>
      </w:r>
      <w:r w:rsidR="00284E26" w:rsidRPr="00082E50">
        <w:rPr>
          <w:rFonts w:ascii="Times New Roman" w:hAnsi="Times New Roman" w:cs="Times New Roman"/>
          <w:sz w:val="22"/>
          <w:lang w:val="es-MX"/>
        </w:rPr>
        <w:t xml:space="preserve">Lenovo, Moto, QC, </w:t>
      </w:r>
      <w:r w:rsidR="00AD1958" w:rsidRPr="00082E50">
        <w:rPr>
          <w:rFonts w:ascii="Times New Roman" w:hAnsi="Times New Roman" w:cs="Times New Roman"/>
          <w:sz w:val="22"/>
          <w:lang w:val="es-MX"/>
        </w:rPr>
        <w:t>Ericsson</w:t>
      </w:r>
    </w:p>
    <w:p w14:paraId="13431614" w14:textId="75733986" w:rsidR="00E173C9" w:rsidRDefault="006207A2" w:rsidP="00E173C9">
      <w:pPr>
        <w:pStyle w:val="af6"/>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6072C65C" w14:textId="3DA01E5B" w:rsidR="006207A2" w:rsidRPr="00AD1958" w:rsidRDefault="006207A2" w:rsidP="00AD1958">
      <w:pPr>
        <w:pStyle w:val="af6"/>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a6"/>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For standalone and guardband deployments, the downlink TBS entries between 14 (TBS of 2856 for I_SF=7) and 21 are used for 16QAM.</w:t>
      </w:r>
    </w:p>
    <w:p w14:paraId="0F044B2E"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inband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af0"/>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szCs w:val="20"/>
                <w:lang w:eastAsia="zh-CN"/>
              </w:rPr>
            </w:pPr>
            <w:r>
              <w:rPr>
                <w:rFonts w:hint="eastAsia"/>
                <w:szCs w:val="20"/>
                <w:lang w:eastAsia="zh-CN"/>
              </w:rPr>
              <w:t>L</w:t>
            </w:r>
            <w:r>
              <w:rPr>
                <w:szCs w:val="20"/>
                <w:lang w:eastAsia="zh-CN"/>
              </w:rPr>
              <w:t>enovo&amp;MotoM</w:t>
            </w:r>
          </w:p>
        </w:tc>
        <w:tc>
          <w:tcPr>
            <w:tcW w:w="7469" w:type="dxa"/>
          </w:tcPr>
          <w:p w14:paraId="5295F32D" w14:textId="59FC0DC0" w:rsidR="00946A8E" w:rsidRDefault="00C332EF" w:rsidP="00EC2A65">
            <w:pPr>
              <w:rPr>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68BA9A42" w:rsidR="00946A8E" w:rsidRDefault="00082E50" w:rsidP="00EC2A65">
            <w:pPr>
              <w:rPr>
                <w:szCs w:val="20"/>
              </w:rPr>
            </w:pPr>
            <w:r w:rsidRPr="00E30C90">
              <w:rPr>
                <w:color w:val="0070C0"/>
                <w:szCs w:val="20"/>
              </w:rPr>
              <w:lastRenderedPageBreak/>
              <w:t>Ericsson</w:t>
            </w:r>
          </w:p>
        </w:tc>
        <w:tc>
          <w:tcPr>
            <w:tcW w:w="7469" w:type="dxa"/>
          </w:tcPr>
          <w:p w14:paraId="3AA5C41D" w14:textId="77777777" w:rsidR="00082E50" w:rsidRPr="00E30C90" w:rsidRDefault="00082E50" w:rsidP="00082E50">
            <w:pPr>
              <w:rPr>
                <w:color w:val="0070C0"/>
                <w:szCs w:val="20"/>
              </w:rPr>
            </w:pPr>
            <w:r w:rsidRPr="00E30C90">
              <w:rPr>
                <w:color w:val="0070C0"/>
                <w:szCs w:val="20"/>
              </w:rPr>
              <w:t xml:space="preserve">We are fine, </w:t>
            </w:r>
            <w:r>
              <w:rPr>
                <w:color w:val="0070C0"/>
                <w:szCs w:val="20"/>
              </w:rPr>
              <w:t xml:space="preserve">under the </w:t>
            </w:r>
            <w:r w:rsidRPr="00E30C90">
              <w:rPr>
                <w:color w:val="0070C0"/>
                <w:szCs w:val="20"/>
              </w:rPr>
              <w:t>understanding that proposal 4 means:</w:t>
            </w:r>
          </w:p>
          <w:p w14:paraId="0BC3A1FB" w14:textId="77777777" w:rsidR="00082E50" w:rsidRDefault="00082E50" w:rsidP="00082E50">
            <w:pPr>
              <w:pStyle w:val="af6"/>
              <w:numPr>
                <w:ilvl w:val="0"/>
                <w:numId w:val="39"/>
              </w:numPr>
              <w:rPr>
                <w:rFonts w:ascii="Times New Roman" w:hAnsi="Times New Roman" w:cs="Times New Roman"/>
                <w:color w:val="0070C0"/>
                <w:sz w:val="22"/>
                <w:szCs w:val="20"/>
                <w:lang w:eastAsia="en-US"/>
              </w:rPr>
            </w:pPr>
            <w:r w:rsidRPr="00E30C90">
              <w:rPr>
                <w:rFonts w:ascii="Times New Roman" w:hAnsi="Times New Roman" w:cs="Times New Roman"/>
                <w:color w:val="0070C0"/>
                <w:sz w:val="22"/>
                <w:szCs w:val="20"/>
                <w:lang w:eastAsia="en-US"/>
              </w:rPr>
              <w:t xml:space="preserve">For stand-alone and guard-band deployments: The TBS entries used for 16-QAM </w:t>
            </w:r>
            <w:r>
              <w:rPr>
                <w:rFonts w:ascii="Times New Roman" w:hAnsi="Times New Roman" w:cs="Times New Roman"/>
                <w:color w:val="0070C0"/>
                <w:sz w:val="22"/>
                <w:szCs w:val="20"/>
                <w:lang w:eastAsia="en-US"/>
              </w:rPr>
              <w:t xml:space="preserve">in DL </w:t>
            </w:r>
            <w:r w:rsidRPr="00E30C90">
              <w:rPr>
                <w:rFonts w:ascii="Times New Roman" w:hAnsi="Times New Roman" w:cs="Times New Roman"/>
                <w:color w:val="0070C0"/>
                <w:sz w:val="22"/>
                <w:szCs w:val="20"/>
                <w:lang w:eastAsia="en-US"/>
              </w:rPr>
              <w:t>span from I_TBS = 14 to I_TBS = 21 and I_SF = 0 to I_SF = 7, being in terms of breaking-point I_TBS = 13 the last I_TBS index used for QPSK and I_TBS = 14 the first I_TBS index used for16-QAM.</w:t>
            </w:r>
          </w:p>
          <w:p w14:paraId="3F252E29" w14:textId="77777777" w:rsidR="00082E50" w:rsidRPr="00082E50" w:rsidRDefault="00082E50" w:rsidP="00082E50">
            <w:pPr>
              <w:pStyle w:val="af6"/>
              <w:rPr>
                <w:rFonts w:ascii="Times New Roman" w:hAnsi="Times New Roman" w:cs="Times New Roman"/>
                <w:color w:val="0070C0"/>
                <w:sz w:val="22"/>
                <w:szCs w:val="20"/>
                <w:lang w:eastAsia="en-US"/>
              </w:rPr>
            </w:pPr>
          </w:p>
          <w:p w14:paraId="581BAB98" w14:textId="6B29D6E0" w:rsidR="00946A8E" w:rsidRPr="00082E50" w:rsidRDefault="00082E50" w:rsidP="00082E50">
            <w:pPr>
              <w:pStyle w:val="af6"/>
              <w:numPr>
                <w:ilvl w:val="0"/>
                <w:numId w:val="39"/>
              </w:numPr>
              <w:rPr>
                <w:rFonts w:ascii="Times New Roman" w:hAnsi="Times New Roman" w:cs="Times New Roman"/>
                <w:color w:val="0070C0"/>
                <w:sz w:val="22"/>
                <w:szCs w:val="20"/>
                <w:lang w:eastAsia="en-US"/>
              </w:rPr>
            </w:pPr>
            <w:r w:rsidRPr="00082E50">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946A8E" w14:paraId="411356B7" w14:textId="77777777" w:rsidTr="00EC2A65">
        <w:tc>
          <w:tcPr>
            <w:tcW w:w="1838" w:type="dxa"/>
          </w:tcPr>
          <w:p w14:paraId="7023F986" w14:textId="6DE0E856" w:rsidR="00946A8E" w:rsidRDefault="001B2C45" w:rsidP="00EC2A65">
            <w:pPr>
              <w:rPr>
                <w:szCs w:val="20"/>
                <w:lang w:eastAsia="zh-CN"/>
              </w:rPr>
            </w:pPr>
            <w:r>
              <w:rPr>
                <w:szCs w:val="20"/>
                <w:lang w:eastAsia="zh-CN"/>
              </w:rPr>
              <w:t>Nokia, NSB</w:t>
            </w:r>
          </w:p>
        </w:tc>
        <w:tc>
          <w:tcPr>
            <w:tcW w:w="7469" w:type="dxa"/>
          </w:tcPr>
          <w:p w14:paraId="2F2888C2" w14:textId="453ABA67" w:rsidR="00946A8E" w:rsidRDefault="001B2C45" w:rsidP="00EC2A65">
            <w:pPr>
              <w:rPr>
                <w:szCs w:val="20"/>
                <w:lang w:eastAsia="zh-CN"/>
              </w:rPr>
            </w:pPr>
            <w:r>
              <w:rPr>
                <w:szCs w:val="20"/>
                <w:lang w:eastAsia="zh-CN"/>
              </w:rPr>
              <w:t>We support FL’s proposal</w:t>
            </w:r>
          </w:p>
        </w:tc>
      </w:tr>
      <w:tr w:rsidR="003202D9" w14:paraId="23B33D9E" w14:textId="77777777" w:rsidTr="00EC2A65">
        <w:tc>
          <w:tcPr>
            <w:tcW w:w="1838" w:type="dxa"/>
          </w:tcPr>
          <w:p w14:paraId="07A75A31" w14:textId="7BFEC648" w:rsidR="003202D9" w:rsidRDefault="003202D9" w:rsidP="00EC2A65">
            <w:pPr>
              <w:rPr>
                <w:szCs w:val="20"/>
                <w:lang w:eastAsia="zh-CN"/>
              </w:rPr>
            </w:pPr>
            <w:r>
              <w:rPr>
                <w:szCs w:val="20"/>
                <w:lang w:eastAsia="zh-CN"/>
              </w:rPr>
              <w:t>Qualcomm</w:t>
            </w:r>
          </w:p>
        </w:tc>
        <w:tc>
          <w:tcPr>
            <w:tcW w:w="7469" w:type="dxa"/>
          </w:tcPr>
          <w:p w14:paraId="3A3BD04F" w14:textId="4382125E" w:rsidR="003202D9" w:rsidRDefault="003202D9" w:rsidP="00EC2A65">
            <w:pPr>
              <w:rPr>
                <w:szCs w:val="20"/>
                <w:lang w:eastAsia="zh-CN"/>
              </w:rPr>
            </w:pPr>
            <w:r>
              <w:rPr>
                <w:szCs w:val="20"/>
                <w:lang w:eastAsia="zh-CN"/>
              </w:rPr>
              <w:t>We support the proposal.</w:t>
            </w:r>
          </w:p>
        </w:tc>
      </w:tr>
      <w:tr w:rsidR="004F099B" w14:paraId="69D0A2B8" w14:textId="77777777" w:rsidTr="00EC2A65">
        <w:tc>
          <w:tcPr>
            <w:tcW w:w="1838" w:type="dxa"/>
          </w:tcPr>
          <w:p w14:paraId="4D553A8D" w14:textId="22E61749" w:rsidR="004F099B" w:rsidRDefault="004F099B" w:rsidP="004F099B">
            <w:pPr>
              <w:rPr>
                <w:szCs w:val="20"/>
                <w:lang w:eastAsia="zh-CN"/>
              </w:rPr>
            </w:pPr>
            <w:r>
              <w:t xml:space="preserve">Huawei, </w:t>
            </w:r>
            <w:r w:rsidRPr="00716789">
              <w:t>HiSilicon</w:t>
            </w:r>
          </w:p>
        </w:tc>
        <w:tc>
          <w:tcPr>
            <w:tcW w:w="7469" w:type="dxa"/>
          </w:tcPr>
          <w:p w14:paraId="59B4027F" w14:textId="5B34AD70" w:rsidR="004F099B" w:rsidRDefault="004F099B" w:rsidP="004F099B">
            <w:pPr>
              <w:rPr>
                <w:szCs w:val="20"/>
                <w:lang w:eastAsia="zh-CN"/>
              </w:rPr>
            </w:pPr>
            <w:r>
              <w:rPr>
                <w:szCs w:val="20"/>
                <w:lang w:eastAsia="zh-CN"/>
              </w:rPr>
              <w:t>Support the proposal 4</w:t>
            </w: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af6"/>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8"/>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9" w:name="_Toc61448906"/>
            <w:r>
              <w:rPr>
                <w:rFonts w:ascii="Arial" w:hAnsi="Arial"/>
                <w:b/>
                <w:bCs/>
                <w:sz w:val="20"/>
                <w:szCs w:val="20"/>
                <w:lang w:val="en-GB" w:eastAsia="ja-JP"/>
              </w:rPr>
              <w:lastRenderedPageBreak/>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sinr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9"/>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20"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Analyse the required sinr range for the use-case(s) of using 16-QAM with 2 repetitions as to determine its suitability. Discuss potential impacts on the channel quality reporting if the 2 repetitions case for 16-QAM were supported.</w:t>
            </w:r>
            <w:bookmarkEnd w:id="20"/>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lastRenderedPageBreak/>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1"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sinr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1"/>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Pr="00082E50" w:rsidRDefault="00DC0A7C" w:rsidP="005261B6">
      <w:pPr>
        <w:pStyle w:val="af6"/>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MTK, Lenovo, Moto, Sierra Wireless, QC</w:t>
      </w:r>
    </w:p>
    <w:p w14:paraId="0B5A6C58" w14:textId="4D7368DE" w:rsidR="00111C29" w:rsidRDefault="00111C29" w:rsidP="00111C29">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af6"/>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a6"/>
        <w:jc w:val="both"/>
        <w:rPr>
          <w:sz w:val="22"/>
        </w:rPr>
      </w:pPr>
      <w:r w:rsidRPr="00283D75">
        <w:rPr>
          <w:sz w:val="22"/>
        </w:rPr>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af6"/>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szCs w:val="20"/>
                <w:lang w:eastAsia="zh-CN"/>
              </w:rPr>
            </w:pPr>
            <w:r>
              <w:rPr>
                <w:rFonts w:hint="eastAsia"/>
                <w:szCs w:val="20"/>
                <w:lang w:eastAsia="zh-CN"/>
              </w:rPr>
              <w:t>L</w:t>
            </w:r>
            <w:r>
              <w:rPr>
                <w:szCs w:val="20"/>
                <w:lang w:eastAsia="zh-CN"/>
              </w:rPr>
              <w:t>enovo&amp;MotoM</w:t>
            </w:r>
          </w:p>
        </w:tc>
        <w:tc>
          <w:tcPr>
            <w:tcW w:w="7469" w:type="dxa"/>
          </w:tcPr>
          <w:p w14:paraId="2F7C883E" w14:textId="77777777" w:rsidR="00A707D9" w:rsidRDefault="00CA03C3" w:rsidP="00CB5E67">
            <w:pPr>
              <w:rPr>
                <w:szCs w:val="20"/>
                <w:lang w:eastAsia="zh-CN"/>
              </w:rPr>
            </w:pPr>
            <w:r>
              <w:rPr>
                <w:szCs w:val="20"/>
                <w:lang w:eastAsia="zh-CN"/>
              </w:rPr>
              <w:t>For proposal 5, our preference is support repetition of 2, the performance gain is verified in Rel.13 eMTC.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szCs w:val="20"/>
                <w:lang w:eastAsia="zh-CN"/>
              </w:rPr>
            </w:pPr>
            <w:r>
              <w:rPr>
                <w:szCs w:val="20"/>
                <w:lang w:eastAsia="zh-CN"/>
              </w:rPr>
              <w:t>Support proposal 6.</w:t>
            </w:r>
          </w:p>
        </w:tc>
      </w:tr>
      <w:tr w:rsidR="00A707D9" w14:paraId="36F9DCE8" w14:textId="77777777" w:rsidTr="00EC2A65">
        <w:tc>
          <w:tcPr>
            <w:tcW w:w="1838" w:type="dxa"/>
          </w:tcPr>
          <w:p w14:paraId="15900D6B" w14:textId="6E6218F2" w:rsidR="00A707D9" w:rsidRDefault="00082E50" w:rsidP="00EC2A65">
            <w:pPr>
              <w:rPr>
                <w:szCs w:val="20"/>
              </w:rPr>
            </w:pPr>
            <w:r>
              <w:rPr>
                <w:color w:val="0070C0"/>
                <w:szCs w:val="20"/>
              </w:rPr>
              <w:t>Ericsson</w:t>
            </w:r>
          </w:p>
        </w:tc>
        <w:tc>
          <w:tcPr>
            <w:tcW w:w="7469" w:type="dxa"/>
          </w:tcPr>
          <w:p w14:paraId="66E7CA33" w14:textId="77777777" w:rsidR="00082E50" w:rsidRDefault="00082E50" w:rsidP="00082E50">
            <w:pPr>
              <w:rPr>
                <w:color w:val="0070C0"/>
                <w:szCs w:val="20"/>
              </w:rPr>
            </w:pPr>
            <w:r>
              <w:rPr>
                <w:color w:val="0070C0"/>
                <w:szCs w:val="20"/>
              </w:rPr>
              <w:t>On Proposal 5:</w:t>
            </w:r>
          </w:p>
          <w:p w14:paraId="6544E9A8" w14:textId="6ADA1613" w:rsidR="00082E50" w:rsidRDefault="00082E50" w:rsidP="00082E50">
            <w:pPr>
              <w:rPr>
                <w:color w:val="0070C0"/>
                <w:szCs w:val="20"/>
              </w:rPr>
            </w:pPr>
            <w:r>
              <w:rPr>
                <w:color w:val="0070C0"/>
                <w:szCs w:val="20"/>
              </w:rPr>
              <w:t xml:space="preserve">We </w:t>
            </w:r>
            <w:r w:rsidR="009F06DD">
              <w:rPr>
                <w:color w:val="0070C0"/>
                <w:szCs w:val="20"/>
              </w:rPr>
              <w:t>are not supportive until</w:t>
            </w:r>
            <w:r>
              <w:rPr>
                <w:color w:val="0070C0"/>
                <w:szCs w:val="20"/>
              </w:rPr>
              <w:t xml:space="preserve"> </w:t>
            </w:r>
            <w:r w:rsidRPr="00B36F3F">
              <w:rPr>
                <w:color w:val="0070C0"/>
                <w:szCs w:val="20"/>
              </w:rPr>
              <w:t xml:space="preserve">the required sinr range for the use-case(s) of using 16-QAM with 2 repetitions </w:t>
            </w:r>
            <w:r w:rsidR="009F06DD">
              <w:rPr>
                <w:color w:val="0070C0"/>
                <w:szCs w:val="20"/>
              </w:rPr>
              <w:t xml:space="preserve">has been analyzed </w:t>
            </w:r>
            <w:r w:rsidRPr="00B36F3F">
              <w:rPr>
                <w:color w:val="0070C0"/>
                <w:szCs w:val="20"/>
              </w:rPr>
              <w:t>as to determine its suitability</w:t>
            </w:r>
            <w:r>
              <w:rPr>
                <w:color w:val="0070C0"/>
                <w:szCs w:val="20"/>
              </w:rPr>
              <w:t xml:space="preserve">, and we </w:t>
            </w:r>
            <w:r w:rsidR="009F06DD">
              <w:rPr>
                <w:color w:val="0070C0"/>
                <w:szCs w:val="20"/>
              </w:rPr>
              <w:t xml:space="preserve">also </w:t>
            </w:r>
            <w:r>
              <w:rPr>
                <w:color w:val="0070C0"/>
                <w:szCs w:val="20"/>
              </w:rPr>
              <w:t>need d</w:t>
            </w:r>
            <w:r w:rsidRPr="00B36F3F">
              <w:rPr>
                <w:color w:val="0070C0"/>
                <w:szCs w:val="20"/>
              </w:rPr>
              <w:t>iscuss potential impacts on the channel quality reporting if the 2 repetitions case for 16-QAM were supported</w:t>
            </w:r>
            <w:r>
              <w:rPr>
                <w:color w:val="0070C0"/>
                <w:szCs w:val="20"/>
              </w:rPr>
              <w:t xml:space="preserve">. </w:t>
            </w:r>
          </w:p>
          <w:p w14:paraId="1FC4B7C9" w14:textId="77777777" w:rsidR="00082E50" w:rsidRDefault="00082E50" w:rsidP="00082E50">
            <w:pPr>
              <w:rPr>
                <w:color w:val="0070C0"/>
                <w:szCs w:val="20"/>
              </w:rPr>
            </w:pPr>
          </w:p>
          <w:p w14:paraId="58CB671F" w14:textId="77777777" w:rsidR="00082E50" w:rsidRDefault="00082E50" w:rsidP="00082E50">
            <w:pPr>
              <w:rPr>
                <w:color w:val="0070C0"/>
                <w:szCs w:val="20"/>
              </w:rPr>
            </w:pPr>
            <w:r>
              <w:rPr>
                <w:color w:val="0070C0"/>
                <w:szCs w:val="20"/>
              </w:rPr>
              <w:t>On Proposal 6:</w:t>
            </w:r>
          </w:p>
          <w:p w14:paraId="525F8EE6" w14:textId="0E3FE695" w:rsidR="00A707D9" w:rsidRDefault="00082E50" w:rsidP="00082E50">
            <w:pPr>
              <w:rPr>
                <w:szCs w:val="20"/>
              </w:rPr>
            </w:pPr>
            <w:r>
              <w:rPr>
                <w:color w:val="0070C0"/>
                <w:szCs w:val="20"/>
              </w:rPr>
              <w:lastRenderedPageBreak/>
              <w:t>We are ok.</w:t>
            </w:r>
          </w:p>
        </w:tc>
      </w:tr>
      <w:tr w:rsidR="00A707D9" w14:paraId="4C58CC2F" w14:textId="77777777" w:rsidTr="00EC2A65">
        <w:tc>
          <w:tcPr>
            <w:tcW w:w="1838" w:type="dxa"/>
          </w:tcPr>
          <w:p w14:paraId="2A9C7178" w14:textId="15B0E9FA" w:rsidR="00A707D9" w:rsidRDefault="001B2C45" w:rsidP="00EC2A65">
            <w:pPr>
              <w:rPr>
                <w:szCs w:val="20"/>
                <w:lang w:eastAsia="zh-CN"/>
              </w:rPr>
            </w:pPr>
            <w:r>
              <w:rPr>
                <w:szCs w:val="20"/>
                <w:lang w:eastAsia="zh-CN"/>
              </w:rPr>
              <w:lastRenderedPageBreak/>
              <w:t>Nokia, NSB</w:t>
            </w:r>
          </w:p>
        </w:tc>
        <w:tc>
          <w:tcPr>
            <w:tcW w:w="7469" w:type="dxa"/>
          </w:tcPr>
          <w:p w14:paraId="05E35A87" w14:textId="2F632129" w:rsidR="00A707D9" w:rsidRDefault="001B2C45" w:rsidP="00EC2A65">
            <w:pPr>
              <w:rPr>
                <w:szCs w:val="20"/>
                <w:lang w:eastAsia="zh-CN"/>
              </w:rPr>
            </w:pPr>
            <w:r>
              <w:rPr>
                <w:szCs w:val="20"/>
                <w:lang w:eastAsia="zh-CN"/>
              </w:rPr>
              <w:t xml:space="preserve">On proposal 5, we support repetition of 2 and therefore do not </w:t>
            </w:r>
            <w:r w:rsidR="003A0D28">
              <w:rPr>
                <w:szCs w:val="20"/>
                <w:lang w:eastAsia="zh-CN"/>
              </w:rPr>
              <w:t xml:space="preserve">agree with </w:t>
            </w:r>
            <w:r>
              <w:rPr>
                <w:szCs w:val="20"/>
                <w:lang w:eastAsia="zh-CN"/>
              </w:rPr>
              <w:t>this proposal. Repetition can be used to increase data rate and it should be possible for the eNB to have this possibility.</w:t>
            </w:r>
          </w:p>
          <w:p w14:paraId="778D096D" w14:textId="34DBBA42" w:rsidR="001B2C45" w:rsidRDefault="001B2C45" w:rsidP="00EC2A65">
            <w:pPr>
              <w:rPr>
                <w:szCs w:val="20"/>
                <w:lang w:eastAsia="zh-CN"/>
              </w:rPr>
            </w:pPr>
            <w:r>
              <w:rPr>
                <w:szCs w:val="20"/>
                <w:lang w:eastAsia="zh-CN"/>
              </w:rPr>
              <w:t>We are fine with proposal 6.</w:t>
            </w:r>
          </w:p>
          <w:p w14:paraId="4EB9E37B" w14:textId="7E149B0C" w:rsidR="001B2C45" w:rsidRDefault="001B2C45" w:rsidP="00EC2A65">
            <w:pPr>
              <w:rPr>
                <w:szCs w:val="20"/>
                <w:lang w:eastAsia="zh-CN"/>
              </w:rPr>
            </w:pPr>
          </w:p>
        </w:tc>
      </w:tr>
      <w:tr w:rsidR="003202D9" w14:paraId="62C4B427" w14:textId="77777777" w:rsidTr="00EC2A65">
        <w:tc>
          <w:tcPr>
            <w:tcW w:w="1838" w:type="dxa"/>
          </w:tcPr>
          <w:p w14:paraId="70FBF4A7" w14:textId="68423AFD" w:rsidR="003202D9" w:rsidRDefault="003202D9" w:rsidP="00EC2A65">
            <w:pPr>
              <w:rPr>
                <w:szCs w:val="20"/>
                <w:lang w:eastAsia="zh-CN"/>
              </w:rPr>
            </w:pPr>
            <w:r>
              <w:rPr>
                <w:szCs w:val="20"/>
                <w:lang w:eastAsia="zh-CN"/>
              </w:rPr>
              <w:t>Qualcomm</w:t>
            </w:r>
          </w:p>
        </w:tc>
        <w:tc>
          <w:tcPr>
            <w:tcW w:w="7469" w:type="dxa"/>
          </w:tcPr>
          <w:p w14:paraId="0CE5B105" w14:textId="1EBA3C4A" w:rsidR="003202D9" w:rsidRDefault="003202D9" w:rsidP="00EC2A65">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4F099B" w14:paraId="22BF8005" w14:textId="77777777" w:rsidTr="00EC2A65">
        <w:tc>
          <w:tcPr>
            <w:tcW w:w="1838" w:type="dxa"/>
          </w:tcPr>
          <w:p w14:paraId="6E831546" w14:textId="7791A2E4" w:rsidR="004F099B" w:rsidRDefault="004F099B" w:rsidP="00EC2A65">
            <w:pPr>
              <w:rPr>
                <w:szCs w:val="20"/>
                <w:lang w:eastAsia="zh-CN"/>
              </w:rPr>
            </w:pPr>
            <w:r>
              <w:rPr>
                <w:rFonts w:hint="eastAsia"/>
                <w:szCs w:val="20"/>
                <w:lang w:eastAsia="zh-CN"/>
              </w:rPr>
              <w:t>H</w:t>
            </w:r>
            <w:r>
              <w:rPr>
                <w:szCs w:val="20"/>
                <w:lang w:eastAsia="zh-CN"/>
              </w:rPr>
              <w:t>uawei, HiSilicon</w:t>
            </w:r>
          </w:p>
        </w:tc>
        <w:tc>
          <w:tcPr>
            <w:tcW w:w="7469" w:type="dxa"/>
          </w:tcPr>
          <w:p w14:paraId="35D40B3A" w14:textId="56E38FE2" w:rsidR="004F099B" w:rsidRPr="00793E00" w:rsidRDefault="004F099B" w:rsidP="00EC2A65">
            <w:pPr>
              <w:rPr>
                <w:szCs w:val="20"/>
                <w:lang w:eastAsia="zh-CN"/>
              </w:rPr>
            </w:pPr>
            <w:r>
              <w:rPr>
                <w:szCs w:val="20"/>
                <w:lang w:eastAsia="zh-CN"/>
              </w:rPr>
              <w:t>Support proposal 5 and 6.</w:t>
            </w:r>
            <w:r w:rsidR="00793E00">
              <w:rPr>
                <w:szCs w:val="20"/>
                <w:lang w:eastAsia="zh-CN"/>
              </w:rPr>
              <w:t xml:space="preserve"> And we can also add the same FFS as the uplink, i.e. </w:t>
            </w:r>
            <w:r w:rsidR="00793E00" w:rsidRPr="00793E00">
              <w:rPr>
                <w:szCs w:val="20"/>
                <w:lang w:eastAsia="zh-CN"/>
              </w:rPr>
              <w:t>FFS: Applicability of 16-QAM for PUR or EDT.</w:t>
            </w:r>
          </w:p>
        </w:tc>
      </w:tr>
    </w:tbl>
    <w:p w14:paraId="590B83CC" w14:textId="77777777" w:rsidR="00A707D9" w:rsidRDefault="00A707D9"/>
    <w:p w14:paraId="0275526B" w14:textId="77777777" w:rsidR="00340DB0" w:rsidRDefault="006E7F95">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a8"/>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3pt;height:14.4pt" o:ole="">
                        <v:imagedata r:id="rId9" o:title=""/>
                      </v:shape>
                      <o:OLEObject Type="Embed" ProgID="Equation.3" ShapeID="_x0000_i1027" DrawAspect="Content" ObjectID="_1673180857"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3pt;height:21.3pt" o:ole="">
                        <v:imagedata r:id="rId15" o:title=""/>
                      </v:shape>
                      <o:OLEObject Type="Embed" ProgID="Equation.DSMT4" ShapeID="_x0000_i1028" DrawAspect="Content" ObjectID="_1673180858"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a9"/>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a9"/>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a9"/>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a9"/>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a9"/>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a9"/>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a9"/>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a9"/>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a9"/>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a9"/>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a9"/>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a9"/>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a9"/>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a9"/>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a9"/>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rsidRPr="00082E5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I_TBS=15, I_RU=6 : TBS=2472</w:t>
            </w:r>
          </w:p>
          <w:p w14:paraId="67D21ED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I_TBS=16, I_RU=6 : TBS=2536</w:t>
            </w:r>
          </w:p>
          <w:p w14:paraId="02F551C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I_TBS=19, I_RU=5 : TBS=2536</w:t>
            </w:r>
          </w:p>
          <w:p w14:paraId="7268146F" w14:textId="77777777" w:rsidR="00340DB0" w:rsidRPr="00082E50" w:rsidRDefault="00340DB0">
            <w:pPr>
              <w:rPr>
                <w:szCs w:val="20"/>
                <w:lang w:val="sv-SE"/>
              </w:rPr>
            </w:pPr>
          </w:p>
        </w:tc>
      </w:tr>
      <w:tr w:rsidR="00340DB0" w14:paraId="6215BA56" w14:textId="77777777">
        <w:tc>
          <w:tcPr>
            <w:tcW w:w="1838" w:type="dxa"/>
          </w:tcPr>
          <w:p w14:paraId="7238B1AE" w14:textId="7B0811B7" w:rsidR="00340DB0" w:rsidRDefault="00F97202">
            <w:pPr>
              <w:rPr>
                <w:szCs w:val="20"/>
              </w:rPr>
            </w:pPr>
            <w:r>
              <w:rPr>
                <w:rFonts w:hint="eastAsia"/>
                <w:szCs w:val="20"/>
              </w:rPr>
              <w:lastRenderedPageBreak/>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[2536] is replaced by 2536</w:t>
            </w:r>
          </w:p>
          <w:p w14:paraId="199B8F68"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2"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2"/>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3"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4" w:name="_Hlk58501397"/>
            <w:r w:rsidRPr="00802E3E">
              <w:rPr>
                <w:rFonts w:ascii="Arial" w:hAnsi="Arial"/>
                <w:b/>
                <w:bCs/>
                <w:sz w:val="20"/>
                <w:szCs w:val="20"/>
                <w:lang w:val="en-GB" w:eastAsia="zh-CN"/>
              </w:rPr>
              <w:t xml:space="preserve">to support a 12-subcarrier allocation </w:t>
            </w:r>
            <w:bookmarkEnd w:id="24"/>
            <w:r w:rsidRPr="00802E3E">
              <w:rPr>
                <w:rFonts w:ascii="Arial" w:hAnsi="Arial"/>
                <w:b/>
                <w:bCs/>
                <w:sz w:val="20"/>
                <w:szCs w:val="20"/>
                <w:lang w:val="en-GB" w:eastAsia="zh-CN"/>
              </w:rPr>
              <w:t>using 16-QAM for NPUSCH Format 1.</w:t>
            </w:r>
            <w:bookmarkEnd w:id="23"/>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5" w:name="_Toc61623410"/>
            <w:r>
              <w:rPr>
                <w:lang w:val="en-US"/>
              </w:rPr>
              <w:t xml:space="preserve">Observation 4 </w:t>
            </w:r>
            <w:r w:rsidRPr="004E4366">
              <w:t>Based on simulation results the Working Assumption for UL can be confirmed supporting a 12-subcarrier allocation using 16-QAM for NPUSCH Format 1</w:t>
            </w:r>
            <w:bookmarkEnd w:id="25"/>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af6"/>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szCs w:val="20"/>
                <w:lang w:eastAsia="zh-CN"/>
              </w:rPr>
            </w:pPr>
            <w:r>
              <w:rPr>
                <w:rFonts w:hint="eastAsia"/>
                <w:szCs w:val="20"/>
                <w:lang w:eastAsia="zh-CN"/>
              </w:rPr>
              <w:t>L</w:t>
            </w:r>
            <w:r>
              <w:rPr>
                <w:szCs w:val="20"/>
                <w:lang w:eastAsia="zh-CN"/>
              </w:rPr>
              <w:t>enovo&amp;MotoM</w:t>
            </w:r>
          </w:p>
        </w:tc>
        <w:tc>
          <w:tcPr>
            <w:tcW w:w="7469" w:type="dxa"/>
          </w:tcPr>
          <w:p w14:paraId="085E8D78" w14:textId="4354A454" w:rsidR="00836E52" w:rsidRDefault="00CA03C3" w:rsidP="00EC2A65">
            <w:pPr>
              <w:rPr>
                <w:szCs w:val="20"/>
                <w:lang w:eastAsia="zh-CN"/>
              </w:rPr>
            </w:pPr>
            <w:r>
              <w:rPr>
                <w:szCs w:val="20"/>
                <w:lang w:eastAsia="zh-CN"/>
              </w:rPr>
              <w:t>Support proposal 7</w:t>
            </w:r>
          </w:p>
        </w:tc>
      </w:tr>
      <w:tr w:rsidR="00836E52" w14:paraId="2E4866A0" w14:textId="77777777" w:rsidTr="00EC2A65">
        <w:tc>
          <w:tcPr>
            <w:tcW w:w="1838" w:type="dxa"/>
          </w:tcPr>
          <w:p w14:paraId="18705619" w14:textId="3BF3C5A1" w:rsidR="00836E52" w:rsidRDefault="00082E50" w:rsidP="00EC2A65">
            <w:pPr>
              <w:rPr>
                <w:szCs w:val="20"/>
              </w:rPr>
            </w:pPr>
            <w:r>
              <w:rPr>
                <w:color w:val="0070C0"/>
                <w:szCs w:val="20"/>
              </w:rPr>
              <w:t>Ericsson</w:t>
            </w:r>
          </w:p>
        </w:tc>
        <w:tc>
          <w:tcPr>
            <w:tcW w:w="7469" w:type="dxa"/>
          </w:tcPr>
          <w:p w14:paraId="28A3C850" w14:textId="65341672" w:rsidR="00836E52" w:rsidRDefault="00082E50" w:rsidP="00EC2A65">
            <w:pPr>
              <w:rPr>
                <w:szCs w:val="20"/>
              </w:rPr>
            </w:pPr>
            <w:r>
              <w:rPr>
                <w:color w:val="0070C0"/>
                <w:szCs w:val="20"/>
              </w:rPr>
              <w:t xml:space="preserve">We are fine. I just want to point out that the TBS/MCS table for UL will </w:t>
            </w:r>
            <w:r w:rsidRPr="008C0628">
              <w:rPr>
                <w:color w:val="0070C0"/>
                <w:szCs w:val="20"/>
              </w:rPr>
              <w:t>make possible to transmit the max Rel-16 TBS with half of the time-domain resources when 16-QAM is used</w:t>
            </w:r>
            <w:r>
              <w:rPr>
                <w:color w:val="0070C0"/>
                <w:szCs w:val="20"/>
              </w:rPr>
              <w:t xml:space="preserve"> (i.e., </w:t>
            </w:r>
            <w:r w:rsidRPr="008C0628">
              <w:rPr>
                <w:color w:val="0070C0"/>
                <w:szCs w:val="20"/>
              </w:rPr>
              <w:t>TBS = 2536 bits</w:t>
            </w:r>
            <w:r>
              <w:rPr>
                <w:color w:val="0070C0"/>
                <w:szCs w:val="20"/>
              </w:rPr>
              <w:t xml:space="preserve"> with I_RU = 4)</w:t>
            </w:r>
            <w:r w:rsidRPr="008C0628">
              <w:rPr>
                <w:color w:val="0070C0"/>
                <w:szCs w:val="20"/>
              </w:rPr>
              <w:t>, which is an ability that DL should also have</w:t>
            </w:r>
            <w:r>
              <w:rPr>
                <w:color w:val="0070C0"/>
                <w:szCs w:val="20"/>
              </w:rPr>
              <w:t>.</w:t>
            </w:r>
          </w:p>
        </w:tc>
      </w:tr>
      <w:tr w:rsidR="00836E52" w14:paraId="208BAC6B" w14:textId="77777777" w:rsidTr="00EC2A65">
        <w:tc>
          <w:tcPr>
            <w:tcW w:w="1838" w:type="dxa"/>
          </w:tcPr>
          <w:p w14:paraId="2A95DF7E" w14:textId="7DE2EAD4" w:rsidR="00836E52" w:rsidRDefault="001B2C45" w:rsidP="00EC2A65">
            <w:pPr>
              <w:rPr>
                <w:szCs w:val="20"/>
                <w:lang w:eastAsia="zh-CN"/>
              </w:rPr>
            </w:pPr>
            <w:r>
              <w:rPr>
                <w:szCs w:val="20"/>
                <w:lang w:eastAsia="zh-CN"/>
              </w:rPr>
              <w:t>Nokia, NSB</w:t>
            </w:r>
          </w:p>
        </w:tc>
        <w:tc>
          <w:tcPr>
            <w:tcW w:w="7469" w:type="dxa"/>
          </w:tcPr>
          <w:p w14:paraId="52ABB6AB" w14:textId="2C1C7295" w:rsidR="00836E52" w:rsidRDefault="001B2C45" w:rsidP="00EC2A65">
            <w:pPr>
              <w:rPr>
                <w:szCs w:val="20"/>
                <w:lang w:eastAsia="zh-CN"/>
              </w:rPr>
            </w:pPr>
            <w:r>
              <w:rPr>
                <w:szCs w:val="20"/>
                <w:lang w:eastAsia="zh-CN"/>
              </w:rPr>
              <w:t>We support proposal 7</w:t>
            </w:r>
          </w:p>
        </w:tc>
      </w:tr>
      <w:tr w:rsidR="003202D9" w14:paraId="01548879" w14:textId="77777777" w:rsidTr="00EC2A65">
        <w:tc>
          <w:tcPr>
            <w:tcW w:w="1838" w:type="dxa"/>
          </w:tcPr>
          <w:p w14:paraId="02D03BA6" w14:textId="1DD6C8D6" w:rsidR="003202D9" w:rsidRDefault="003202D9" w:rsidP="00EC2A65">
            <w:pPr>
              <w:rPr>
                <w:szCs w:val="20"/>
                <w:lang w:eastAsia="zh-CN"/>
              </w:rPr>
            </w:pPr>
            <w:r>
              <w:rPr>
                <w:szCs w:val="20"/>
                <w:lang w:eastAsia="zh-CN"/>
              </w:rPr>
              <w:t>Qualcomm</w:t>
            </w:r>
          </w:p>
        </w:tc>
        <w:tc>
          <w:tcPr>
            <w:tcW w:w="7469" w:type="dxa"/>
          </w:tcPr>
          <w:p w14:paraId="098D0063" w14:textId="736A40E3" w:rsidR="003202D9" w:rsidRDefault="003202D9" w:rsidP="00EC2A65">
            <w:pPr>
              <w:rPr>
                <w:szCs w:val="20"/>
                <w:lang w:eastAsia="zh-CN"/>
              </w:rPr>
            </w:pPr>
            <w:r>
              <w:rPr>
                <w:szCs w:val="20"/>
                <w:lang w:eastAsia="zh-CN"/>
              </w:rPr>
              <w:t>Support proposal 7.</w:t>
            </w:r>
          </w:p>
        </w:tc>
      </w:tr>
      <w:tr w:rsidR="004F099B" w14:paraId="0AE82B73" w14:textId="77777777" w:rsidTr="00EC2A65">
        <w:tc>
          <w:tcPr>
            <w:tcW w:w="1838" w:type="dxa"/>
          </w:tcPr>
          <w:p w14:paraId="08E4C6CE" w14:textId="0729D8A6" w:rsidR="004F099B" w:rsidRDefault="004F099B" w:rsidP="00EC2A65">
            <w:pPr>
              <w:rPr>
                <w:szCs w:val="20"/>
                <w:lang w:eastAsia="zh-CN"/>
              </w:rPr>
            </w:pPr>
            <w:r>
              <w:rPr>
                <w:rFonts w:hint="eastAsia"/>
                <w:szCs w:val="20"/>
                <w:lang w:eastAsia="zh-CN"/>
              </w:rPr>
              <w:t>H</w:t>
            </w:r>
            <w:r>
              <w:rPr>
                <w:szCs w:val="20"/>
                <w:lang w:eastAsia="zh-CN"/>
              </w:rPr>
              <w:t>uawei, HiSilicon</w:t>
            </w:r>
          </w:p>
        </w:tc>
        <w:tc>
          <w:tcPr>
            <w:tcW w:w="7469" w:type="dxa"/>
          </w:tcPr>
          <w:p w14:paraId="4BAB6FAD" w14:textId="73BC35E3" w:rsidR="004F099B" w:rsidRDefault="004F099B" w:rsidP="00EC2A65">
            <w:pPr>
              <w:rPr>
                <w:szCs w:val="20"/>
                <w:lang w:eastAsia="zh-CN"/>
              </w:rPr>
            </w:pPr>
            <w:r w:rsidRPr="004F099B">
              <w:rPr>
                <w:szCs w:val="20"/>
                <w:lang w:eastAsia="zh-CN"/>
              </w:rPr>
              <w:t>Support proposal 7</w:t>
            </w: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a6"/>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6"/>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7"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7"/>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a6"/>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af6"/>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2DAD6E10" w14:textId="4708C912" w:rsidR="0046479B" w:rsidRPr="00CC5E6A" w:rsidRDefault="00982B2D"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szCs w:val="20"/>
                <w:lang w:eastAsia="zh-CN"/>
              </w:rPr>
            </w:pPr>
            <w:r>
              <w:rPr>
                <w:szCs w:val="20"/>
                <w:lang w:eastAsia="zh-CN"/>
              </w:rPr>
              <w:t>Lenovo&amp;MotoM</w:t>
            </w:r>
          </w:p>
        </w:tc>
        <w:tc>
          <w:tcPr>
            <w:tcW w:w="7469" w:type="dxa"/>
          </w:tcPr>
          <w:p w14:paraId="62835734" w14:textId="7FCD5A23" w:rsidR="005060D1" w:rsidRDefault="00252FAE" w:rsidP="00EC2A65">
            <w:pPr>
              <w:rPr>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200548A3" w:rsidR="005060D1" w:rsidRDefault="00082E50" w:rsidP="00EC2A65">
            <w:pPr>
              <w:rPr>
                <w:szCs w:val="20"/>
              </w:rPr>
            </w:pPr>
            <w:r w:rsidRPr="00E30C90">
              <w:rPr>
                <w:color w:val="0070C0"/>
                <w:szCs w:val="20"/>
              </w:rPr>
              <w:t>Ericsson</w:t>
            </w:r>
          </w:p>
        </w:tc>
        <w:tc>
          <w:tcPr>
            <w:tcW w:w="7469" w:type="dxa"/>
          </w:tcPr>
          <w:p w14:paraId="6D69C643" w14:textId="3F6EA976" w:rsidR="005060D1" w:rsidRPr="007D1675" w:rsidRDefault="00082E50" w:rsidP="00082E50">
            <w:pPr>
              <w:rPr>
                <w:color w:val="0070C0"/>
                <w:szCs w:val="20"/>
              </w:rPr>
            </w:pPr>
            <w:r w:rsidRPr="00E30C90">
              <w:rPr>
                <w:color w:val="0070C0"/>
                <w:szCs w:val="20"/>
              </w:rPr>
              <w:t xml:space="preserve">We </w:t>
            </w:r>
            <w:r>
              <w:rPr>
                <w:color w:val="0070C0"/>
                <w:szCs w:val="20"/>
              </w:rPr>
              <w:t>support Option 2</w:t>
            </w:r>
            <w:r w:rsidRPr="00E30C90">
              <w:rPr>
                <w:color w:val="0070C0"/>
                <w:szCs w:val="20"/>
              </w:rPr>
              <w:t xml:space="preserve">, </w:t>
            </w:r>
            <w:r>
              <w:rPr>
                <w:color w:val="0070C0"/>
                <w:szCs w:val="20"/>
              </w:rPr>
              <w:t xml:space="preserve">under the </w:t>
            </w:r>
            <w:r w:rsidRPr="00E30C90">
              <w:rPr>
                <w:color w:val="0070C0"/>
                <w:szCs w:val="20"/>
              </w:rPr>
              <w:t xml:space="preserve">understanding that proposal </w:t>
            </w:r>
            <w:r>
              <w:rPr>
                <w:color w:val="0070C0"/>
                <w:szCs w:val="20"/>
              </w:rPr>
              <w:t>8</w:t>
            </w:r>
            <w:r w:rsidRPr="00E30C90">
              <w:rPr>
                <w:color w:val="0070C0"/>
                <w:szCs w:val="20"/>
              </w:rPr>
              <w:t xml:space="preserve"> </w:t>
            </w:r>
            <w:r>
              <w:rPr>
                <w:color w:val="0070C0"/>
                <w:szCs w:val="20"/>
              </w:rPr>
              <w:t xml:space="preserve">option 2 </w:t>
            </w:r>
            <w:r w:rsidRPr="00E30C90">
              <w:rPr>
                <w:color w:val="0070C0"/>
                <w:szCs w:val="20"/>
              </w:rPr>
              <w:t>means in terms of breaking-point</w:t>
            </w:r>
            <w:r w:rsidR="007D1675">
              <w:rPr>
                <w:color w:val="0070C0"/>
                <w:szCs w:val="20"/>
              </w:rPr>
              <w:t xml:space="preserve"> that</w:t>
            </w:r>
            <w:r w:rsidRPr="00E30C90">
              <w:rPr>
                <w:color w:val="0070C0"/>
                <w:szCs w:val="20"/>
              </w:rPr>
              <w:t xml:space="preserve"> I_TBS = 13 </w:t>
            </w:r>
            <w:r w:rsidR="007D1675">
              <w:rPr>
                <w:color w:val="0070C0"/>
                <w:szCs w:val="20"/>
              </w:rPr>
              <w:t xml:space="preserve">is </w:t>
            </w:r>
            <w:r w:rsidRPr="00E30C90">
              <w:rPr>
                <w:color w:val="0070C0"/>
                <w:szCs w:val="20"/>
              </w:rPr>
              <w:t xml:space="preserve">the last I_TBS index used for QPSK and I_TBS = 14 </w:t>
            </w:r>
            <w:r w:rsidR="007D1675">
              <w:rPr>
                <w:color w:val="0070C0"/>
                <w:szCs w:val="20"/>
              </w:rPr>
              <w:t xml:space="preserve">is </w:t>
            </w:r>
            <w:r w:rsidRPr="00E30C90">
              <w:rPr>
                <w:color w:val="0070C0"/>
                <w:szCs w:val="20"/>
              </w:rPr>
              <w:t>the first I_TBS index used for</w:t>
            </w:r>
            <w:r>
              <w:rPr>
                <w:color w:val="0070C0"/>
                <w:szCs w:val="20"/>
              </w:rPr>
              <w:t xml:space="preserve"> </w:t>
            </w:r>
            <w:r w:rsidRPr="00E30C90">
              <w:rPr>
                <w:color w:val="0070C0"/>
                <w:szCs w:val="20"/>
              </w:rPr>
              <w:t>16-QAM.</w:t>
            </w:r>
          </w:p>
        </w:tc>
      </w:tr>
      <w:tr w:rsidR="005060D1" w14:paraId="7DF83C02" w14:textId="77777777" w:rsidTr="00EC2A65">
        <w:tc>
          <w:tcPr>
            <w:tcW w:w="1838" w:type="dxa"/>
          </w:tcPr>
          <w:p w14:paraId="138AC876" w14:textId="2D879095" w:rsidR="005060D1" w:rsidRDefault="00CE02D7" w:rsidP="00EC2A65">
            <w:pPr>
              <w:rPr>
                <w:szCs w:val="20"/>
                <w:lang w:eastAsia="zh-CN"/>
              </w:rPr>
            </w:pPr>
            <w:r>
              <w:rPr>
                <w:szCs w:val="20"/>
                <w:lang w:eastAsia="zh-CN"/>
              </w:rPr>
              <w:t>Nokia, NSB</w:t>
            </w:r>
          </w:p>
        </w:tc>
        <w:tc>
          <w:tcPr>
            <w:tcW w:w="7469" w:type="dxa"/>
          </w:tcPr>
          <w:p w14:paraId="4E390EC3" w14:textId="6F5C9649" w:rsidR="005060D1" w:rsidRDefault="00CE02D7" w:rsidP="00EC2A65">
            <w:pPr>
              <w:rPr>
                <w:szCs w:val="20"/>
                <w:lang w:eastAsia="zh-CN"/>
              </w:rPr>
            </w:pPr>
            <w:r>
              <w:rPr>
                <w:szCs w:val="20"/>
                <w:lang w:eastAsia="zh-CN"/>
              </w:rPr>
              <w:t xml:space="preserve">We are fine with the proposal and support Option 2. </w:t>
            </w:r>
            <w:r w:rsidR="003A0D28">
              <w:rPr>
                <w:szCs w:val="20"/>
                <w:lang w:eastAsia="zh-CN"/>
              </w:rPr>
              <w:t>In our analysis, using QPSK for I_TBS = 13 would result in better performance and also maintain the same MCS selection as legacy.</w:t>
            </w:r>
          </w:p>
        </w:tc>
      </w:tr>
      <w:tr w:rsidR="004F099B" w14:paraId="307A45CE" w14:textId="77777777" w:rsidTr="00EC2A65">
        <w:tc>
          <w:tcPr>
            <w:tcW w:w="1838" w:type="dxa"/>
          </w:tcPr>
          <w:p w14:paraId="0BA731A6" w14:textId="6225412E" w:rsidR="004F099B" w:rsidRDefault="004F099B" w:rsidP="004F099B">
            <w:pPr>
              <w:rPr>
                <w:szCs w:val="20"/>
                <w:lang w:eastAsia="zh-CN"/>
              </w:rPr>
            </w:pPr>
            <w:r>
              <w:rPr>
                <w:rFonts w:hint="eastAsia"/>
              </w:rPr>
              <w:t>Huawei,</w:t>
            </w:r>
            <w:r>
              <w:t xml:space="preserve"> </w:t>
            </w:r>
            <w:r>
              <w:rPr>
                <w:rFonts w:hint="eastAsia"/>
              </w:rPr>
              <w:t>HiSilicon</w:t>
            </w:r>
          </w:p>
        </w:tc>
        <w:tc>
          <w:tcPr>
            <w:tcW w:w="7469" w:type="dxa"/>
          </w:tcPr>
          <w:p w14:paraId="28286368" w14:textId="70F14AF8" w:rsidR="004F099B" w:rsidRDefault="004F099B" w:rsidP="004F099B">
            <w:pPr>
              <w:rPr>
                <w:szCs w:val="20"/>
                <w:lang w:eastAsia="zh-CN"/>
              </w:rPr>
            </w:pPr>
            <w:r>
              <w:rPr>
                <w:szCs w:val="20"/>
                <w:lang w:eastAsia="zh-CN"/>
              </w:rPr>
              <w:t>Support the proposal and prefer option 1.</w:t>
            </w:r>
          </w:p>
        </w:tc>
      </w:tr>
    </w:tbl>
    <w:p w14:paraId="20726FC6" w14:textId="3BB9CDEB" w:rsidR="00340DB0" w:rsidRDefault="00340DB0">
      <w:pPr>
        <w:pStyle w:val="a6"/>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lastRenderedPageBreak/>
              <w:t>Proposal 7: Muli-tone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lastRenderedPageBreak/>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8"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8"/>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9"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9"/>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30"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30"/>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1"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1"/>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2"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2"/>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3"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3"/>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4"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4"/>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5"/>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6"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6"/>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Pr="00082E50" w:rsidRDefault="009A3566" w:rsidP="00FF4051">
      <w:pPr>
        <w:pStyle w:val="af6"/>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 xml:space="preserve">ZTE, Lenovo, Moto, </w:t>
      </w:r>
      <w:r w:rsidR="00672799" w:rsidRPr="00082E50">
        <w:rPr>
          <w:rFonts w:ascii="Times New Roman" w:hAnsi="Times New Roman" w:cs="Times New Roman"/>
          <w:sz w:val="22"/>
          <w:lang w:val="es-MX"/>
        </w:rPr>
        <w:t>Ericsson</w:t>
      </w:r>
    </w:p>
    <w:p w14:paraId="374D9695" w14:textId="017F306C" w:rsidR="00FA1341"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lastRenderedPageBreak/>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af6"/>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af6"/>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t>Support proposal 11.</w:t>
            </w:r>
          </w:p>
        </w:tc>
      </w:tr>
      <w:tr w:rsidR="00A550F0" w14:paraId="282F7B09" w14:textId="77777777" w:rsidTr="00EC2A65">
        <w:tc>
          <w:tcPr>
            <w:tcW w:w="1838" w:type="dxa"/>
          </w:tcPr>
          <w:p w14:paraId="2EC182BE" w14:textId="5F5C2ADE" w:rsidR="00A550F0" w:rsidRDefault="003935CF" w:rsidP="00EC2A65">
            <w:pPr>
              <w:rPr>
                <w:szCs w:val="20"/>
              </w:rPr>
            </w:pPr>
            <w:r>
              <w:rPr>
                <w:color w:val="0070C0"/>
                <w:szCs w:val="20"/>
              </w:rPr>
              <w:t>Ericsson</w:t>
            </w:r>
          </w:p>
        </w:tc>
        <w:tc>
          <w:tcPr>
            <w:tcW w:w="7469" w:type="dxa"/>
          </w:tcPr>
          <w:p w14:paraId="1E45205E" w14:textId="77777777" w:rsidR="003935CF" w:rsidRDefault="003935CF" w:rsidP="003935CF">
            <w:pPr>
              <w:rPr>
                <w:color w:val="0070C0"/>
                <w:szCs w:val="20"/>
              </w:rPr>
            </w:pPr>
            <w:r>
              <w:rPr>
                <w:color w:val="0070C0"/>
                <w:szCs w:val="20"/>
              </w:rPr>
              <w:t>On proposal 9:</w:t>
            </w:r>
          </w:p>
          <w:p w14:paraId="5CF76EF1" w14:textId="77777777" w:rsidR="003935CF" w:rsidRDefault="003935CF" w:rsidP="003935CF">
            <w:pPr>
              <w:rPr>
                <w:color w:val="0070C0"/>
                <w:szCs w:val="20"/>
              </w:rPr>
            </w:pPr>
            <w:r>
              <w:rPr>
                <w:color w:val="0070C0"/>
                <w:szCs w:val="20"/>
              </w:rPr>
              <w:t>We support Option 1, we suggest to state “NPUSCH Format 1” rather than just “NPUSCH”.</w:t>
            </w:r>
          </w:p>
          <w:p w14:paraId="1B68079E" w14:textId="77777777" w:rsidR="003935CF" w:rsidRDefault="003935CF" w:rsidP="003935CF">
            <w:pPr>
              <w:rPr>
                <w:color w:val="0070C0"/>
                <w:szCs w:val="20"/>
              </w:rPr>
            </w:pPr>
            <w:r>
              <w:rPr>
                <w:color w:val="0070C0"/>
                <w:szCs w:val="20"/>
              </w:rPr>
              <w:t>On proposal 10:</w:t>
            </w:r>
          </w:p>
          <w:p w14:paraId="00F8F9BD" w14:textId="3FB946E4" w:rsidR="003935CF" w:rsidRDefault="003935CF" w:rsidP="003935CF">
            <w:pPr>
              <w:rPr>
                <w:color w:val="0070C0"/>
                <w:szCs w:val="20"/>
              </w:rPr>
            </w:pPr>
            <w:r>
              <w:rPr>
                <w:color w:val="0070C0"/>
                <w:szCs w:val="20"/>
              </w:rPr>
              <w:t xml:space="preserve">We are ok since there is no </w:t>
            </w:r>
            <w:r w:rsidR="003378C2">
              <w:rPr>
                <w:color w:val="0070C0"/>
                <w:szCs w:val="20"/>
              </w:rPr>
              <w:t>analysis</w:t>
            </w:r>
            <w:r>
              <w:rPr>
                <w:color w:val="0070C0"/>
                <w:szCs w:val="20"/>
              </w:rPr>
              <w:t xml:space="preserve"> or evaluation we can refer as to support it.</w:t>
            </w:r>
          </w:p>
          <w:p w14:paraId="6A918A1F" w14:textId="77777777" w:rsidR="003935CF" w:rsidRDefault="003935CF" w:rsidP="003935CF">
            <w:pPr>
              <w:rPr>
                <w:color w:val="0070C0"/>
                <w:szCs w:val="20"/>
              </w:rPr>
            </w:pPr>
            <w:r>
              <w:rPr>
                <w:color w:val="0070C0"/>
                <w:szCs w:val="20"/>
              </w:rPr>
              <w:t>On proposal 11:</w:t>
            </w:r>
          </w:p>
          <w:p w14:paraId="50C17196" w14:textId="6C6CA585" w:rsidR="00A550F0" w:rsidRDefault="003935CF" w:rsidP="003935CF">
            <w:pPr>
              <w:rPr>
                <w:szCs w:val="20"/>
              </w:rPr>
            </w:pPr>
            <w:r>
              <w:rPr>
                <w:color w:val="0070C0"/>
                <w:szCs w:val="20"/>
              </w:rPr>
              <w:t>We are ok with it.</w:t>
            </w:r>
          </w:p>
        </w:tc>
      </w:tr>
      <w:tr w:rsidR="00A550F0" w14:paraId="4372FFCF" w14:textId="77777777" w:rsidTr="00EC2A65">
        <w:tc>
          <w:tcPr>
            <w:tcW w:w="1838" w:type="dxa"/>
          </w:tcPr>
          <w:p w14:paraId="408FBF31" w14:textId="3760A60D" w:rsidR="00A550F0" w:rsidRDefault="00CE02D7" w:rsidP="00EC2A65">
            <w:pPr>
              <w:rPr>
                <w:szCs w:val="20"/>
                <w:lang w:eastAsia="zh-CN"/>
              </w:rPr>
            </w:pPr>
            <w:r>
              <w:rPr>
                <w:szCs w:val="20"/>
                <w:lang w:eastAsia="zh-CN"/>
              </w:rPr>
              <w:t>Nokia, NSB</w:t>
            </w:r>
          </w:p>
        </w:tc>
        <w:tc>
          <w:tcPr>
            <w:tcW w:w="7469" w:type="dxa"/>
          </w:tcPr>
          <w:p w14:paraId="5B4391C3" w14:textId="77777777" w:rsidR="00A550F0" w:rsidRDefault="00EB7E97" w:rsidP="00EC2A65">
            <w:pPr>
              <w:rPr>
                <w:szCs w:val="20"/>
                <w:lang w:eastAsia="zh-CN"/>
              </w:rPr>
            </w:pPr>
            <w:r>
              <w:rPr>
                <w:szCs w:val="20"/>
                <w:lang w:eastAsia="zh-CN"/>
              </w:rPr>
              <w:t>We are fine with the three proposals.</w:t>
            </w:r>
          </w:p>
          <w:p w14:paraId="757C769B" w14:textId="57DE1370" w:rsidR="00EB7E97" w:rsidRDefault="00EB7E97" w:rsidP="00EC2A65">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65A69A1C" w14:textId="545C7A51" w:rsidR="00EB7E97" w:rsidRDefault="003A0D28" w:rsidP="003A0D28">
            <w:pPr>
              <w:rPr>
                <w:szCs w:val="20"/>
                <w:lang w:eastAsia="zh-CN"/>
              </w:rPr>
            </w:pPr>
            <w:r>
              <w:rPr>
                <w:szCs w:val="20"/>
                <w:lang w:eastAsia="zh-CN"/>
              </w:rPr>
              <w:t>We are fine with proposal 11. However, at least for EDT we don’t see the need to support 16-QAM so we would be OK to remove EDT from the FFS.</w:t>
            </w:r>
          </w:p>
        </w:tc>
      </w:tr>
      <w:tr w:rsidR="003202D9" w14:paraId="64D60D9D" w14:textId="77777777" w:rsidTr="00EC2A65">
        <w:tc>
          <w:tcPr>
            <w:tcW w:w="1838" w:type="dxa"/>
          </w:tcPr>
          <w:p w14:paraId="67959A27" w14:textId="73C71A72" w:rsidR="003202D9" w:rsidRDefault="003202D9" w:rsidP="00EC2A65">
            <w:pPr>
              <w:rPr>
                <w:szCs w:val="20"/>
                <w:lang w:eastAsia="zh-CN"/>
              </w:rPr>
            </w:pPr>
            <w:r>
              <w:rPr>
                <w:szCs w:val="20"/>
                <w:lang w:eastAsia="zh-CN"/>
              </w:rPr>
              <w:t>Qualcomm</w:t>
            </w:r>
          </w:p>
        </w:tc>
        <w:tc>
          <w:tcPr>
            <w:tcW w:w="7469" w:type="dxa"/>
          </w:tcPr>
          <w:p w14:paraId="7147A6C7" w14:textId="73CBE8A2" w:rsidR="003202D9" w:rsidRDefault="003202D9" w:rsidP="00EC2A65">
            <w:pPr>
              <w:rPr>
                <w:szCs w:val="20"/>
                <w:lang w:eastAsia="zh-CN"/>
              </w:rPr>
            </w:pPr>
            <w:r>
              <w:rPr>
                <w:szCs w:val="20"/>
                <w:lang w:eastAsia="zh-CN"/>
              </w:rPr>
              <w:t xml:space="preserve">Support all proposals. </w:t>
            </w:r>
          </w:p>
        </w:tc>
      </w:tr>
      <w:tr w:rsidR="00903521" w14:paraId="541F5572" w14:textId="77777777" w:rsidTr="00EC2A65">
        <w:tc>
          <w:tcPr>
            <w:tcW w:w="1838" w:type="dxa"/>
          </w:tcPr>
          <w:p w14:paraId="2C4B53BA" w14:textId="7043C454" w:rsidR="00903521" w:rsidRDefault="00903521" w:rsidP="00EC2A65">
            <w:pPr>
              <w:rPr>
                <w:szCs w:val="20"/>
                <w:lang w:eastAsia="zh-CN"/>
              </w:rPr>
            </w:pPr>
            <w:r>
              <w:rPr>
                <w:szCs w:val="20"/>
                <w:lang w:eastAsia="zh-CN"/>
              </w:rPr>
              <w:t>Huawei, HiSilicon</w:t>
            </w:r>
          </w:p>
        </w:tc>
        <w:tc>
          <w:tcPr>
            <w:tcW w:w="7469" w:type="dxa"/>
          </w:tcPr>
          <w:p w14:paraId="60D7DBFD" w14:textId="16C3EDB9" w:rsidR="00903521" w:rsidRDefault="00903521" w:rsidP="00EC2A65">
            <w:pPr>
              <w:rPr>
                <w:szCs w:val="20"/>
                <w:lang w:eastAsia="zh-CN"/>
              </w:rPr>
            </w:pPr>
            <w:r w:rsidRPr="00903521">
              <w:rPr>
                <w:szCs w:val="20"/>
                <w:lang w:eastAsia="zh-CN"/>
              </w:rPr>
              <w:t>We support option 1 of proposal 9 due to the advantages of achieving higher data rate and scheduling flexibility for 16QAM. We support proposal 10 and proposal 11.</w:t>
            </w:r>
          </w:p>
        </w:tc>
      </w:tr>
    </w:tbl>
    <w:p w14:paraId="383A1041" w14:textId="4E49F026" w:rsidR="00340DB0" w:rsidRDefault="00340DB0">
      <w:pPr>
        <w:pStyle w:val="a6"/>
        <w:jc w:val="left"/>
      </w:pPr>
    </w:p>
    <w:p w14:paraId="63E3323C" w14:textId="77777777" w:rsidR="00340DB0" w:rsidRDefault="00340DB0">
      <w:pPr>
        <w:rPr>
          <w:b/>
        </w:rPr>
      </w:pPr>
    </w:p>
    <w:p w14:paraId="1E0B0981" w14:textId="77777777" w:rsidR="00340DB0" w:rsidRDefault="006E7F95">
      <w:pPr>
        <w:pStyle w:val="2"/>
        <w:rPr>
          <w:lang w:eastAsia="zh-CN"/>
        </w:rPr>
      </w:pPr>
      <w:r>
        <w:rPr>
          <w:lang w:eastAsia="zh-CN"/>
        </w:rPr>
        <w:lastRenderedPageBreak/>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a6"/>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af6"/>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af6"/>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t>MCS 0~13 correspond to TBS 0~13 with QPSK</w:t>
            </w:r>
          </w:p>
          <w:p w14:paraId="50859F80" w14:textId="77777777" w:rsidR="00671B41" w:rsidRPr="006E5FED" w:rsidRDefault="00671B41" w:rsidP="00671B41">
            <w:pPr>
              <w:pStyle w:val="af6"/>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lastRenderedPageBreak/>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a6"/>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szCs w:val="20"/>
                <w:lang w:eastAsia="zh-CN"/>
              </w:rPr>
            </w:pPr>
            <w:r>
              <w:rPr>
                <w:szCs w:val="20"/>
                <w:lang w:eastAsia="zh-CN"/>
              </w:rPr>
              <w:t>Lenovo&amp;MotoM</w:t>
            </w:r>
          </w:p>
        </w:tc>
        <w:tc>
          <w:tcPr>
            <w:tcW w:w="7469" w:type="dxa"/>
          </w:tcPr>
          <w:p w14:paraId="6B8D5D0B" w14:textId="6D63F310" w:rsidR="00E42028" w:rsidRDefault="00F27CB2" w:rsidP="00EC2A65">
            <w:pPr>
              <w:rPr>
                <w:szCs w:val="20"/>
                <w:lang w:eastAsia="zh-CN"/>
              </w:rPr>
            </w:pPr>
            <w:r>
              <w:rPr>
                <w:szCs w:val="20"/>
                <w:lang w:eastAsia="zh-CN"/>
              </w:rPr>
              <w:t>Support proposal 12</w:t>
            </w:r>
          </w:p>
        </w:tc>
      </w:tr>
      <w:tr w:rsidR="00E42028" w14:paraId="02E7A301" w14:textId="77777777" w:rsidTr="00EC2A65">
        <w:tc>
          <w:tcPr>
            <w:tcW w:w="1838" w:type="dxa"/>
          </w:tcPr>
          <w:p w14:paraId="4E55CD69" w14:textId="6CED2946" w:rsidR="00E42028" w:rsidRDefault="003935CF" w:rsidP="00EC2A65">
            <w:pPr>
              <w:rPr>
                <w:szCs w:val="20"/>
              </w:rPr>
            </w:pPr>
            <w:r>
              <w:rPr>
                <w:color w:val="0070C0"/>
                <w:szCs w:val="20"/>
              </w:rPr>
              <w:t>Ericsson</w:t>
            </w:r>
          </w:p>
        </w:tc>
        <w:tc>
          <w:tcPr>
            <w:tcW w:w="7469" w:type="dxa"/>
          </w:tcPr>
          <w:p w14:paraId="4CB62649" w14:textId="53E63932" w:rsidR="00E42028" w:rsidRDefault="003935CF" w:rsidP="00EC2A65">
            <w:pPr>
              <w:rPr>
                <w:szCs w:val="20"/>
              </w:rPr>
            </w:pPr>
            <w:r>
              <w:rPr>
                <w:color w:val="0070C0"/>
                <w:szCs w:val="20"/>
              </w:rPr>
              <w:t>We need to settle and agree first on the TBS/MCS tables, and then we can come back to start discussing DCI design aspects.</w:t>
            </w:r>
          </w:p>
        </w:tc>
      </w:tr>
      <w:tr w:rsidR="00E42028" w14:paraId="0BE3A930" w14:textId="77777777" w:rsidTr="00EC2A65">
        <w:tc>
          <w:tcPr>
            <w:tcW w:w="1838" w:type="dxa"/>
          </w:tcPr>
          <w:p w14:paraId="0B6500BC" w14:textId="5C86A021" w:rsidR="00E42028" w:rsidRDefault="00EB7E97" w:rsidP="00EC2A65">
            <w:pPr>
              <w:rPr>
                <w:szCs w:val="20"/>
                <w:lang w:eastAsia="zh-CN"/>
              </w:rPr>
            </w:pPr>
            <w:r>
              <w:rPr>
                <w:szCs w:val="20"/>
                <w:lang w:eastAsia="zh-CN"/>
              </w:rPr>
              <w:t>Nokia, NSB</w:t>
            </w:r>
          </w:p>
        </w:tc>
        <w:tc>
          <w:tcPr>
            <w:tcW w:w="7469" w:type="dxa"/>
          </w:tcPr>
          <w:p w14:paraId="3CD9D596" w14:textId="4510A006" w:rsidR="00E42028" w:rsidRDefault="00EB7E97" w:rsidP="00EC2A65">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3202D9" w14:paraId="4EE32229" w14:textId="77777777" w:rsidTr="00EC2A65">
        <w:tc>
          <w:tcPr>
            <w:tcW w:w="1838" w:type="dxa"/>
          </w:tcPr>
          <w:p w14:paraId="0C5F6EEA" w14:textId="42B5F76D" w:rsidR="003202D9" w:rsidRDefault="003202D9" w:rsidP="00EC2A65">
            <w:pPr>
              <w:rPr>
                <w:szCs w:val="20"/>
                <w:lang w:eastAsia="zh-CN"/>
              </w:rPr>
            </w:pPr>
            <w:r>
              <w:rPr>
                <w:szCs w:val="20"/>
                <w:lang w:eastAsia="zh-CN"/>
              </w:rPr>
              <w:t>Qualcomm</w:t>
            </w:r>
          </w:p>
        </w:tc>
        <w:tc>
          <w:tcPr>
            <w:tcW w:w="7469" w:type="dxa"/>
          </w:tcPr>
          <w:p w14:paraId="12063CF4" w14:textId="77777777" w:rsidR="003202D9" w:rsidRDefault="003202D9" w:rsidP="00EC2A65">
            <w:pPr>
              <w:rPr>
                <w:szCs w:val="20"/>
                <w:lang w:eastAsia="zh-CN"/>
              </w:rPr>
            </w:pPr>
            <w:r>
              <w:rPr>
                <w:szCs w:val="20"/>
                <w:lang w:eastAsia="zh-CN"/>
              </w:rPr>
              <w:t>We should first decide on what features apply (e.g. repetitions / no repetitions), and then we can decide on this.</w:t>
            </w:r>
          </w:p>
          <w:p w14:paraId="442EB504" w14:textId="504AB23F" w:rsidR="003202D9" w:rsidRDefault="003202D9" w:rsidP="00EC2A65">
            <w:pPr>
              <w:rPr>
                <w:szCs w:val="20"/>
                <w:lang w:eastAsia="zh-CN"/>
              </w:rPr>
            </w:pPr>
            <w:r>
              <w:rPr>
                <w:szCs w:val="20"/>
                <w:lang w:eastAsia="zh-CN"/>
              </w:rPr>
              <w:t>If no repetitions are supported, we think this should be achievable.</w:t>
            </w:r>
          </w:p>
        </w:tc>
      </w:tr>
      <w:tr w:rsidR="00903521" w14:paraId="2559A85F" w14:textId="77777777" w:rsidTr="00EC2A65">
        <w:tc>
          <w:tcPr>
            <w:tcW w:w="1838" w:type="dxa"/>
          </w:tcPr>
          <w:p w14:paraId="4DA9A2BC" w14:textId="7B9D0492" w:rsidR="00903521" w:rsidRDefault="00903521" w:rsidP="00EC2A65">
            <w:pPr>
              <w:rPr>
                <w:szCs w:val="20"/>
                <w:lang w:eastAsia="zh-CN"/>
              </w:rPr>
            </w:pPr>
            <w:r>
              <w:rPr>
                <w:szCs w:val="20"/>
                <w:lang w:eastAsia="zh-CN"/>
              </w:rPr>
              <w:t>Huawei, HiSilicon</w:t>
            </w:r>
          </w:p>
        </w:tc>
        <w:tc>
          <w:tcPr>
            <w:tcW w:w="7469" w:type="dxa"/>
          </w:tcPr>
          <w:p w14:paraId="7FD4E4C7" w14:textId="130E5D3D" w:rsidR="00903521" w:rsidRDefault="00903521" w:rsidP="00EC2A65">
            <w:pPr>
              <w:rPr>
                <w:szCs w:val="20"/>
                <w:lang w:eastAsia="zh-CN"/>
              </w:rPr>
            </w:pPr>
            <w:r w:rsidRPr="00903521">
              <w:rPr>
                <w:szCs w:val="20"/>
                <w:lang w:eastAsia="zh-CN"/>
              </w:rPr>
              <w:t>Support proposal 12</w:t>
            </w:r>
          </w:p>
        </w:tc>
      </w:tr>
    </w:tbl>
    <w:p w14:paraId="1D20CDB7" w14:textId="77777777" w:rsidR="0067573F" w:rsidRDefault="0067573F">
      <w:pPr>
        <w:rPr>
          <w:b/>
        </w:rPr>
      </w:pPr>
    </w:p>
    <w:p w14:paraId="28814189" w14:textId="77777777" w:rsidR="00340DB0" w:rsidRDefault="006E7F95">
      <w:pPr>
        <w:pStyle w:val="2"/>
        <w:rPr>
          <w:lang w:eastAsia="zh-CN"/>
        </w:rPr>
      </w:pPr>
      <w:r>
        <w:rPr>
          <w:lang w:eastAsia="zh-CN"/>
        </w:rPr>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lastRenderedPageBreak/>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7" w:name="_Toc61448935"/>
            <w:r>
              <w:rPr>
                <w:rFonts w:ascii="Arial" w:hAnsi="Arial"/>
                <w:b/>
                <w:bCs/>
                <w:sz w:val="20"/>
                <w:szCs w:val="20"/>
                <w:lang w:eastAsia="zh-CN"/>
              </w:rPr>
              <w:t xml:space="preserve">Propsoal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7"/>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6"/>
            <w:r w:rsidRPr="00A36AEE">
              <w:rPr>
                <w:rFonts w:ascii="Arial" w:hAnsi="Arial"/>
                <w:b/>
                <w:bCs/>
                <w:sz w:val="20"/>
                <w:szCs w:val="20"/>
                <w:lang w:val="en-GB" w:eastAsia="zh-CN"/>
              </w:rPr>
              <w:t>Type A, NPDSCH in symbols without NRS: NPDSCH EPRE = NRS EPRE + ρ_a [dB]</w:t>
            </w:r>
            <w:bookmarkEnd w:id="38"/>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9" w:name="_Toc61448937"/>
            <w:r w:rsidRPr="00A36AEE">
              <w:rPr>
                <w:rFonts w:ascii="Arial" w:hAnsi="Arial"/>
                <w:b/>
                <w:bCs/>
                <w:sz w:val="20"/>
                <w:szCs w:val="20"/>
                <w:lang w:val="en-GB" w:eastAsia="zh-CN"/>
              </w:rPr>
              <w:t>Type B, NPDSCH in symbols with NRS: NPDSCH EPRE = NRS EPRE + ρ_b [dB]</w:t>
            </w:r>
            <w:bookmarkEnd w:id="39"/>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40" w:name="_Toc61448938"/>
            <w:r w:rsidRPr="00A36AEE">
              <w:rPr>
                <w:rFonts w:ascii="Arial" w:hAnsi="Arial"/>
                <w:b/>
                <w:bCs/>
                <w:sz w:val="20"/>
                <w:szCs w:val="20"/>
              </w:rPr>
              <w:t>Where:</w:t>
            </w:r>
            <w:bookmarkEnd w:id="40"/>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39"/>
            <w:r w:rsidRPr="00A36AEE">
              <w:rPr>
                <w:rFonts w:ascii="Arial" w:hAnsi="Arial"/>
                <w:b/>
                <w:bCs/>
                <w:sz w:val="20"/>
                <w:szCs w:val="20"/>
                <w:lang w:eastAsia="zh-CN"/>
              </w:rPr>
              <w:t>ρ_a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1"/>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2" w:name="_Toc61448940"/>
            <w:r w:rsidRPr="00A36AEE">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2"/>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3" w:name="_Toc61448941"/>
            <w:r>
              <w:rPr>
                <w:rFonts w:ascii="Arial" w:hAnsi="Arial"/>
                <w:b/>
                <w:bCs/>
                <w:sz w:val="20"/>
                <w:szCs w:val="20"/>
                <w:lang w:eastAsia="zh-CN"/>
              </w:rPr>
              <w:lastRenderedPageBreak/>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3"/>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2"/>
            <w:r w:rsidRPr="00167B05">
              <w:rPr>
                <w:rFonts w:ascii="Arial" w:hAnsi="Arial"/>
                <w:b/>
                <w:bCs/>
                <w:sz w:val="20"/>
                <w:szCs w:val="20"/>
                <w:lang w:val="en-GB" w:eastAsia="zh-CN"/>
              </w:rPr>
              <w:t>Type A, NPDSCH in symbols without NRS and CRS: NPDSCH EPRE = NRS EPRE + ρ_a [dB]</w:t>
            </w:r>
            <w:bookmarkEnd w:id="44"/>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3"/>
            <w:r w:rsidRPr="00167B05">
              <w:rPr>
                <w:rFonts w:ascii="Arial" w:hAnsi="Arial"/>
                <w:b/>
                <w:bCs/>
                <w:sz w:val="20"/>
                <w:szCs w:val="20"/>
                <w:lang w:val="en-GB" w:eastAsia="zh-CN"/>
              </w:rPr>
              <w:t>Type B, NPDSCH in symbols with NRS: NPDSCH EPRE = NRS EPRE + ρ_b [dB]</w:t>
            </w:r>
            <w:bookmarkEnd w:id="45"/>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6" w:name="_Toc61448944"/>
            <w:r w:rsidRPr="00167B05">
              <w:rPr>
                <w:rFonts w:ascii="Arial" w:hAnsi="Arial"/>
                <w:b/>
                <w:bCs/>
                <w:sz w:val="20"/>
                <w:szCs w:val="20"/>
                <w:lang w:val="en-GB" w:eastAsia="zh-CN"/>
              </w:rPr>
              <w:t>Type C, NPDSCH in symbols with CRS: NPDSCH EPRE = NRS EPRE + ρ_c [dB]</w:t>
            </w:r>
            <w:bookmarkEnd w:id="46"/>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7" w:name="_Toc61448945"/>
            <w:r w:rsidRPr="00167B05">
              <w:rPr>
                <w:rFonts w:ascii="Arial" w:hAnsi="Arial"/>
                <w:b/>
                <w:bCs/>
                <w:sz w:val="20"/>
                <w:szCs w:val="20"/>
              </w:rPr>
              <w:t>Where:</w:t>
            </w:r>
            <w:bookmarkEnd w:id="47"/>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6"/>
            <w:r w:rsidRPr="00167B05">
              <w:rPr>
                <w:rFonts w:ascii="Arial" w:hAnsi="Arial"/>
                <w:b/>
                <w:bCs/>
                <w:sz w:val="20"/>
                <w:szCs w:val="20"/>
                <w:lang w:eastAsia="zh-CN"/>
              </w:rPr>
              <w:t>ρ_a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8"/>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9"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50"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50"/>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1"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1"/>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2" w:name="_Toc61448950"/>
            <w:r w:rsidRPr="00C07FAC">
              <w:rPr>
                <w:rFonts w:ascii="Arial" w:hAnsi="Arial"/>
                <w:b/>
                <w:bCs/>
                <w:sz w:val="20"/>
                <w:szCs w:val="20"/>
                <w:lang w:val="en-GB" w:eastAsia="zh-CN"/>
              </w:rPr>
              <w:t>Type A, NPDSCH in symbols without NRS and CRS: PA is configured as UE specific</w:t>
            </w:r>
            <w:bookmarkEnd w:id="52"/>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1"/>
            <w:r w:rsidRPr="00C07FAC">
              <w:rPr>
                <w:rFonts w:ascii="Arial" w:hAnsi="Arial"/>
                <w:b/>
                <w:bCs/>
                <w:sz w:val="20"/>
                <w:szCs w:val="20"/>
                <w:lang w:val="en-GB" w:eastAsia="zh-CN"/>
              </w:rPr>
              <w:t>Type B, NPDSCH in symbols with NRS: PB is configured as cell specific.</w:t>
            </w:r>
            <w:bookmarkEnd w:id="53"/>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4" w:name="_Toc61448952"/>
            <w:r w:rsidRPr="00C07FAC">
              <w:rPr>
                <w:rFonts w:ascii="Arial" w:hAnsi="Arial"/>
                <w:b/>
                <w:bCs/>
                <w:sz w:val="20"/>
                <w:szCs w:val="20"/>
                <w:lang w:val="en-GB" w:eastAsia="zh-CN"/>
              </w:rPr>
              <w:t>Type C, NPDSCH in symbols with CRS (only for “In-band” deployment): PC is configured as cell specific.</w:t>
            </w:r>
            <w:bookmarkEnd w:id="54"/>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5"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5"/>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af6"/>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af6"/>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af6"/>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a6"/>
        <w:jc w:val="left"/>
        <w:rPr>
          <w:b w:val="0"/>
        </w:rPr>
      </w:pPr>
      <w:r w:rsidRPr="004939C1">
        <w:rPr>
          <w:rFonts w:hint="eastAsia"/>
          <w:b w:val="0"/>
        </w:rPr>
        <w:t xml:space="preserve">Based on the inputs, </w:t>
      </w:r>
      <w:r>
        <w:rPr>
          <w:b w:val="0"/>
        </w:rPr>
        <w:t>the following is proposed to move forward:</w:t>
      </w:r>
    </w:p>
    <w:p w14:paraId="2BBF536B" w14:textId="57D8B58A" w:rsidR="00340DB0" w:rsidRPr="00A53F63" w:rsidRDefault="006E7F95">
      <w:pPr>
        <w:pStyle w:val="a6"/>
        <w:jc w:val="left"/>
      </w:pPr>
      <w:r>
        <w:lastRenderedPageBreak/>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70B19E54" w14:textId="61C48CC2" w:rsidR="00BE3245" w:rsidRDefault="00A53F63" w:rsidP="00BE3245">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5AD9C8F6" w14:textId="1D4C564B" w:rsidR="007E3764" w:rsidRDefault="00D26327" w:rsidP="00EC2A65">
            <w:pPr>
              <w:rPr>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249E4FA4" w:rsidR="007E3764" w:rsidRDefault="003F2E13" w:rsidP="00EC2A65">
            <w:pPr>
              <w:rPr>
                <w:szCs w:val="20"/>
              </w:rPr>
            </w:pPr>
            <w:r>
              <w:rPr>
                <w:color w:val="0070C0"/>
                <w:szCs w:val="20"/>
              </w:rPr>
              <w:t>Ericsson</w:t>
            </w:r>
          </w:p>
        </w:tc>
        <w:tc>
          <w:tcPr>
            <w:tcW w:w="7469" w:type="dxa"/>
          </w:tcPr>
          <w:p w14:paraId="6A7951C4" w14:textId="77777777" w:rsidR="003935CF" w:rsidRDefault="003935CF" w:rsidP="003935CF">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4B42CB95" w14:textId="77777777" w:rsidR="003935CF" w:rsidRDefault="003935CF" w:rsidP="003935CF">
            <w:pPr>
              <w:overflowPunct w:val="0"/>
              <w:rPr>
                <w:rFonts w:eastAsiaTheme="minorHAnsi"/>
                <w:b/>
                <w:bCs/>
              </w:rPr>
            </w:pPr>
            <w:r>
              <w:rPr>
                <w:color w:val="4472C4"/>
                <w:sz w:val="18"/>
                <w:szCs w:val="18"/>
              </w:rPr>
              <w:t>Assuming the following terminology and LTE’s as design baseline:</w:t>
            </w:r>
          </w:p>
          <w:p w14:paraId="5C88E4E0" w14:textId="77777777" w:rsidR="003935CF" w:rsidRDefault="004F099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3935CF">
              <w:t>: Applicable to NPDSCH in symbols with NRS.</w:t>
            </w:r>
          </w:p>
          <w:p w14:paraId="0AC145BD" w14:textId="77777777" w:rsidR="003935CF" w:rsidRDefault="004F099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3935CF">
              <w:t>: Applicable to NPDSCH in symbols with CRS (required for in-band NB-IoT only).</w:t>
            </w:r>
          </w:p>
          <w:p w14:paraId="339D0767" w14:textId="77777777" w:rsidR="003935CF" w:rsidRDefault="004F099B"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3935CF">
              <w:t>: Applicable to NPDSCH in symbols without NRS and CRS.</w:t>
            </w:r>
          </w:p>
          <w:p w14:paraId="2A31C68C" w14:textId="77777777" w:rsidR="003935CF" w:rsidRDefault="003935CF" w:rsidP="003935CF">
            <w:pPr>
              <w:rPr>
                <w:color w:val="4472C4"/>
                <w:sz w:val="18"/>
                <w:szCs w:val="18"/>
              </w:rPr>
            </w:pPr>
          </w:p>
          <w:p w14:paraId="529AB150" w14:textId="77777777" w:rsidR="003935CF" w:rsidRDefault="003935CF" w:rsidP="003935CF">
            <w:pPr>
              <w:rPr>
                <w:color w:val="4472C4"/>
                <w:sz w:val="18"/>
                <w:szCs w:val="18"/>
              </w:rPr>
            </w:pPr>
            <w:r>
              <w:rPr>
                <w:color w:val="4472C4"/>
                <w:sz w:val="18"/>
                <w:szCs w:val="18"/>
              </w:rPr>
              <w:t>From the submitted contributions to RAN1 #104-e, the DL Power Allocation can consider the following alternatives:</w:t>
            </w:r>
          </w:p>
          <w:p w14:paraId="13913CB5" w14:textId="77777777" w:rsidR="003935CF" w:rsidRDefault="003935CF" w:rsidP="003935CF">
            <w:pPr>
              <w:rPr>
                <w:color w:val="4472C4"/>
                <w:sz w:val="18"/>
                <w:szCs w:val="18"/>
              </w:rPr>
            </w:pPr>
          </w:p>
          <w:p w14:paraId="45D29BC8" w14:textId="77777777" w:rsidR="003935CF" w:rsidRDefault="003935CF" w:rsidP="003935CF">
            <w:pPr>
              <w:pStyle w:val="af6"/>
              <w:numPr>
                <w:ilvl w:val="0"/>
                <w:numId w:val="40"/>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BAF320E" w14:textId="77777777" w:rsidR="003935CF" w:rsidRDefault="003935CF" w:rsidP="003935CF">
            <w:pPr>
              <w:pStyle w:val="af6"/>
              <w:rPr>
                <w:color w:val="4472C4"/>
                <w:sz w:val="18"/>
                <w:szCs w:val="18"/>
              </w:rPr>
            </w:pPr>
          </w:p>
          <w:p w14:paraId="4B201A3A" w14:textId="77777777" w:rsidR="003935CF" w:rsidRDefault="003935CF" w:rsidP="003935CF">
            <w:pPr>
              <w:pStyle w:val="af6"/>
              <w:numPr>
                <w:ilvl w:val="1"/>
                <w:numId w:val="40"/>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99B066D" w14:textId="77777777" w:rsidR="003935CF" w:rsidRDefault="003935CF" w:rsidP="003935CF">
            <w:pPr>
              <w:pStyle w:val="af6"/>
              <w:ind w:left="1440"/>
              <w:rPr>
                <w:color w:val="4472C4"/>
                <w:sz w:val="18"/>
                <w:szCs w:val="18"/>
              </w:rPr>
            </w:pPr>
          </w:p>
          <w:p w14:paraId="3B5257E5" w14:textId="77777777" w:rsidR="003935CF" w:rsidRDefault="003935CF" w:rsidP="003935CF">
            <w:pPr>
              <w:pStyle w:val="af6"/>
              <w:numPr>
                <w:ilvl w:val="1"/>
                <w:numId w:val="40"/>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102ACEE" w14:textId="77777777" w:rsidR="003935CF" w:rsidRDefault="003935CF" w:rsidP="003935CF">
            <w:pPr>
              <w:pStyle w:val="af6"/>
              <w:rPr>
                <w:color w:val="4472C4"/>
                <w:sz w:val="18"/>
                <w:szCs w:val="18"/>
              </w:rPr>
            </w:pPr>
          </w:p>
          <w:p w14:paraId="3EB0FDE7" w14:textId="77777777" w:rsidR="003935CF" w:rsidRDefault="003935CF" w:rsidP="003935CF">
            <w:pPr>
              <w:pStyle w:val="af6"/>
              <w:numPr>
                <w:ilvl w:val="1"/>
                <w:numId w:val="40"/>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27095FC9" w14:textId="77777777" w:rsidR="003935CF" w:rsidRDefault="003935CF" w:rsidP="003935CF">
            <w:pPr>
              <w:pStyle w:val="af6"/>
              <w:ind w:left="1440"/>
              <w:rPr>
                <w:color w:val="4472C4"/>
                <w:sz w:val="18"/>
                <w:szCs w:val="18"/>
              </w:rPr>
            </w:pPr>
          </w:p>
          <w:p w14:paraId="2DAC65D5" w14:textId="2C6BE1E2" w:rsidR="003935CF" w:rsidRDefault="003935CF" w:rsidP="003935CF">
            <w:pPr>
              <w:pStyle w:val="af6"/>
              <w:numPr>
                <w:ilvl w:val="0"/>
                <w:numId w:val="40"/>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41C55F23" w14:textId="77777777" w:rsidR="003935CF" w:rsidRDefault="003935CF" w:rsidP="003935CF">
            <w:pPr>
              <w:pStyle w:val="af6"/>
              <w:jc w:val="left"/>
              <w:rPr>
                <w:color w:val="4472C4"/>
                <w:sz w:val="18"/>
                <w:szCs w:val="18"/>
              </w:rPr>
            </w:pPr>
          </w:p>
          <w:p w14:paraId="4C17302C" w14:textId="77777777" w:rsidR="003935CF" w:rsidRDefault="003935CF" w:rsidP="003935CF">
            <w:pPr>
              <w:pStyle w:val="af6"/>
              <w:numPr>
                <w:ilvl w:val="1"/>
                <w:numId w:val="40"/>
              </w:numPr>
              <w:jc w:val="left"/>
              <w:rPr>
                <w:color w:val="4472C4"/>
                <w:sz w:val="18"/>
                <w:szCs w:val="18"/>
              </w:rPr>
            </w:pPr>
            <w:r>
              <w:rPr>
                <w:color w:val="4472C4"/>
                <w:sz w:val="18"/>
                <w:szCs w:val="18"/>
              </w:rPr>
              <w:lastRenderedPageBreak/>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309FEA25" w14:textId="77777777" w:rsidR="003935CF" w:rsidRDefault="003935CF" w:rsidP="003935CF">
            <w:pPr>
              <w:pStyle w:val="af6"/>
              <w:ind w:left="1440"/>
              <w:rPr>
                <w:color w:val="4472C4"/>
                <w:sz w:val="18"/>
                <w:szCs w:val="18"/>
              </w:rPr>
            </w:pPr>
          </w:p>
          <w:p w14:paraId="01E655FA" w14:textId="77777777" w:rsidR="003935CF" w:rsidRDefault="003935CF" w:rsidP="003935CF">
            <w:pPr>
              <w:pStyle w:val="af6"/>
              <w:numPr>
                <w:ilvl w:val="1"/>
                <w:numId w:val="40"/>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7C7D04B3" w14:textId="77777777" w:rsidR="003935CF" w:rsidRDefault="003935CF" w:rsidP="003935CF">
            <w:pPr>
              <w:pStyle w:val="af6"/>
              <w:rPr>
                <w:color w:val="4472C4"/>
                <w:sz w:val="18"/>
                <w:szCs w:val="18"/>
              </w:rPr>
            </w:pPr>
          </w:p>
          <w:p w14:paraId="632A3FAA" w14:textId="77777777" w:rsidR="003935CF" w:rsidRDefault="003935CF" w:rsidP="003935CF">
            <w:pPr>
              <w:pStyle w:val="af6"/>
              <w:numPr>
                <w:ilvl w:val="1"/>
                <w:numId w:val="40"/>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66D9383E" w14:textId="77777777" w:rsidR="003935CF" w:rsidRDefault="003935CF" w:rsidP="003935CF">
            <w:pPr>
              <w:rPr>
                <w:szCs w:val="20"/>
              </w:rPr>
            </w:pPr>
          </w:p>
          <w:p w14:paraId="1519F6AE" w14:textId="364F9A69" w:rsidR="007E3764" w:rsidRDefault="003935CF" w:rsidP="003935CF">
            <w:pPr>
              <w:rPr>
                <w:szCs w:val="20"/>
              </w:rPr>
            </w:pPr>
            <w:r>
              <w:rPr>
                <w:color w:val="0070C0"/>
                <w:szCs w:val="20"/>
              </w:rPr>
              <w:t>It seems that we need to discuss the aspects above as to be able to reach a clear agreement.</w:t>
            </w:r>
          </w:p>
        </w:tc>
      </w:tr>
      <w:tr w:rsidR="007E3764" w14:paraId="61938F68" w14:textId="77777777" w:rsidTr="00EC2A65">
        <w:tc>
          <w:tcPr>
            <w:tcW w:w="1838" w:type="dxa"/>
          </w:tcPr>
          <w:p w14:paraId="00509DBA" w14:textId="12D7BE2E" w:rsidR="007E3764" w:rsidRDefault="00EB7E97" w:rsidP="00EC2A65">
            <w:pPr>
              <w:rPr>
                <w:szCs w:val="20"/>
                <w:lang w:eastAsia="zh-CN"/>
              </w:rPr>
            </w:pPr>
            <w:r>
              <w:rPr>
                <w:szCs w:val="20"/>
                <w:lang w:eastAsia="zh-CN"/>
              </w:rPr>
              <w:lastRenderedPageBreak/>
              <w:t>Nokia, NSB</w:t>
            </w:r>
          </w:p>
        </w:tc>
        <w:tc>
          <w:tcPr>
            <w:tcW w:w="7469" w:type="dxa"/>
          </w:tcPr>
          <w:p w14:paraId="2FBF8665" w14:textId="6BA375FD" w:rsidR="007E3764" w:rsidRDefault="00EB7E97" w:rsidP="00EC2A65">
            <w:pPr>
              <w:rPr>
                <w:szCs w:val="20"/>
                <w:lang w:eastAsia="zh-CN"/>
              </w:rPr>
            </w:pPr>
            <w:r>
              <w:rPr>
                <w:szCs w:val="20"/>
                <w:lang w:eastAsia="zh-CN"/>
              </w:rPr>
              <w:t>We are fine with the proposal. Our preference is Option 2.</w:t>
            </w:r>
          </w:p>
        </w:tc>
      </w:tr>
      <w:tr w:rsidR="003202D9" w14:paraId="3230C52A" w14:textId="77777777" w:rsidTr="00EC2A65">
        <w:tc>
          <w:tcPr>
            <w:tcW w:w="1838" w:type="dxa"/>
          </w:tcPr>
          <w:p w14:paraId="62F09649" w14:textId="412981FE" w:rsidR="003202D9" w:rsidRDefault="003202D9" w:rsidP="00EC2A65">
            <w:pPr>
              <w:rPr>
                <w:szCs w:val="20"/>
                <w:lang w:eastAsia="zh-CN"/>
              </w:rPr>
            </w:pPr>
            <w:r>
              <w:rPr>
                <w:szCs w:val="20"/>
                <w:lang w:eastAsia="zh-CN"/>
              </w:rPr>
              <w:t>Qualcomm</w:t>
            </w:r>
          </w:p>
        </w:tc>
        <w:tc>
          <w:tcPr>
            <w:tcW w:w="7469" w:type="dxa"/>
          </w:tcPr>
          <w:p w14:paraId="42C24729" w14:textId="7060AFAC" w:rsidR="003202D9" w:rsidRDefault="003202D9" w:rsidP="00EC2A65">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793E00" w14:paraId="04D1EE84" w14:textId="77777777" w:rsidTr="00EC2A65">
        <w:tc>
          <w:tcPr>
            <w:tcW w:w="1838" w:type="dxa"/>
          </w:tcPr>
          <w:p w14:paraId="738E0274" w14:textId="70186059" w:rsidR="00793E00" w:rsidRDefault="00793E00" w:rsidP="00EC2A65">
            <w:pPr>
              <w:rPr>
                <w:szCs w:val="20"/>
                <w:lang w:eastAsia="zh-CN"/>
              </w:rPr>
            </w:pPr>
            <w:r>
              <w:rPr>
                <w:rFonts w:hint="eastAsia"/>
                <w:szCs w:val="20"/>
                <w:lang w:eastAsia="zh-CN"/>
              </w:rPr>
              <w:t>H</w:t>
            </w:r>
            <w:r>
              <w:rPr>
                <w:szCs w:val="20"/>
                <w:lang w:eastAsia="zh-CN"/>
              </w:rPr>
              <w:t>uawei, HiSilicon</w:t>
            </w:r>
          </w:p>
        </w:tc>
        <w:tc>
          <w:tcPr>
            <w:tcW w:w="7469" w:type="dxa"/>
          </w:tcPr>
          <w:p w14:paraId="2A010963" w14:textId="7DD38D97" w:rsidR="00793E00" w:rsidRDefault="00CA272A" w:rsidP="00CA272A">
            <w:pPr>
              <w:rPr>
                <w:szCs w:val="20"/>
                <w:lang w:eastAsia="zh-CN"/>
              </w:rPr>
            </w:pPr>
            <w:r>
              <w:rPr>
                <w:szCs w:val="20"/>
                <w:lang w:eastAsia="zh-CN"/>
              </w:rPr>
              <w:t>Support this proposal</w:t>
            </w:r>
            <w:r w:rsidR="00B85F67" w:rsidRPr="00B85F67">
              <w:rPr>
                <w:szCs w:val="20"/>
                <w:lang w:eastAsia="zh-CN"/>
              </w:rPr>
              <w:t>.</w:t>
            </w:r>
            <w:r>
              <w:rPr>
                <w:szCs w:val="20"/>
                <w:lang w:eastAsia="zh-CN"/>
              </w:rPr>
              <w:t xml:space="preserve"> For whether </w:t>
            </w:r>
            <w:r>
              <w:rPr>
                <w:szCs w:val="20"/>
                <w:lang w:eastAsia="zh-CN"/>
              </w:rPr>
              <w:t>rho_a</w:t>
            </w:r>
            <w:r>
              <w:rPr>
                <w:szCs w:val="20"/>
                <w:lang w:eastAsia="zh-CN"/>
              </w:rPr>
              <w:t xml:space="preserve"> is equal to rho_c or not, we think it depends on the eNB configuration.</w:t>
            </w: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6" w:name="OLE_LINK6"/>
            <w:bookmarkStart w:id="57"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6"/>
          <w:bookmarkEnd w:id="57"/>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8" w:name="_Toc61448954"/>
            <w:r>
              <w:rPr>
                <w:rFonts w:ascii="Arial" w:hAnsi="Arial"/>
                <w:b/>
                <w:bCs/>
                <w:sz w:val="20"/>
                <w:szCs w:val="20"/>
                <w:lang w:eastAsia="zh-CN"/>
              </w:rPr>
              <w:t xml:space="preserve">Proposal 14 </w:t>
            </w:r>
            <w:r w:rsidRPr="00792077">
              <w:rPr>
                <w:rFonts w:ascii="Arial" w:hAnsi="Arial"/>
                <w:b/>
                <w:bCs/>
                <w:sz w:val="20"/>
                <w:szCs w:val="20"/>
                <w:lang w:eastAsia="zh-CN"/>
              </w:rPr>
              <w:t xml:space="preserve">For the support of 16-QAM in DL, the total number of soft channel bits is doubled with respect to what is today in TS 36.306 Table 4.1C-1 for a Category NB2 UE. That is, 12800 is the </w:t>
            </w:r>
            <w:r w:rsidRPr="00792077">
              <w:rPr>
                <w:rFonts w:ascii="Arial" w:hAnsi="Arial"/>
                <w:b/>
                <w:bCs/>
                <w:sz w:val="20"/>
                <w:szCs w:val="20"/>
                <w:lang w:eastAsia="zh-CN"/>
              </w:rPr>
              <w:lastRenderedPageBreak/>
              <w:t>total number of channel bits for a Category NB2 UE supporting 16-QAM in DL.</w:t>
            </w:r>
            <w:bookmarkEnd w:id="58"/>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a6"/>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1C842045" w14:textId="2AE24F52" w:rsidR="00702505" w:rsidRDefault="00D26327" w:rsidP="00EC2A65">
            <w:pPr>
              <w:rPr>
                <w:szCs w:val="20"/>
                <w:lang w:eastAsia="zh-CN"/>
              </w:rPr>
            </w:pPr>
            <w:r>
              <w:rPr>
                <w:szCs w:val="20"/>
                <w:lang w:eastAsia="zh-CN"/>
              </w:rPr>
              <w:t>Support proposal 14</w:t>
            </w:r>
          </w:p>
        </w:tc>
      </w:tr>
      <w:tr w:rsidR="00702505" w14:paraId="403F3B07" w14:textId="77777777" w:rsidTr="00EC2A65">
        <w:tc>
          <w:tcPr>
            <w:tcW w:w="1838" w:type="dxa"/>
          </w:tcPr>
          <w:p w14:paraId="310B1D9F" w14:textId="2697073B" w:rsidR="00702505" w:rsidRDefault="003F2E13" w:rsidP="00EC2A65">
            <w:pPr>
              <w:rPr>
                <w:szCs w:val="20"/>
              </w:rPr>
            </w:pPr>
            <w:r>
              <w:rPr>
                <w:color w:val="0070C0"/>
                <w:szCs w:val="20"/>
              </w:rPr>
              <w:t>Ericsson</w:t>
            </w:r>
          </w:p>
        </w:tc>
        <w:tc>
          <w:tcPr>
            <w:tcW w:w="7469" w:type="dxa"/>
          </w:tcPr>
          <w:p w14:paraId="127C290B" w14:textId="7D6C2490" w:rsidR="00702505" w:rsidRDefault="003F2E13" w:rsidP="00EC2A65">
            <w:pPr>
              <w:rPr>
                <w:szCs w:val="20"/>
              </w:rPr>
            </w:pPr>
            <w:r>
              <w:rPr>
                <w:color w:val="0070C0"/>
                <w:szCs w:val="20"/>
              </w:rPr>
              <w:t>We are ok</w:t>
            </w:r>
          </w:p>
        </w:tc>
      </w:tr>
      <w:tr w:rsidR="00702505" w14:paraId="123C92A4" w14:textId="77777777" w:rsidTr="00EC2A65">
        <w:tc>
          <w:tcPr>
            <w:tcW w:w="1838" w:type="dxa"/>
          </w:tcPr>
          <w:p w14:paraId="54C83F94" w14:textId="0B14CE46" w:rsidR="00702505" w:rsidRDefault="00EB7E97" w:rsidP="00EC2A65">
            <w:pPr>
              <w:rPr>
                <w:szCs w:val="20"/>
                <w:lang w:eastAsia="zh-CN"/>
              </w:rPr>
            </w:pPr>
            <w:r>
              <w:rPr>
                <w:szCs w:val="20"/>
                <w:lang w:eastAsia="zh-CN"/>
              </w:rPr>
              <w:t>Nokia, NSB</w:t>
            </w:r>
          </w:p>
        </w:tc>
        <w:tc>
          <w:tcPr>
            <w:tcW w:w="7469" w:type="dxa"/>
          </w:tcPr>
          <w:p w14:paraId="213BE7E9" w14:textId="6CE4BB6E" w:rsidR="00702505" w:rsidRDefault="00EB7E97" w:rsidP="00EC2A65">
            <w:pPr>
              <w:rPr>
                <w:szCs w:val="20"/>
                <w:lang w:eastAsia="zh-CN"/>
              </w:rPr>
            </w:pPr>
            <w:r>
              <w:rPr>
                <w:szCs w:val="20"/>
                <w:lang w:eastAsia="zh-CN"/>
              </w:rPr>
              <w:t>We support FL’s proposal</w:t>
            </w:r>
          </w:p>
        </w:tc>
      </w:tr>
      <w:tr w:rsidR="003202D9" w14:paraId="47F6254C" w14:textId="77777777" w:rsidTr="00EC2A65">
        <w:tc>
          <w:tcPr>
            <w:tcW w:w="1838" w:type="dxa"/>
          </w:tcPr>
          <w:p w14:paraId="65A3AF20" w14:textId="479D74A7" w:rsidR="003202D9" w:rsidRDefault="003202D9" w:rsidP="00EC2A65">
            <w:pPr>
              <w:rPr>
                <w:szCs w:val="20"/>
                <w:lang w:eastAsia="zh-CN"/>
              </w:rPr>
            </w:pPr>
            <w:r>
              <w:rPr>
                <w:szCs w:val="20"/>
                <w:lang w:eastAsia="zh-CN"/>
              </w:rPr>
              <w:t>Qualcomm</w:t>
            </w:r>
          </w:p>
        </w:tc>
        <w:tc>
          <w:tcPr>
            <w:tcW w:w="7469" w:type="dxa"/>
          </w:tcPr>
          <w:p w14:paraId="5382474D" w14:textId="09B33B5F" w:rsidR="003202D9" w:rsidRDefault="003202D9" w:rsidP="00EC2A65">
            <w:pPr>
              <w:rPr>
                <w:szCs w:val="20"/>
                <w:lang w:eastAsia="zh-CN"/>
              </w:rPr>
            </w:pPr>
            <w:r>
              <w:rPr>
                <w:szCs w:val="20"/>
                <w:lang w:eastAsia="zh-CN"/>
              </w:rPr>
              <w:t>Agree</w:t>
            </w:r>
          </w:p>
        </w:tc>
      </w:tr>
      <w:tr w:rsidR="00BE3245" w14:paraId="67178483" w14:textId="77777777" w:rsidTr="00EC2A65">
        <w:tc>
          <w:tcPr>
            <w:tcW w:w="1838" w:type="dxa"/>
          </w:tcPr>
          <w:p w14:paraId="5AB78331" w14:textId="524B52C4" w:rsidR="00BE3245" w:rsidRDefault="00BE3245" w:rsidP="00EC2A65">
            <w:pPr>
              <w:rPr>
                <w:szCs w:val="20"/>
                <w:lang w:eastAsia="zh-CN"/>
              </w:rPr>
            </w:pPr>
            <w:r>
              <w:rPr>
                <w:szCs w:val="20"/>
                <w:lang w:eastAsia="zh-CN"/>
              </w:rPr>
              <w:t>Huawei, HiSilicon</w:t>
            </w:r>
          </w:p>
        </w:tc>
        <w:tc>
          <w:tcPr>
            <w:tcW w:w="7469" w:type="dxa"/>
          </w:tcPr>
          <w:p w14:paraId="4D30E03E" w14:textId="41F5CB59" w:rsidR="00BE3245" w:rsidRDefault="00BE3245" w:rsidP="00BE3245">
            <w:pPr>
              <w:rPr>
                <w:szCs w:val="20"/>
                <w:lang w:eastAsia="zh-CN"/>
              </w:rPr>
            </w:pPr>
            <w:r w:rsidRPr="00BE3245">
              <w:rPr>
                <w:szCs w:val="20"/>
                <w:lang w:eastAsia="zh-CN"/>
              </w:rPr>
              <w:t>Support proposal 14</w:t>
            </w:r>
            <w:r>
              <w:rPr>
                <w:szCs w:val="20"/>
                <w:lang w:eastAsia="zh-CN"/>
              </w:rPr>
              <w:t>, it should be clarified that it is for NB2 UE supporting 16QAM.</w:t>
            </w: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a9"/>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9"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9"/>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60"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60"/>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8"/>
            <w:r w:rsidRPr="006F3E12">
              <w:rPr>
                <w:rFonts w:ascii="Arial" w:hAnsi="Arial"/>
                <w:b/>
                <w:bCs/>
                <w:sz w:val="20"/>
                <w:szCs w:val="20"/>
                <w:lang w:val="en-GB" w:eastAsia="zh-CN"/>
              </w:rPr>
              <w:t>The NPDCCH and NPDSCH repetition level is equal to 1.</w:t>
            </w:r>
            <w:bookmarkEnd w:id="61"/>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29"/>
            <w:r w:rsidRPr="006F3E12">
              <w:rPr>
                <w:rFonts w:ascii="Arial" w:hAnsi="Arial"/>
                <w:b/>
                <w:bCs/>
                <w:sz w:val="20"/>
                <w:szCs w:val="20"/>
                <w:lang w:val="en-GB" w:eastAsia="zh-CN"/>
              </w:rPr>
              <w:t>candidateRep-M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2"/>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0"/>
            <w:r w:rsidRPr="006F3E12">
              <w:rPr>
                <w:rFonts w:ascii="Arial" w:hAnsi="Arial"/>
                <w:b/>
                <w:bCs/>
                <w:sz w:val="20"/>
                <w:szCs w:val="20"/>
                <w:lang w:val="en-GB" w:eastAsia="zh-CN"/>
              </w:rPr>
              <w:t>FFS: A for stand-alone and guard-band deployments, and D for in-band deployments.</w:t>
            </w:r>
            <w:bookmarkEnd w:id="63"/>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1"/>
            <w:r w:rsidRPr="006F3E12">
              <w:rPr>
                <w:rFonts w:ascii="Arial" w:hAnsi="Arial"/>
                <w:b/>
                <w:bCs/>
                <w:sz w:val="20"/>
                <w:szCs w:val="20"/>
                <w:lang w:val="en-GB" w:eastAsia="zh-CN"/>
              </w:rPr>
              <w:lastRenderedPageBreak/>
              <w:t>candidateRep-N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4"/>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2"/>
            <w:r w:rsidRPr="006F3E12">
              <w:rPr>
                <w:rFonts w:ascii="Arial" w:hAnsi="Arial"/>
                <w:b/>
                <w:bCs/>
                <w:sz w:val="20"/>
                <w:szCs w:val="20"/>
                <w:lang w:val="en-GB" w:eastAsia="zh-CN"/>
              </w:rPr>
              <w:t>FFS: B for stand-alone and guard-band deployments, and E for in-band deployments.</w:t>
            </w:r>
            <w:bookmarkEnd w:id="65"/>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3"/>
            <w:r w:rsidRPr="006F3E12">
              <w:rPr>
                <w:rFonts w:ascii="Arial" w:hAnsi="Arial"/>
                <w:b/>
                <w:bCs/>
                <w:sz w:val="20"/>
                <w:szCs w:val="20"/>
                <w:lang w:val="en-GB" w:eastAsia="zh-CN"/>
              </w:rPr>
              <w:t>candidateRep-O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6"/>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4"/>
            <w:r w:rsidRPr="006F3E12">
              <w:rPr>
                <w:rFonts w:ascii="Arial" w:hAnsi="Arial"/>
                <w:b/>
                <w:bCs/>
                <w:sz w:val="20"/>
                <w:szCs w:val="20"/>
                <w:lang w:val="en-GB" w:eastAsia="zh-CN"/>
              </w:rPr>
              <w:t>FFS: C for stand-alone and guard-band deployments, and F for in-band deployments.</w:t>
            </w:r>
            <w:bookmarkEnd w:id="67"/>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lastRenderedPageBreak/>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8" w:name="OLE_LINK175"/>
            <w:r w:rsidRPr="0007517E">
              <w:rPr>
                <w:b/>
                <w:kern w:val="2"/>
                <w:lang w:eastAsia="zh-CN"/>
              </w:rPr>
              <w:t xml:space="preserve">In current NB-IoT, the channel quality reporting in Msg3 and </w:t>
            </w:r>
            <w:bookmarkStart w:id="69" w:name="OLE_LINK26"/>
            <w:r w:rsidRPr="0007517E">
              <w:rPr>
                <w:b/>
                <w:kern w:val="2"/>
                <w:lang w:eastAsia="zh-CN"/>
              </w:rPr>
              <w:t>connected mode</w:t>
            </w:r>
            <w:bookmarkEnd w:id="69"/>
            <w:r w:rsidRPr="0007517E">
              <w:rPr>
                <w:b/>
                <w:kern w:val="2"/>
                <w:lang w:eastAsia="zh-CN"/>
              </w:rPr>
              <w:t xml:space="preserve"> are NPDCCH repetition level reports</w:t>
            </w:r>
            <w:r w:rsidRPr="0007517E">
              <w:rPr>
                <w:b/>
                <w:szCs w:val="20"/>
              </w:rPr>
              <w:t>.</w:t>
            </w:r>
            <w:bookmarkEnd w:id="68"/>
          </w:p>
          <w:p w14:paraId="14EB2575" w14:textId="77777777" w:rsidR="0007517E" w:rsidRPr="0007517E" w:rsidRDefault="0007517E" w:rsidP="0007517E">
            <w:pPr>
              <w:rPr>
                <w:b/>
                <w:lang w:val="en-GB" w:eastAsia="zh-CN"/>
              </w:rPr>
            </w:pPr>
            <w:bookmarkStart w:id="70" w:name="OLE_LINK9"/>
            <w:r w:rsidRPr="0007517E">
              <w:rPr>
                <w:b/>
                <w:kern w:val="2"/>
                <w:lang w:eastAsia="zh-CN"/>
              </w:rPr>
              <w:t xml:space="preserve">Observation 2: </w:t>
            </w:r>
            <w:bookmarkStart w:id="71" w:name="OLE_LINK156"/>
            <w:bookmarkEnd w:id="70"/>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1"/>
            <w:r w:rsidRPr="0007517E">
              <w:rPr>
                <w:b/>
                <w:lang w:eastAsia="zh-CN"/>
              </w:rPr>
              <w:t xml:space="preserve"> </w:t>
            </w:r>
          </w:p>
          <w:p w14:paraId="1C08AEDB" w14:textId="77777777" w:rsidR="0007517E" w:rsidRPr="0007517E" w:rsidRDefault="0007517E" w:rsidP="0007517E">
            <w:pPr>
              <w:rPr>
                <w:b/>
                <w:kern w:val="2"/>
                <w:lang w:eastAsia="zh-CN"/>
              </w:rPr>
            </w:pPr>
            <w:bookmarkStart w:id="72" w:name="OLE_LINK75"/>
            <w:r w:rsidRPr="0007517E">
              <w:rPr>
                <w:b/>
                <w:kern w:val="2"/>
                <w:lang w:eastAsia="zh-CN"/>
              </w:rPr>
              <w:t>Proposal 1: Finer NB-IoT channel quality reporting is supported to provide sufficient channel quality information in good coverage, particularly for 16-QAM.</w:t>
            </w:r>
            <w:bookmarkEnd w:id="72"/>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a6"/>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szCs w:val="20"/>
                <w:lang w:eastAsia="zh-CN"/>
              </w:rPr>
            </w:pPr>
            <w:r>
              <w:rPr>
                <w:szCs w:val="20"/>
                <w:lang w:eastAsia="zh-CN"/>
              </w:rPr>
              <w:t>Lenovo&amp;MotoM</w:t>
            </w:r>
          </w:p>
        </w:tc>
        <w:tc>
          <w:tcPr>
            <w:tcW w:w="7469" w:type="dxa"/>
          </w:tcPr>
          <w:p w14:paraId="58AE2160" w14:textId="60C4F162" w:rsidR="008829EC" w:rsidRDefault="00D26327" w:rsidP="00EC2A65">
            <w:pPr>
              <w:rPr>
                <w:szCs w:val="20"/>
                <w:lang w:eastAsia="zh-CN"/>
              </w:rPr>
            </w:pPr>
            <w:r>
              <w:rPr>
                <w:szCs w:val="20"/>
                <w:lang w:eastAsia="zh-CN"/>
              </w:rPr>
              <w:t>Support proposal 15.</w:t>
            </w:r>
          </w:p>
        </w:tc>
      </w:tr>
      <w:tr w:rsidR="008829EC" w14:paraId="37A2C194" w14:textId="77777777" w:rsidTr="00EC2A65">
        <w:tc>
          <w:tcPr>
            <w:tcW w:w="1838" w:type="dxa"/>
          </w:tcPr>
          <w:p w14:paraId="4EAAC066" w14:textId="295E48A2" w:rsidR="008829EC" w:rsidRDefault="003F2E13" w:rsidP="00EC2A65">
            <w:pPr>
              <w:rPr>
                <w:szCs w:val="20"/>
              </w:rPr>
            </w:pPr>
            <w:r>
              <w:rPr>
                <w:color w:val="0070C0"/>
                <w:szCs w:val="20"/>
              </w:rPr>
              <w:t>Ericsson</w:t>
            </w:r>
          </w:p>
        </w:tc>
        <w:tc>
          <w:tcPr>
            <w:tcW w:w="7469" w:type="dxa"/>
          </w:tcPr>
          <w:p w14:paraId="07A3F2B5" w14:textId="7927E9CC" w:rsidR="008829EC" w:rsidRDefault="003F2E13" w:rsidP="003F2E13">
            <w:pPr>
              <w:tabs>
                <w:tab w:val="left" w:pos="3130"/>
              </w:tabs>
              <w:rPr>
                <w:szCs w:val="20"/>
              </w:rPr>
            </w:pPr>
            <w:r>
              <w:rPr>
                <w:color w:val="0070C0"/>
                <w:szCs w:val="20"/>
              </w:rPr>
              <w:t>We would prefer to sort out first the number of supported repetitions before start discussing channel quality reporting.</w:t>
            </w:r>
          </w:p>
        </w:tc>
      </w:tr>
      <w:tr w:rsidR="008829EC" w14:paraId="0B1C3197" w14:textId="77777777" w:rsidTr="00EC2A65">
        <w:tc>
          <w:tcPr>
            <w:tcW w:w="1838" w:type="dxa"/>
          </w:tcPr>
          <w:p w14:paraId="79E90A9A" w14:textId="1FEBA4D7" w:rsidR="008829EC" w:rsidRDefault="00EB7E97" w:rsidP="00EC2A65">
            <w:pPr>
              <w:rPr>
                <w:szCs w:val="20"/>
                <w:lang w:eastAsia="zh-CN"/>
              </w:rPr>
            </w:pPr>
            <w:r>
              <w:rPr>
                <w:szCs w:val="20"/>
                <w:lang w:eastAsia="zh-CN"/>
              </w:rPr>
              <w:lastRenderedPageBreak/>
              <w:t>Nokia, NSB</w:t>
            </w:r>
          </w:p>
        </w:tc>
        <w:tc>
          <w:tcPr>
            <w:tcW w:w="7469" w:type="dxa"/>
          </w:tcPr>
          <w:p w14:paraId="7C48ACDA" w14:textId="3AF1930C" w:rsidR="008829EC" w:rsidRDefault="00EB7E97" w:rsidP="00EC2A65">
            <w:pPr>
              <w:rPr>
                <w:szCs w:val="20"/>
                <w:lang w:eastAsia="zh-CN"/>
              </w:rPr>
            </w:pPr>
            <w:r>
              <w:rPr>
                <w:szCs w:val="20"/>
                <w:lang w:eastAsia="zh-CN"/>
              </w:rPr>
              <w:t xml:space="preserve">We </w:t>
            </w:r>
            <w:r w:rsidR="005E5487">
              <w:rPr>
                <w:szCs w:val="20"/>
                <w:lang w:eastAsia="zh-CN"/>
              </w:rPr>
              <w:t>need further clarification on the proposal. Our view is that we would reuse existing channel quality report and add new values relevant for 16-QAM. The existing values would still be based on NPDCCH while the new values would be based on NPD</w:t>
            </w:r>
            <w:r w:rsidR="00096DAB">
              <w:rPr>
                <w:szCs w:val="20"/>
                <w:lang w:eastAsia="zh-CN"/>
              </w:rPr>
              <w:t>SCH.</w:t>
            </w:r>
          </w:p>
        </w:tc>
      </w:tr>
      <w:tr w:rsidR="003202D9" w14:paraId="6620102F" w14:textId="77777777" w:rsidTr="00EC2A65">
        <w:tc>
          <w:tcPr>
            <w:tcW w:w="1838" w:type="dxa"/>
          </w:tcPr>
          <w:p w14:paraId="49981C89" w14:textId="0F255B80" w:rsidR="003202D9" w:rsidRDefault="003202D9" w:rsidP="00EC2A65">
            <w:pPr>
              <w:rPr>
                <w:szCs w:val="20"/>
                <w:lang w:eastAsia="zh-CN"/>
              </w:rPr>
            </w:pPr>
            <w:r>
              <w:rPr>
                <w:szCs w:val="20"/>
                <w:lang w:eastAsia="zh-CN"/>
              </w:rPr>
              <w:t>Qualcomm</w:t>
            </w:r>
          </w:p>
        </w:tc>
        <w:tc>
          <w:tcPr>
            <w:tcW w:w="7469" w:type="dxa"/>
          </w:tcPr>
          <w:p w14:paraId="6B8B9D57" w14:textId="74F67FBA" w:rsidR="003202D9" w:rsidRDefault="003202D9" w:rsidP="00EC2A65">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BE3245" w14:paraId="631F386B" w14:textId="77777777" w:rsidTr="00EC2A65">
        <w:tc>
          <w:tcPr>
            <w:tcW w:w="1838" w:type="dxa"/>
          </w:tcPr>
          <w:p w14:paraId="3E371AA1" w14:textId="7E1A19A0" w:rsidR="00BE3245" w:rsidRDefault="00BE3245" w:rsidP="00EC2A65">
            <w:pPr>
              <w:rPr>
                <w:szCs w:val="20"/>
                <w:lang w:eastAsia="zh-CN"/>
              </w:rPr>
            </w:pPr>
            <w:r>
              <w:rPr>
                <w:rFonts w:hint="eastAsia"/>
                <w:szCs w:val="20"/>
                <w:lang w:eastAsia="zh-CN"/>
              </w:rPr>
              <w:t>H</w:t>
            </w:r>
            <w:r>
              <w:rPr>
                <w:szCs w:val="20"/>
                <w:lang w:eastAsia="zh-CN"/>
              </w:rPr>
              <w:t>uawei, HiSilicon</w:t>
            </w:r>
          </w:p>
        </w:tc>
        <w:tc>
          <w:tcPr>
            <w:tcW w:w="7469" w:type="dxa"/>
          </w:tcPr>
          <w:p w14:paraId="63057325" w14:textId="75350BF4" w:rsidR="00BE3245" w:rsidRDefault="00BE3245" w:rsidP="00EC2A65">
            <w:pPr>
              <w:rPr>
                <w:szCs w:val="20"/>
                <w:lang w:eastAsia="zh-CN"/>
              </w:rPr>
            </w:pPr>
            <w:r w:rsidRPr="00BE3245">
              <w:rPr>
                <w:szCs w:val="20"/>
                <w:lang w:eastAsia="zh-CN"/>
              </w:rPr>
              <w:t>Support proposal 15.</w:t>
            </w:r>
            <w:r>
              <w:rPr>
                <w:szCs w:val="20"/>
                <w:lang w:eastAsia="zh-CN"/>
              </w:rPr>
              <w:t xml:space="preserve"> We think the detailed signaling is up to RAN2, </w:t>
            </w:r>
            <w:r w:rsidR="00096DAB">
              <w:rPr>
                <w:szCs w:val="20"/>
                <w:lang w:eastAsia="zh-CN"/>
              </w:rPr>
              <w:t>but RAN1 needs to decide</w:t>
            </w:r>
            <w:r>
              <w:rPr>
                <w:szCs w:val="20"/>
                <w:lang w:eastAsia="zh-CN"/>
              </w:rPr>
              <w:t xml:space="preserve"> </w:t>
            </w:r>
            <w:r w:rsidR="00096DAB">
              <w:rPr>
                <w:szCs w:val="20"/>
                <w:lang w:eastAsia="zh-CN"/>
              </w:rPr>
              <w:t xml:space="preserve">e.g. </w:t>
            </w:r>
            <w:r>
              <w:rPr>
                <w:szCs w:val="20"/>
                <w:lang w:eastAsia="zh-CN"/>
              </w:rPr>
              <w:t xml:space="preserve">the </w:t>
            </w:r>
            <w:r w:rsidR="00096DAB">
              <w:rPr>
                <w:szCs w:val="20"/>
                <w:lang w:eastAsia="zh-CN"/>
              </w:rPr>
              <w:t>metrics for channel quality report.</w:t>
            </w:r>
          </w:p>
        </w:tc>
      </w:tr>
    </w:tbl>
    <w:p w14:paraId="64671117" w14:textId="2EEECE4E" w:rsidR="00340DB0" w:rsidRDefault="00340DB0">
      <w:pPr>
        <w:pStyle w:val="a6"/>
        <w:jc w:val="left"/>
      </w:pPr>
    </w:p>
    <w:p w14:paraId="02EB8B04" w14:textId="77777777" w:rsidR="00011ADE" w:rsidRDefault="00011ADE"/>
    <w:p w14:paraId="427D1148" w14:textId="77777777" w:rsidR="00340DB0" w:rsidRDefault="006E7F95">
      <w:pPr>
        <w:pStyle w:val="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af0"/>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1"/>
      </w:pPr>
      <w:r>
        <w:rPr>
          <w:rFonts w:hint="eastAsia"/>
          <w:lang w:eastAsia="zh-CN"/>
        </w:rPr>
        <w:t>Summary</w:t>
      </w:r>
    </w:p>
    <w:p w14:paraId="6A17530E" w14:textId="77777777" w:rsidR="00340DB0" w:rsidRDefault="00340DB0"/>
    <w:p w14:paraId="1BDA282A" w14:textId="77777777" w:rsidR="00340DB0" w:rsidRDefault="006E7F9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af6"/>
        <w:numPr>
          <w:ilvl w:val="0"/>
          <w:numId w:val="24"/>
        </w:numPr>
        <w:spacing w:after="60"/>
        <w:rPr>
          <w:rFonts w:ascii="Times New Roman" w:hAnsi="Times New Roman" w:cs="Times New Roman"/>
          <w:sz w:val="22"/>
        </w:rPr>
      </w:pPr>
      <w:bookmarkStart w:id="73" w:name="_Ref520312828"/>
      <w:r>
        <w:rPr>
          <w:rFonts w:ascii="Times New Roman" w:hAnsi="Times New Roman" w:cs="Times New Roman"/>
          <w:sz w:val="22"/>
        </w:rPr>
        <w:t xml:space="preserve">RP-201306, “WID revision: Additional enhancements for NB-IoT and LTE-MTC”, </w:t>
      </w:r>
      <w:bookmarkEnd w:id="73"/>
      <w:r>
        <w:rPr>
          <w:rFonts w:ascii="Times New Roman" w:hAnsi="Times New Roman" w:cs="Times New Roman"/>
          <w:sz w:val="22"/>
        </w:rPr>
        <w:t>Huawei, HiSilicon, RAN#88e, E-meeting, June 2020.</w:t>
      </w:r>
    </w:p>
    <w:p w14:paraId="390DB0F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Huawei, HiSilicon</w:t>
      </w:r>
    </w:p>
    <w:p w14:paraId="5D4A10D3"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lastRenderedPageBreak/>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Support 16QAM for NBIoT</w:t>
      </w:r>
      <w:r w:rsidRPr="00413C01">
        <w:rPr>
          <w:rFonts w:ascii="Times New Roman" w:hAnsi="Times New Roman" w:cs="Times New Roman"/>
          <w:sz w:val="22"/>
        </w:rPr>
        <w:tab/>
        <w:t>Lenovo, Motorola Mobility</w:t>
      </w:r>
    </w:p>
    <w:p w14:paraId="55BA6E3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Huawei, HiSilicon</w:t>
      </w:r>
    </w:p>
    <w:p w14:paraId="2918F811" w14:textId="43822780" w:rsidR="00413C01"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ED63" w14:textId="77777777" w:rsidR="00571ECF" w:rsidRDefault="00571ECF">
      <w:pPr>
        <w:spacing w:after="0"/>
      </w:pPr>
    </w:p>
  </w:endnote>
  <w:endnote w:type="continuationSeparator" w:id="0">
    <w:p w14:paraId="6484524C" w14:textId="77777777" w:rsidR="00571ECF" w:rsidRDefault="00571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11223" w14:textId="77777777" w:rsidR="00571ECF" w:rsidRDefault="00571ECF">
      <w:pPr>
        <w:spacing w:after="0"/>
      </w:pPr>
    </w:p>
  </w:footnote>
  <w:footnote w:type="continuationSeparator" w:id="0">
    <w:p w14:paraId="58D48EAC" w14:textId="77777777" w:rsidR="00571ECF" w:rsidRDefault="00571EC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宋体"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B53D3B"/>
    <w:multiLevelType w:val="hybridMultilevel"/>
    <w:tmpl w:val="C5F6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1" w15:restartNumberingAfterBreak="0">
    <w:nsid w:val="6F2B2087"/>
    <w:multiLevelType w:val="hybridMultilevel"/>
    <w:tmpl w:val="03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0"/>
  </w:num>
  <w:num w:numId="2">
    <w:abstractNumId w:val="0"/>
  </w:num>
  <w:num w:numId="3">
    <w:abstractNumId w:val="17"/>
  </w:num>
  <w:num w:numId="4">
    <w:abstractNumId w:val="32"/>
  </w:num>
  <w:num w:numId="5">
    <w:abstractNumId w:val="18"/>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2"/>
  </w:num>
  <w:num w:numId="11">
    <w:abstractNumId w:val="3"/>
  </w:num>
  <w:num w:numId="12">
    <w:abstractNumId w:val="10"/>
  </w:num>
  <w:num w:numId="13">
    <w:abstractNumId w:val="34"/>
  </w:num>
  <w:num w:numId="14">
    <w:abstractNumId w:val="14"/>
  </w:num>
  <w:num w:numId="15">
    <w:abstractNumId w:val="4"/>
  </w:num>
  <w:num w:numId="16">
    <w:abstractNumId w:val="24"/>
  </w:num>
  <w:num w:numId="17">
    <w:abstractNumId w:val="28"/>
  </w:num>
  <w:num w:numId="18">
    <w:abstractNumId w:val="20"/>
  </w:num>
  <w:num w:numId="19">
    <w:abstractNumId w:val="22"/>
  </w:num>
  <w:num w:numId="20">
    <w:abstractNumId w:val="26"/>
  </w:num>
  <w:num w:numId="21">
    <w:abstractNumId w:val="7"/>
  </w:num>
  <w:num w:numId="22">
    <w:abstractNumId w:val="21"/>
  </w:num>
  <w:num w:numId="23">
    <w:abstractNumId w:val="35"/>
  </w:num>
  <w:num w:numId="24">
    <w:abstractNumId w:val="16"/>
  </w:num>
  <w:num w:numId="25">
    <w:abstractNumId w:val="19"/>
  </w:num>
  <w:num w:numId="26">
    <w:abstractNumId w:val="37"/>
  </w:num>
  <w:num w:numId="27">
    <w:abstractNumId w:val="23"/>
  </w:num>
  <w:num w:numId="28">
    <w:abstractNumId w:val="5"/>
  </w:num>
  <w:num w:numId="29">
    <w:abstractNumId w:val="2"/>
  </w:num>
  <w:num w:numId="30">
    <w:abstractNumId w:val="30"/>
  </w:num>
  <w:num w:numId="31">
    <w:abstractNumId w:val="36"/>
  </w:num>
  <w:num w:numId="32">
    <w:abstractNumId w:val="6"/>
  </w:num>
  <w:num w:numId="33">
    <w:abstractNumId w:val="9"/>
  </w:num>
  <w:num w:numId="34">
    <w:abstractNumId w:val="27"/>
  </w:num>
  <w:num w:numId="35">
    <w:abstractNumId w:val="1"/>
  </w:num>
  <w:num w:numId="36">
    <w:abstractNumId w:val="25"/>
  </w:num>
  <w:num w:numId="37">
    <w:abstractNumId w:val="13"/>
  </w:num>
  <w:num w:numId="38">
    <w:abstractNumId w:val="3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n-GB"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00"/>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0E8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5"/>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pPr>
      <w:ind w:left="1702"/>
    </w:pPr>
  </w:style>
  <w:style w:type="paragraph" w:styleId="42">
    <w:name w:val="List 4"/>
    <w:basedOn w:val="31"/>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rPr>
      <w:color w:val="0000FF"/>
      <w:u w:val="single"/>
    </w:rPr>
  </w:style>
  <w:style w:type="character" w:styleId="af4">
    <w:name w:val="annotation reference"/>
    <w:basedOn w:val="a0"/>
    <w:unhideWhenUsed/>
    <w:rPr>
      <w:sz w:val="16"/>
      <w:szCs w:val="16"/>
    </w:rPr>
  </w:style>
  <w:style w:type="character" w:styleId="af5">
    <w:name w:val="footnote reference"/>
    <w:rPr>
      <w:b/>
      <w:position w:val="6"/>
      <w:sz w:val="16"/>
    </w:rPr>
  </w:style>
  <w:style w:type="character" w:customStyle="1" w:styleId="1Char">
    <w:name w:val="标题 1 Char"/>
    <w:basedOn w:val="a0"/>
    <w:link w:val="1"/>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rPr>
      <w:rFonts w:ascii="Times New Roman" w:eastAsiaTheme="majorEastAsia" w:hAnsi="Times New Roman" w:cs="Times New Roman"/>
      <w:b/>
      <w:kern w:val="0"/>
      <w:sz w:val="22"/>
      <w:lang w:eastAsia="en-US"/>
    </w:rPr>
  </w:style>
  <w:style w:type="character" w:customStyle="1" w:styleId="6Char">
    <w:name w:val="标题 6 Char"/>
    <w:basedOn w:val="a0"/>
    <w:link w:val="6"/>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rPr>
      <w:rFonts w:ascii="Arial" w:hAnsi="Arial" w:cs="Times New Roman"/>
      <w:kern w:val="0"/>
      <w:sz w:val="36"/>
      <w:szCs w:val="20"/>
      <w:lang w:val="en-GB" w:eastAsia="en-US"/>
    </w:rPr>
  </w:style>
  <w:style w:type="character" w:customStyle="1" w:styleId="Char">
    <w:name w:val="题注 Char"/>
    <w:aliases w:val="cap Char,Caption Char Char,Caption Char1 Char Char,cap Char Char1 Char,Caption Char Char1 Char Char,cap Char2 Char,cap1 Char,cap2 Char,cap11 Char1,Légende-figure Char1,Légende-figure Char Char,Beschrifubg Char,Beschriftung Char Char1,label Char"/>
    <w:link w:val="a6"/>
    <w:qFormat/>
    <w:rPr>
      <w:rFonts w:ascii="Times New Roman" w:hAnsi="Times New Roman" w:cs="Times New Roman"/>
      <w:b/>
      <w:bCs/>
      <w:kern w:val="0"/>
    </w:rPr>
  </w:style>
  <w:style w:type="paragraph" w:customStyle="1" w:styleId="References">
    <w:name w:val="References"/>
    <w:basedOn w:val="a"/>
    <w:pPr>
      <w:numPr>
        <w:numId w:val="3"/>
      </w:numPr>
      <w:adjustRightInd/>
      <w:spacing w:after="60"/>
    </w:pPr>
    <w:rPr>
      <w:sz w:val="20"/>
      <w:szCs w:val="16"/>
    </w:rPr>
  </w:style>
  <w:style w:type="paragraph" w:styleId="af6">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rPr>
      <w:rFonts w:ascii="Times New Roman" w:eastAsia="宋体" w:hAnsi="Times New Roman" w:cs="Times New Roman"/>
      <w:kern w:val="0"/>
      <w:sz w:val="18"/>
      <w:szCs w:val="18"/>
      <w:lang w:eastAsia="en-US"/>
    </w:rPr>
  </w:style>
  <w:style w:type="character" w:customStyle="1" w:styleId="Char3">
    <w:name w:val="批注框文本 Char"/>
    <w:basedOn w:val="a0"/>
    <w:link w:val="aa"/>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a"/>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宋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904DA-3721-4BCD-BC6E-18C8F9E3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lijun</cp:lastModifiedBy>
  <cp:revision>3</cp:revision>
  <dcterms:created xsi:type="dcterms:W3CDTF">2021-01-26T06:12:00Z</dcterms:created>
  <dcterms:modified xsi:type="dcterms:W3CDTF">2021-01-26T07:41:00Z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