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E1B9AAD"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1</w:t>
      </w:r>
      <w:r w:rsidR="0009231B" w:rsidRPr="00C32536">
        <w:rPr>
          <w:color w:val="FF0000"/>
          <w:szCs w:val="22"/>
          <w:lang w:val="en-US"/>
        </w:rPr>
        <w:t>8</w:t>
      </w:r>
      <w:r w:rsidR="00216DB1" w:rsidRPr="00C32536">
        <w:rPr>
          <w:color w:val="FF0000"/>
          <w:szCs w:val="22"/>
          <w:lang w:val="en-US"/>
        </w:rPr>
        <w:t>:00 UTC on the proposals tagged FL</w:t>
      </w:r>
      <w:r w:rsidR="001F7A85" w:rsidRPr="00C32536">
        <w:rPr>
          <w:color w:val="FF0000"/>
          <w:szCs w:val="22"/>
          <w:lang w:val="en-US"/>
        </w:rPr>
        <w:t>3</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7777777" w:rsidR="00EB5D40" w:rsidRDefault="00EB5D40" w:rsidP="00324B34">
            <w:pPr>
              <w:rPr>
                <w:rFonts w:eastAsia="Malgun Gothic"/>
                <w:lang w:val="en-US" w:eastAsia="ko-KR"/>
              </w:rPr>
            </w:pPr>
          </w:p>
        </w:tc>
        <w:tc>
          <w:tcPr>
            <w:tcW w:w="1372" w:type="dxa"/>
          </w:tcPr>
          <w:p w14:paraId="6F1D18C6" w14:textId="77777777" w:rsidR="00EB5D40" w:rsidRDefault="00EB5D40" w:rsidP="00324B34">
            <w:pPr>
              <w:tabs>
                <w:tab w:val="left" w:pos="551"/>
              </w:tabs>
              <w:rPr>
                <w:rFonts w:eastAsia="Malgun Gothic"/>
                <w:lang w:val="en-US" w:eastAsia="ko-KR"/>
              </w:rPr>
            </w:pP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77777777" w:rsidR="00EB5D40" w:rsidRDefault="00EB5D40" w:rsidP="00324B34">
            <w:pPr>
              <w:rPr>
                <w:rFonts w:eastAsia="Malgun Gothic"/>
                <w:lang w:val="en-US" w:eastAsia="ko-KR"/>
              </w:rPr>
            </w:pPr>
          </w:p>
        </w:tc>
        <w:tc>
          <w:tcPr>
            <w:tcW w:w="1372" w:type="dxa"/>
          </w:tcPr>
          <w:p w14:paraId="7E781898" w14:textId="77777777" w:rsidR="00EB5D40" w:rsidRDefault="00EB5D40" w:rsidP="00324B34">
            <w:pPr>
              <w:tabs>
                <w:tab w:val="left" w:pos="551"/>
              </w:tabs>
              <w:rPr>
                <w:rFonts w:eastAsia="Malgun Gothic"/>
                <w:lang w:val="en-US" w:eastAsia="ko-KR"/>
              </w:rPr>
            </w:pPr>
          </w:p>
        </w:tc>
        <w:tc>
          <w:tcPr>
            <w:tcW w:w="6780" w:type="dxa"/>
          </w:tcPr>
          <w:p w14:paraId="60547BE6" w14:textId="77777777" w:rsidR="00EB5D40" w:rsidRDefault="00EB5D40"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lastRenderedPageBreak/>
              <w:t>CATT</w:t>
            </w:r>
          </w:p>
        </w:tc>
        <w:tc>
          <w:tcPr>
            <w:tcW w:w="8146" w:type="dxa"/>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7498C">
        <w:tc>
          <w:tcPr>
            <w:tcW w:w="1479" w:type="dxa"/>
          </w:tcPr>
          <w:p w14:paraId="3A3E1464" w14:textId="77777777" w:rsidR="0047498C" w:rsidRPr="005A7E88" w:rsidRDefault="0047498C" w:rsidP="00A06DDC">
            <w:r>
              <w:t>Lenovo, Motorola Mobility</w:t>
            </w:r>
          </w:p>
        </w:tc>
        <w:tc>
          <w:tcPr>
            <w:tcW w:w="8146" w:type="dxa"/>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47498C">
        <w:tc>
          <w:tcPr>
            <w:tcW w:w="1479" w:type="dxa"/>
          </w:tcPr>
          <w:p w14:paraId="2B8E5040" w14:textId="7AF3D04D" w:rsidR="00AF1416" w:rsidRDefault="00AF1416" w:rsidP="00AF1416">
            <w:r>
              <w:rPr>
                <w:rFonts w:eastAsia="Yu Mincho"/>
                <w:lang w:val="en-US" w:eastAsia="ja-JP"/>
              </w:rPr>
              <w:t>InterDigital</w:t>
            </w:r>
          </w:p>
        </w:tc>
        <w:tc>
          <w:tcPr>
            <w:tcW w:w="8146" w:type="dxa"/>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RedCap UEs. RF retuning can also be considered.</w:t>
            </w:r>
          </w:p>
        </w:tc>
      </w:tr>
      <w:tr w:rsidR="005F04C4" w:rsidRPr="005A7E88" w14:paraId="219D02E0" w14:textId="77777777" w:rsidTr="0047498C">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7498C">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tcPr>
          <w:p w14:paraId="511EDB64" w14:textId="7BCA5F71" w:rsidR="005E015D" w:rsidRDefault="005E015D" w:rsidP="005E015D">
            <w:pPr>
              <w:spacing w:after="0"/>
              <w:rPr>
                <w:rFonts w:eastAsia="DengXian"/>
                <w:lang w:eastAsia="zh-CN"/>
              </w:rPr>
            </w:pPr>
            <w:r>
              <w:rPr>
                <w:lang w:val="en-US"/>
              </w:rPr>
              <w:t>This could be handled by gNB configuration.</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DengXian" w:hint="eastAsia"/>
                <w:lang w:eastAsia="zh-CN"/>
              </w:rPr>
              <w:lastRenderedPageBreak/>
              <w:t>CATT</w:t>
            </w:r>
          </w:p>
        </w:tc>
        <w:tc>
          <w:tcPr>
            <w:tcW w:w="8146" w:type="dxa"/>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7498C">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7498C">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77777777"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proofErr w:type="spellStart"/>
            <w:r>
              <w:rPr>
                <w:lang w:val="en-US"/>
              </w:rPr>
              <w:t>trasmission</w:t>
            </w:r>
            <w:proofErr w:type="spellEnd"/>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228BAF94"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proofErr w:type="spellStart"/>
            <w:r>
              <w:rPr>
                <w:rFonts w:eastAsia="DengXian"/>
                <w:lang w:eastAsia="zh-CN"/>
              </w:rPr>
              <w:t>demodulaiton</w:t>
            </w:r>
            <w:proofErr w:type="spellEnd"/>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So the performance loss of RF retuning should be carefully examined.</w:t>
            </w:r>
          </w:p>
        </w:tc>
      </w:tr>
      <w:tr w:rsidR="00253521" w14:paraId="19C9DFC6" w14:textId="77777777" w:rsidTr="0047498C">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7498C">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7498C">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lastRenderedPageBreak/>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lastRenderedPageBreak/>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2F6336" w:rsidRPr="008E3AB5" w14:paraId="10D44DAE" w14:textId="77777777" w:rsidTr="0046752C">
        <w:tc>
          <w:tcPr>
            <w:tcW w:w="1479" w:type="dxa"/>
          </w:tcPr>
          <w:p w14:paraId="5F616EAA" w14:textId="77777777" w:rsidR="002F6336" w:rsidRDefault="002F6336" w:rsidP="00060A9F">
            <w:pPr>
              <w:rPr>
                <w:rFonts w:eastAsia="Malgun Gothic"/>
                <w:lang w:val="en-US" w:eastAsia="ko-KR"/>
              </w:rPr>
            </w:pPr>
          </w:p>
        </w:tc>
        <w:tc>
          <w:tcPr>
            <w:tcW w:w="8155" w:type="dxa"/>
          </w:tcPr>
          <w:p w14:paraId="37DF6938" w14:textId="77777777" w:rsidR="002F6336" w:rsidRDefault="002F6336" w:rsidP="00060A9F">
            <w:pPr>
              <w:rPr>
                <w:rFonts w:eastAsia="Malgun Gothic"/>
                <w:lang w:val="en-US" w:eastAsia="ko-KR"/>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lastRenderedPageBreak/>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77777777" w:rsidR="00392855" w:rsidRDefault="00392855" w:rsidP="00A06DDC">
            <w:pPr>
              <w:rPr>
                <w:lang w:val="en-US" w:eastAsia="ko-KR"/>
              </w:rPr>
            </w:pPr>
          </w:p>
        </w:tc>
        <w:tc>
          <w:tcPr>
            <w:tcW w:w="1372" w:type="dxa"/>
          </w:tcPr>
          <w:p w14:paraId="677CBE19" w14:textId="77777777" w:rsidR="00392855" w:rsidRPr="009240AF" w:rsidRDefault="00392855" w:rsidP="00A06DDC">
            <w:pPr>
              <w:tabs>
                <w:tab w:val="left" w:pos="551"/>
              </w:tabs>
              <w:rPr>
                <w:color w:val="00B050"/>
                <w:lang w:val="en-US" w:eastAsia="ko-KR"/>
              </w:rPr>
            </w:pP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7777777" w:rsidR="00392855" w:rsidRDefault="00392855" w:rsidP="00A06DDC">
            <w:pPr>
              <w:rPr>
                <w:lang w:val="en-US" w:eastAsia="ko-KR"/>
              </w:rPr>
            </w:pP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3A290592" w14:textId="77777777" w:rsidR="00392855" w:rsidRDefault="00392855" w:rsidP="00A06DDC">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lastRenderedPageBreak/>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lastRenderedPageBreak/>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lastRenderedPageBreak/>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lastRenderedPageBreak/>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lastRenderedPageBreak/>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77777777" w:rsidR="000B6F17" w:rsidRPr="00B353FC" w:rsidRDefault="000B6F17" w:rsidP="00A06DDC">
            <w:pPr>
              <w:rPr>
                <w:lang w:val="en-US" w:eastAsia="ko-KR"/>
              </w:rPr>
            </w:pPr>
          </w:p>
        </w:tc>
        <w:tc>
          <w:tcPr>
            <w:tcW w:w="1372" w:type="dxa"/>
          </w:tcPr>
          <w:p w14:paraId="0FBD5CC4" w14:textId="77777777" w:rsidR="000B6F17" w:rsidRPr="00B353FC" w:rsidRDefault="000B6F17" w:rsidP="00A06DDC">
            <w:pPr>
              <w:tabs>
                <w:tab w:val="left" w:pos="551"/>
              </w:tabs>
              <w:rPr>
                <w:lang w:val="en-US" w:eastAsia="ko-KR"/>
              </w:rPr>
            </w:pPr>
          </w:p>
        </w:tc>
        <w:tc>
          <w:tcPr>
            <w:tcW w:w="6783" w:type="dxa"/>
          </w:tcPr>
          <w:p w14:paraId="6E9C84E6" w14:textId="77777777" w:rsidR="000B6F17" w:rsidRPr="00B353FC" w:rsidRDefault="000B6F17" w:rsidP="00A06DDC">
            <w:pPr>
              <w:rPr>
                <w:lang w:val="en-US"/>
              </w:rPr>
            </w:pPr>
          </w:p>
        </w:tc>
      </w:tr>
      <w:tr w:rsidR="000B6F17" w:rsidRPr="00B353FC" w14:paraId="0FC22078" w14:textId="77777777" w:rsidTr="004A7B48">
        <w:tc>
          <w:tcPr>
            <w:tcW w:w="1479" w:type="dxa"/>
          </w:tcPr>
          <w:p w14:paraId="6592FB9B" w14:textId="77777777" w:rsidR="000B6F17" w:rsidRPr="00B353FC" w:rsidRDefault="000B6F17" w:rsidP="00A06DDC">
            <w:pPr>
              <w:rPr>
                <w:lang w:val="en-US" w:eastAsia="ko-KR"/>
              </w:rPr>
            </w:pPr>
          </w:p>
        </w:tc>
        <w:tc>
          <w:tcPr>
            <w:tcW w:w="1372" w:type="dxa"/>
          </w:tcPr>
          <w:p w14:paraId="52CB5056" w14:textId="77777777" w:rsidR="000B6F17" w:rsidRPr="00B353FC" w:rsidRDefault="000B6F17" w:rsidP="00A06DDC">
            <w:pPr>
              <w:tabs>
                <w:tab w:val="left" w:pos="551"/>
              </w:tabs>
              <w:rPr>
                <w:lang w:val="en-US" w:eastAsia="ko-KR"/>
              </w:rPr>
            </w:pPr>
          </w:p>
        </w:tc>
        <w:tc>
          <w:tcPr>
            <w:tcW w:w="6783" w:type="dxa"/>
          </w:tcPr>
          <w:p w14:paraId="5CD5C3B7" w14:textId="77777777" w:rsidR="000B6F17" w:rsidRPr="00B353FC" w:rsidRDefault="000B6F17" w:rsidP="00A06DDC">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82FC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82FC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lastRenderedPageBreak/>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lastRenderedPageBreak/>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77777777" w:rsidR="000B6F17" w:rsidRDefault="000B6F17" w:rsidP="00A06DDC">
            <w:pPr>
              <w:rPr>
                <w:lang w:val="en-US" w:eastAsia="ko-KR"/>
              </w:rPr>
            </w:pPr>
          </w:p>
        </w:tc>
        <w:tc>
          <w:tcPr>
            <w:tcW w:w="1372" w:type="dxa"/>
          </w:tcPr>
          <w:p w14:paraId="7EC55F87" w14:textId="77777777" w:rsidR="000B6F17" w:rsidRPr="00987421" w:rsidRDefault="000B6F17" w:rsidP="00A06DDC">
            <w:pPr>
              <w:tabs>
                <w:tab w:val="left" w:pos="551"/>
              </w:tabs>
              <w:rPr>
                <w:color w:val="FF0000"/>
                <w:lang w:val="en-US" w:eastAsia="ko-KR"/>
              </w:rPr>
            </w:pPr>
          </w:p>
        </w:tc>
        <w:tc>
          <w:tcPr>
            <w:tcW w:w="6783" w:type="dxa"/>
          </w:tcPr>
          <w:p w14:paraId="74EEB5ED" w14:textId="77777777" w:rsidR="000B6F17" w:rsidRDefault="000B6F17" w:rsidP="00A06DDC">
            <w:pPr>
              <w:rPr>
                <w:lang w:val="en-US"/>
              </w:rPr>
            </w:pPr>
          </w:p>
        </w:tc>
      </w:tr>
      <w:tr w:rsidR="000B6F17" w:rsidRPr="00C7566E" w14:paraId="1BB5FED9" w14:textId="77777777" w:rsidTr="009A4909">
        <w:tc>
          <w:tcPr>
            <w:tcW w:w="1479" w:type="dxa"/>
          </w:tcPr>
          <w:p w14:paraId="5EDFA6FD" w14:textId="77777777" w:rsidR="000B6F17" w:rsidRDefault="000B6F17" w:rsidP="00A06DDC">
            <w:pPr>
              <w:rPr>
                <w:lang w:val="en-US" w:eastAsia="ko-KR"/>
              </w:rPr>
            </w:pPr>
          </w:p>
        </w:tc>
        <w:tc>
          <w:tcPr>
            <w:tcW w:w="1372" w:type="dxa"/>
          </w:tcPr>
          <w:p w14:paraId="4516327E" w14:textId="77777777" w:rsidR="000B6F17" w:rsidRPr="00987421" w:rsidRDefault="000B6F17" w:rsidP="00A06DDC">
            <w:pPr>
              <w:tabs>
                <w:tab w:val="left" w:pos="551"/>
              </w:tabs>
              <w:rPr>
                <w:color w:val="FF0000"/>
                <w:lang w:val="en-US" w:eastAsia="ko-KR"/>
              </w:rPr>
            </w:pPr>
          </w:p>
        </w:tc>
        <w:tc>
          <w:tcPr>
            <w:tcW w:w="6783" w:type="dxa"/>
          </w:tcPr>
          <w:p w14:paraId="7F9BEBE7" w14:textId="77777777" w:rsidR="000B6F17" w:rsidRDefault="000B6F17" w:rsidP="00A06DD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w:t>
            </w:r>
            <w:r w:rsidRPr="005A1B13">
              <w:lastRenderedPageBreak/>
              <w:t xml:space="preserve">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w:t>
            </w:r>
            <w:r w:rsidRPr="001E1706">
              <w:rPr>
                <w:lang w:val="en-US" w:eastAsia="ko-KR"/>
              </w:rPr>
              <w:lastRenderedPageBreak/>
              <w:t>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lastRenderedPageBreak/>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w:t>
            </w:r>
            <w:r>
              <w:rPr>
                <w:rFonts w:eastAsia="DengXian"/>
                <w:lang w:val="en-US" w:eastAsia="zh-CN"/>
              </w:rPr>
              <w:lastRenderedPageBreak/>
              <w:t xml:space="preserve">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lastRenderedPageBreak/>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lastRenderedPageBreak/>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lastRenderedPageBreak/>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77777777" w:rsidR="00123A0A" w:rsidRDefault="00123A0A" w:rsidP="00A06DDC">
            <w:pPr>
              <w:rPr>
                <w:lang w:val="en-US" w:eastAsia="ko-KR"/>
              </w:rPr>
            </w:pPr>
          </w:p>
        </w:tc>
        <w:tc>
          <w:tcPr>
            <w:tcW w:w="1372" w:type="dxa"/>
          </w:tcPr>
          <w:p w14:paraId="0D4B2461" w14:textId="77777777" w:rsidR="00123A0A" w:rsidRDefault="00123A0A" w:rsidP="00A06DDC">
            <w:pPr>
              <w:tabs>
                <w:tab w:val="left" w:pos="551"/>
              </w:tabs>
              <w:rPr>
                <w:lang w:val="en-US" w:eastAsia="ko-KR"/>
              </w:rPr>
            </w:pP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77777777" w:rsidR="00123A0A" w:rsidRDefault="00123A0A" w:rsidP="00A06DDC">
            <w:pPr>
              <w:rPr>
                <w:lang w:val="en-US" w:eastAsia="ko-KR"/>
              </w:rPr>
            </w:pPr>
          </w:p>
        </w:tc>
        <w:tc>
          <w:tcPr>
            <w:tcW w:w="1372" w:type="dxa"/>
          </w:tcPr>
          <w:p w14:paraId="72250745" w14:textId="77777777" w:rsidR="00123A0A" w:rsidRDefault="00123A0A" w:rsidP="00A06DDC">
            <w:pPr>
              <w:tabs>
                <w:tab w:val="left" w:pos="551"/>
              </w:tabs>
              <w:rPr>
                <w:lang w:val="en-US" w:eastAsia="ko-KR"/>
              </w:rPr>
            </w:pPr>
          </w:p>
        </w:tc>
        <w:tc>
          <w:tcPr>
            <w:tcW w:w="6783" w:type="dxa"/>
          </w:tcPr>
          <w:p w14:paraId="1194D511" w14:textId="77777777" w:rsidR="00123A0A" w:rsidRPr="001D19A9" w:rsidRDefault="00123A0A" w:rsidP="00A06DDC">
            <w:pPr>
              <w:rPr>
                <w:lang w:val="en-US"/>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lastRenderedPageBreak/>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82FC7"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82FC7"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182FC7"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82FC7"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82FC7"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82FC7"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82FC7"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82FC7"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82FC7"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82FC7"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82FC7"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82FC7"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82FC7"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82FC7"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82FC7"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82FC7"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82FC7"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82FC7"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82FC7"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82FC7"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82FC7"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82FC7"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82FC7"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82FC7"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82FC7"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82FC7"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82FC7"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82FC7"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82FC7"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3B1EA" w14:textId="77777777" w:rsidR="00182FC7" w:rsidRDefault="00182FC7" w:rsidP="00581A60">
      <w:pPr>
        <w:spacing w:after="0"/>
      </w:pPr>
      <w:r>
        <w:separator/>
      </w:r>
    </w:p>
  </w:endnote>
  <w:endnote w:type="continuationSeparator" w:id="0">
    <w:p w14:paraId="53DD0C12" w14:textId="77777777" w:rsidR="00182FC7" w:rsidRDefault="00182FC7" w:rsidP="00581A60">
      <w:pPr>
        <w:spacing w:after="0"/>
      </w:pPr>
      <w:r>
        <w:continuationSeparator/>
      </w:r>
    </w:p>
  </w:endnote>
  <w:endnote w:type="continuationNotice" w:id="1">
    <w:p w14:paraId="3FB1035B" w14:textId="77777777" w:rsidR="00182FC7" w:rsidRDefault="00182F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C9A97" w14:textId="77777777" w:rsidR="00182FC7" w:rsidRDefault="00182FC7" w:rsidP="00581A60">
      <w:pPr>
        <w:spacing w:after="0"/>
      </w:pPr>
      <w:r>
        <w:separator/>
      </w:r>
    </w:p>
  </w:footnote>
  <w:footnote w:type="continuationSeparator" w:id="0">
    <w:p w14:paraId="410E5D06" w14:textId="77777777" w:rsidR="00182FC7" w:rsidRDefault="00182FC7" w:rsidP="00581A60">
      <w:pPr>
        <w:spacing w:after="0"/>
      </w:pPr>
      <w:r>
        <w:continuationSeparator/>
      </w:r>
    </w:p>
  </w:footnote>
  <w:footnote w:type="continuationNotice" w:id="1">
    <w:p w14:paraId="0B8D95B7" w14:textId="77777777" w:rsidR="00182FC7" w:rsidRDefault="00182F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9"/>
  </w:num>
  <w:num w:numId="7">
    <w:abstractNumId w:val="0"/>
  </w:num>
  <w:num w:numId="8">
    <w:abstractNumId w:val="19"/>
  </w:num>
  <w:num w:numId="9">
    <w:abstractNumId w:val="6"/>
  </w:num>
  <w:num w:numId="10">
    <w:abstractNumId w:val="4"/>
  </w:num>
  <w:num w:numId="11">
    <w:abstractNumId w:val="34"/>
  </w:num>
  <w:num w:numId="12">
    <w:abstractNumId w:val="37"/>
  </w:num>
  <w:num w:numId="13">
    <w:abstractNumId w:val="15"/>
  </w:num>
  <w:num w:numId="14">
    <w:abstractNumId w:val="1"/>
  </w:num>
  <w:num w:numId="15">
    <w:abstractNumId w:val="27"/>
  </w:num>
  <w:num w:numId="16">
    <w:abstractNumId w:val="29"/>
  </w:num>
  <w:num w:numId="17">
    <w:abstractNumId w:val="14"/>
  </w:num>
  <w:num w:numId="18">
    <w:abstractNumId w:val="33"/>
  </w:num>
  <w:num w:numId="19">
    <w:abstractNumId w:val="12"/>
  </w:num>
  <w:num w:numId="20">
    <w:abstractNumId w:val="5"/>
  </w:num>
  <w:num w:numId="21">
    <w:abstractNumId w:val="11"/>
  </w:num>
  <w:num w:numId="22">
    <w:abstractNumId w:val="32"/>
  </w:num>
  <w:num w:numId="23">
    <w:abstractNumId w:val="10"/>
  </w:num>
  <w:num w:numId="24">
    <w:abstractNumId w:val="20"/>
  </w:num>
  <w:num w:numId="25">
    <w:abstractNumId w:val="2"/>
  </w:num>
  <w:num w:numId="26">
    <w:abstractNumId w:val="36"/>
  </w:num>
  <w:num w:numId="27">
    <w:abstractNumId w:val="21"/>
  </w:num>
  <w:num w:numId="28">
    <w:abstractNumId w:val="38"/>
  </w:num>
  <w:num w:numId="29">
    <w:abstractNumId w:val="30"/>
  </w:num>
  <w:num w:numId="30">
    <w:abstractNumId w:val="40"/>
  </w:num>
  <w:num w:numId="31">
    <w:abstractNumId w:val="9"/>
  </w:num>
  <w:num w:numId="32">
    <w:abstractNumId w:val="8"/>
  </w:num>
  <w:num w:numId="33">
    <w:abstractNumId w:val="22"/>
  </w:num>
  <w:num w:numId="34">
    <w:abstractNumId w:val="35"/>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 w:numId="42">
    <w:abstractNumId w:val="22"/>
  </w:num>
  <w:num w:numId="4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8AC"/>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67"/>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8A284-BA57-4C5C-90B0-C311066F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14482</Words>
  <Characters>82553</Characters>
  <Application>Microsoft Office Word</Application>
  <DocSecurity>0</DocSecurity>
  <Lines>687</Lines>
  <Paragraphs>193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Vip</cp:lastModifiedBy>
  <cp:revision>2</cp:revision>
  <dcterms:created xsi:type="dcterms:W3CDTF">2021-01-29T21:08:00Z</dcterms:created>
  <dcterms:modified xsi:type="dcterms:W3CDTF">2021-01-29T21:08:00Z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