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DengXian"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DengXian" w:hint="eastAsia"/>
                <w:lang w:val="en-US" w:eastAsia="zh-CN"/>
              </w:rPr>
              <w:t>N</w:t>
            </w:r>
          </w:p>
        </w:tc>
        <w:tc>
          <w:tcPr>
            <w:tcW w:w="6780" w:type="dxa"/>
          </w:tcPr>
          <w:p w14:paraId="40E0DFA8" w14:textId="57222828" w:rsidR="00F1227D" w:rsidRDefault="00F1227D" w:rsidP="00132A00">
            <w:pPr>
              <w:rPr>
                <w:rFonts w:eastAsia="SimSun"/>
                <w:sz w:val="21"/>
                <w:lang w:eastAsia="zh-CN"/>
              </w:rPr>
            </w:pPr>
            <w:r>
              <w:rPr>
                <w:rFonts w:eastAsia="SimSun"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DengXian" w:hint="eastAsia"/>
                <w:lang w:val="en-US" w:eastAsia="zh-CN"/>
              </w:rPr>
            </w:pPr>
            <w:r>
              <w:rPr>
                <w:rFonts w:eastAsia="맑은 고딕" w:hint="eastAsia"/>
                <w:lang w:val="en-US" w:eastAsia="ko-KR"/>
              </w:rPr>
              <w:t>LG</w:t>
            </w:r>
          </w:p>
        </w:tc>
        <w:tc>
          <w:tcPr>
            <w:tcW w:w="1372" w:type="dxa"/>
          </w:tcPr>
          <w:p w14:paraId="4F692FC8" w14:textId="3CBDB233" w:rsidR="00426683" w:rsidRDefault="00426683" w:rsidP="00426683">
            <w:pPr>
              <w:tabs>
                <w:tab w:val="left" w:pos="551"/>
              </w:tabs>
              <w:rPr>
                <w:rFonts w:eastAsia="DengXian" w:hint="eastAsia"/>
                <w:lang w:val="en-US" w:eastAsia="zh-CN"/>
              </w:rPr>
            </w:pPr>
            <w:r>
              <w:rPr>
                <w:rFonts w:eastAsia="맑은 고딕" w:hint="eastAsia"/>
                <w:lang w:val="en-US" w:eastAsia="ko-KR"/>
              </w:rPr>
              <w:t>N</w:t>
            </w:r>
          </w:p>
        </w:tc>
        <w:tc>
          <w:tcPr>
            <w:tcW w:w="6780" w:type="dxa"/>
          </w:tcPr>
          <w:p w14:paraId="115AEFC3" w14:textId="77777777" w:rsidR="00426683" w:rsidRDefault="00426683" w:rsidP="00426683">
            <w:pPr>
              <w:rPr>
                <w:rFonts w:eastAsia="SimSun" w:hint="eastAsia"/>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Proper R</w:t>
      </w:r>
      <w:r w:rsidR="006E17D3" w:rsidRPr="002E6827">
        <w:rPr>
          <w:rFonts w:ascii="Times New Roman" w:eastAsia="바탕" w:hAnsi="Times New Roman" w:cs="Arial"/>
          <w:sz w:val="20"/>
          <w:szCs w:val="20"/>
          <w:lang w:val="en-GB" w:eastAsia="en-US"/>
        </w:rPr>
        <w:t>F</w:t>
      </w:r>
      <w:r w:rsidRPr="002E6827">
        <w:rPr>
          <w:rFonts w:ascii="Times New Roman" w:eastAsia="바탕" w:hAnsi="Times New Roman" w:cs="Arial"/>
          <w:sz w:val="20"/>
          <w:szCs w:val="20"/>
          <w:lang w:val="en-GB" w:eastAsia="en-US"/>
        </w:rPr>
        <w:t>-retuning</w:t>
      </w:r>
      <w:r w:rsidR="006E17D3" w:rsidRPr="002E6827">
        <w:rPr>
          <w:rFonts w:ascii="Times New Roman" w:eastAsia="바탕" w:hAnsi="Times New Roman" w:cs="Arial"/>
          <w:sz w:val="20"/>
          <w:szCs w:val="20"/>
          <w:lang w:val="en-GB" w:eastAsia="en-US"/>
        </w:rPr>
        <w:t xml:space="preserve"> for RedCap</w:t>
      </w:r>
      <w:r w:rsidR="00F41C50" w:rsidRPr="002E6827">
        <w:rPr>
          <w:rFonts w:ascii="Times New Roman" w:eastAsia="바탕" w:hAnsi="Times New Roman" w:cs="Arial"/>
          <w:sz w:val="20"/>
          <w:szCs w:val="20"/>
          <w:lang w:val="en-GB" w:eastAsia="en-US"/>
        </w:rPr>
        <w:t xml:space="preserve"> [</w:t>
      </w:r>
      <w:r w:rsidR="00783074">
        <w:rPr>
          <w:rFonts w:ascii="Times New Roman" w:eastAsia="바탕" w:hAnsi="Times New Roman" w:cs="Arial"/>
          <w:sz w:val="20"/>
          <w:szCs w:val="20"/>
          <w:lang w:val="en-GB" w:eastAsia="en-US"/>
        </w:rPr>
        <w:t>1</w:t>
      </w:r>
      <w:r w:rsidR="00F41C50" w:rsidRPr="002E6827">
        <w:rPr>
          <w:rFonts w:ascii="Times New Roman" w:eastAsia="바탕" w:hAnsi="Times New Roman" w:cs="Arial"/>
          <w:sz w:val="20"/>
          <w:szCs w:val="20"/>
          <w:lang w:val="en-GB" w:eastAsia="en-US"/>
        </w:rPr>
        <w:t xml:space="preserve">, </w:t>
      </w:r>
      <w:r w:rsidR="00720332">
        <w:rPr>
          <w:rFonts w:ascii="Times New Roman" w:eastAsia="바탕" w:hAnsi="Times New Roman" w:cs="Arial"/>
          <w:sz w:val="20"/>
          <w:szCs w:val="20"/>
          <w:lang w:val="en-GB" w:eastAsia="en-US"/>
        </w:rPr>
        <w:t>16</w:t>
      </w:r>
      <w:r w:rsidR="00F41C50" w:rsidRPr="002E6827">
        <w:rPr>
          <w:rFonts w:ascii="Times New Roman" w:eastAsia="바탕" w:hAnsi="Times New Roman" w:cs="Arial"/>
          <w:sz w:val="20"/>
          <w:szCs w:val="20"/>
          <w:lang w:val="en-GB" w:eastAsia="en-US"/>
        </w:rPr>
        <w:t>,</w:t>
      </w:r>
      <w:r w:rsidR="00645AB1" w:rsidRPr="002E6827">
        <w:rPr>
          <w:rFonts w:ascii="Times New Roman" w:eastAsia="바탕" w:hAnsi="Times New Roman" w:cs="Arial"/>
          <w:sz w:val="20"/>
          <w:szCs w:val="20"/>
          <w:lang w:val="en-GB" w:eastAsia="en-US"/>
        </w:rPr>
        <w:t xml:space="preserve"> </w:t>
      </w:r>
      <w:r w:rsidR="004A5902">
        <w:rPr>
          <w:rFonts w:ascii="Times New Roman" w:eastAsia="바탕" w:hAnsi="Times New Roman" w:cs="Arial"/>
          <w:sz w:val="20"/>
          <w:szCs w:val="20"/>
          <w:lang w:val="en-GB" w:eastAsia="en-US"/>
        </w:rPr>
        <w:t>19</w:t>
      </w:r>
      <w:r w:rsidR="00F41C50" w:rsidRPr="002E6827">
        <w:rPr>
          <w:rFonts w:ascii="Times New Roman" w:eastAsia="바탕"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Dedicated PRACH resources config</w:t>
      </w:r>
      <w:r w:rsidR="00795EE0">
        <w:rPr>
          <w:rFonts w:ascii="Times New Roman" w:eastAsia="바탕" w:hAnsi="Times New Roman" w:cs="Arial"/>
          <w:sz w:val="20"/>
          <w:szCs w:val="20"/>
          <w:lang w:val="en-GB" w:eastAsia="en-US"/>
        </w:rPr>
        <w:t>u</w:t>
      </w:r>
      <w:r w:rsidRPr="002E6827">
        <w:rPr>
          <w:rFonts w:ascii="Times New Roman" w:eastAsia="바탕" w:hAnsi="Times New Roman" w:cs="Arial"/>
          <w:sz w:val="20"/>
          <w:szCs w:val="20"/>
          <w:lang w:val="en-GB" w:eastAsia="en-US"/>
        </w:rPr>
        <w:t>red in SIB1</w:t>
      </w:r>
      <w:r w:rsidR="0017246B" w:rsidRPr="002E6827">
        <w:rPr>
          <w:rFonts w:ascii="Times New Roman" w:eastAsia="바탕" w:hAnsi="Times New Roman" w:cs="Arial"/>
          <w:sz w:val="20"/>
          <w:szCs w:val="20"/>
          <w:lang w:val="en-GB" w:eastAsia="en-US"/>
        </w:rPr>
        <w:t xml:space="preserve"> [</w:t>
      </w:r>
      <w:r w:rsidR="00C00218">
        <w:rPr>
          <w:rFonts w:ascii="Times New Roman" w:eastAsia="바탕" w:hAnsi="Times New Roman" w:cs="Arial"/>
          <w:sz w:val="20"/>
          <w:szCs w:val="20"/>
          <w:lang w:val="en-GB" w:eastAsia="en-US"/>
        </w:rPr>
        <w:t>22</w:t>
      </w:r>
      <w:r w:rsidR="0017246B" w:rsidRPr="002E6827">
        <w:rPr>
          <w:rFonts w:ascii="Times New Roman" w:eastAsia="바탕"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gNB to configure the number of SSB indexes associated with one RO to be larger than one [</w:t>
      </w:r>
      <w:r w:rsidR="00720332">
        <w:rPr>
          <w:rFonts w:ascii="Times New Roman" w:eastAsia="바탕" w:hAnsi="Times New Roman" w:cs="Arial"/>
          <w:sz w:val="20"/>
          <w:szCs w:val="20"/>
          <w:lang w:val="en-GB" w:eastAsia="en-US"/>
        </w:rPr>
        <w:t>16</w:t>
      </w:r>
      <w:r w:rsidRPr="002E6827">
        <w:rPr>
          <w:rFonts w:ascii="Times New Roman" w:eastAsia="바탕"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A</w:t>
      </w:r>
      <w:r w:rsidR="002D5E8C" w:rsidRPr="002E6827">
        <w:rPr>
          <w:rFonts w:ascii="Times New Roman" w:eastAsia="바탕" w:hAnsi="Times New Roman" w:cs="Arial"/>
          <w:sz w:val="20"/>
          <w:szCs w:val="20"/>
          <w:lang w:val="en-GB" w:eastAsia="en-US"/>
        </w:rPr>
        <w:t xml:space="preserve">pply restrictions on the </w:t>
      </w:r>
      <w:r w:rsidR="0017246B" w:rsidRPr="002E6827">
        <w:rPr>
          <w:rFonts w:ascii="Times New Roman" w:eastAsia="바탕" w:hAnsi="Times New Roman" w:cs="Arial"/>
          <w:sz w:val="20"/>
          <w:szCs w:val="20"/>
          <w:lang w:val="en-GB" w:eastAsia="en-US"/>
        </w:rPr>
        <w:t>P</w:t>
      </w:r>
      <w:r w:rsidR="002D5E8C" w:rsidRPr="002E6827">
        <w:rPr>
          <w:rFonts w:ascii="Times New Roman" w:eastAsia="바탕" w:hAnsi="Times New Roman" w:cs="Arial"/>
          <w:sz w:val="20"/>
          <w:szCs w:val="20"/>
          <w:lang w:val="en-GB" w:eastAsia="en-US"/>
        </w:rPr>
        <w:t xml:space="preserve">RACH configurations for RedCap </w:t>
      </w:r>
      <w:r w:rsidR="00AF3DBB" w:rsidRPr="002E6827">
        <w:rPr>
          <w:rFonts w:ascii="Times New Roman" w:eastAsia="바탕" w:hAnsi="Times New Roman" w:cs="Arial"/>
          <w:sz w:val="20"/>
          <w:szCs w:val="20"/>
          <w:lang w:val="en-GB" w:eastAsia="en-US"/>
        </w:rPr>
        <w:t>(</w:t>
      </w:r>
      <w:r w:rsidR="002D5E8C" w:rsidRPr="002E6827">
        <w:rPr>
          <w:rFonts w:ascii="Times New Roman" w:eastAsia="바탕" w:hAnsi="Times New Roman" w:cs="Arial"/>
          <w:sz w:val="20"/>
          <w:szCs w:val="20"/>
          <w:lang w:val="en-GB" w:eastAsia="en-US"/>
        </w:rPr>
        <w:t>e.g.</w:t>
      </w:r>
      <w:r w:rsidR="00AF3DBB" w:rsidRPr="002E6827">
        <w:rPr>
          <w:rFonts w:ascii="Times New Roman" w:eastAsia="바탕" w:hAnsi="Times New Roman" w:cs="Arial"/>
          <w:sz w:val="20"/>
          <w:szCs w:val="20"/>
          <w:lang w:val="en-GB" w:eastAsia="en-US"/>
        </w:rPr>
        <w:t xml:space="preserve">, network should not </w:t>
      </w:r>
      <w:r w:rsidR="00DA0CBE" w:rsidRPr="002E6827">
        <w:rPr>
          <w:rFonts w:ascii="Times New Roman" w:eastAsia="바탕" w:hAnsi="Times New Roman" w:cs="Arial"/>
          <w:sz w:val="20"/>
          <w:szCs w:val="20"/>
          <w:lang w:val="en-GB" w:eastAsia="en-US"/>
        </w:rPr>
        <w:t>configure,</w:t>
      </w:r>
      <w:r w:rsidR="00650AB5" w:rsidRPr="002E6827">
        <w:rPr>
          <w:rFonts w:ascii="Times New Roman" w:eastAsia="바탕" w:hAnsi="Times New Roman" w:cs="Arial"/>
          <w:sz w:val="20"/>
          <w:szCs w:val="20"/>
          <w:lang w:val="en-GB" w:eastAsia="en-US"/>
        </w:rPr>
        <w:t xml:space="preserve"> and UE does not expect such configurations</w:t>
      </w:r>
      <w:r w:rsidR="00AF3DBB" w:rsidRPr="002E6827">
        <w:rPr>
          <w:rFonts w:ascii="Times New Roman" w:eastAsia="바탕" w:hAnsi="Times New Roman" w:cs="Arial"/>
          <w:sz w:val="20"/>
          <w:szCs w:val="20"/>
          <w:lang w:val="en-GB" w:eastAsia="en-US"/>
        </w:rPr>
        <w:t>)</w:t>
      </w:r>
      <w:r w:rsidR="00650AB5" w:rsidRPr="002E6827">
        <w:rPr>
          <w:rFonts w:ascii="Times New Roman" w:eastAsia="바탕" w:hAnsi="Times New Roman" w:cs="Arial"/>
          <w:sz w:val="20"/>
          <w:szCs w:val="20"/>
          <w:lang w:val="en-GB" w:eastAsia="en-US"/>
        </w:rPr>
        <w:t xml:space="preserve"> [</w:t>
      </w:r>
      <w:r w:rsidR="000A1735">
        <w:rPr>
          <w:rFonts w:ascii="Times New Roman" w:eastAsia="바탕" w:hAnsi="Times New Roman" w:cs="Arial"/>
          <w:sz w:val="20"/>
          <w:szCs w:val="20"/>
          <w:lang w:val="en-GB" w:eastAsia="en-US"/>
        </w:rPr>
        <w:t xml:space="preserve">14, </w:t>
      </w:r>
      <w:r w:rsidR="00720332">
        <w:rPr>
          <w:rFonts w:ascii="Times New Roman" w:eastAsia="바탕" w:hAnsi="Times New Roman" w:cs="Arial"/>
          <w:sz w:val="20"/>
          <w:szCs w:val="20"/>
          <w:lang w:val="en-GB" w:eastAsia="en-US"/>
        </w:rPr>
        <w:t>16</w:t>
      </w:r>
      <w:r w:rsidR="00650AB5" w:rsidRPr="002E6827">
        <w:rPr>
          <w:rFonts w:ascii="Times New Roman" w:eastAsia="바탕"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lastRenderedPageBreak/>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바탕"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hint="eastAsia"/>
                <w:lang w:eastAsia="zh-CN"/>
              </w:rPr>
            </w:pPr>
            <w:r>
              <w:rPr>
                <w:rFonts w:eastAsia="맑은 고딕"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a5"/>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a5"/>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hint="eastAsia"/>
                <w:lang w:eastAsia="zh-CN"/>
              </w:rPr>
            </w:pPr>
            <w:r>
              <w:rPr>
                <w:rFonts w:eastAsia="맑은 고딕"/>
                <w:lang w:eastAsia="ko-KR"/>
              </w:rPr>
              <w:t>At this stage, listing technologies under consideration seems to be a good starting point for further discussion within or starting from this meeting.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lastRenderedPageBreak/>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a5"/>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바탕"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hint="eastAsia"/>
                <w:lang w:eastAsia="zh-CN"/>
              </w:rPr>
            </w:pPr>
            <w:r>
              <w:rPr>
                <w:rFonts w:eastAsia="맑은 고딕" w:hint="eastAsia"/>
                <w:lang w:eastAsia="ko-KR"/>
              </w:rPr>
              <w:t>LG</w:t>
            </w:r>
          </w:p>
        </w:tc>
        <w:tc>
          <w:tcPr>
            <w:tcW w:w="8146" w:type="dxa"/>
          </w:tcPr>
          <w:p w14:paraId="0FE8F101" w14:textId="77777777" w:rsidR="00426683" w:rsidRPr="002673F1" w:rsidRDefault="00426683" w:rsidP="00426683">
            <w:pPr>
              <w:rPr>
                <w:rFonts w:eastAsia="맑은 고딕" w:hint="eastAsia"/>
                <w:lang w:eastAsia="ko-KR"/>
              </w:rPr>
            </w:pPr>
            <w:r>
              <w:rPr>
                <w:rFonts w:eastAsia="맑은 고딕" w:hint="eastAsia"/>
                <w:lang w:eastAsia="ko-KR"/>
              </w:rPr>
              <w:t xml:space="preserve">The following </w:t>
            </w:r>
            <w:r>
              <w:rPr>
                <w:rFonts w:eastAsia="맑은 고딕"/>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DengXian"/>
                <w:sz w:val="20"/>
                <w:lang w:eastAsia="zh-CN"/>
              </w:rPr>
            </w:pPr>
            <w:r w:rsidRPr="00E11713">
              <w:rPr>
                <w:rFonts w:eastAsia="맑은 고딕"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DengXian" w:hint="eastAsia"/>
                <w:sz w:val="20"/>
                <w:lang w:eastAsia="zh-CN"/>
              </w:rPr>
            </w:pPr>
            <w:r w:rsidRPr="00E11713">
              <w:rPr>
                <w:rFonts w:eastAsia="맑은 고딕"/>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DengXian"/>
                <w:lang w:eastAsia="zh-CN"/>
              </w:rPr>
            </w:pPr>
            <w:r w:rsidRPr="00E11713">
              <w:rPr>
                <w:rFonts w:eastAsia="맑은 고딕" w:hint="eastAsia"/>
                <w:sz w:val="20"/>
                <w:lang w:eastAsia="ko-KR"/>
              </w:rPr>
              <w:t>RF retuning</w:t>
            </w:r>
          </w:p>
          <w:p w14:paraId="3C3D5D35" w14:textId="1D926501" w:rsidR="00426683" w:rsidRDefault="00426683" w:rsidP="00426683">
            <w:pPr>
              <w:pStyle w:val="a5"/>
              <w:numPr>
                <w:ilvl w:val="0"/>
                <w:numId w:val="40"/>
              </w:numPr>
              <w:rPr>
                <w:rFonts w:eastAsia="DengXian" w:hint="eastAsia"/>
                <w:lang w:eastAsia="zh-CN"/>
              </w:rPr>
            </w:pPr>
            <w:r w:rsidRPr="00E11713">
              <w:rPr>
                <w:rFonts w:eastAsia="맑은 고딕" w:hint="eastAsia"/>
                <w:sz w:val="20"/>
                <w:lang w:eastAsia="ko-KR"/>
              </w:rPr>
              <w:t>Separate initial UL BWP</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lastRenderedPageBreak/>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lastRenderedPageBreak/>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hint="eastAsia"/>
                <w:lang w:val="en-US" w:eastAsia="zh-CN"/>
              </w:rPr>
            </w:pPr>
            <w:r>
              <w:rPr>
                <w:rFonts w:eastAsia="맑은 고딕" w:hint="eastAsia"/>
                <w:lang w:val="en-US" w:eastAsia="ko-KR"/>
              </w:rPr>
              <w:t>LG</w:t>
            </w:r>
          </w:p>
        </w:tc>
        <w:tc>
          <w:tcPr>
            <w:tcW w:w="8155" w:type="dxa"/>
          </w:tcPr>
          <w:p w14:paraId="0385E227" w14:textId="457D9A5B" w:rsidR="00426683" w:rsidRDefault="00426683" w:rsidP="00426683">
            <w:pPr>
              <w:rPr>
                <w:rFonts w:eastAsia="DengXian" w:hint="eastAsia"/>
                <w:lang w:val="en-US" w:eastAsia="zh-CN"/>
              </w:rPr>
            </w:pPr>
            <w:r>
              <w:rPr>
                <w:rFonts w:eastAsia="맑은 고딕"/>
                <w:lang w:val="en-US" w:eastAsia="ko-KR"/>
              </w:rPr>
              <w:t xml:space="preserve">Don’t see any issue to support RedCap with the existing BWP switching mechanism. Faster BWP switching may be helpful for NR devices </w:t>
            </w:r>
            <w:r>
              <w:rPr>
                <w:rFonts w:eastAsia="맑은 고딕" w:hint="eastAsia"/>
                <w:lang w:val="en-US" w:eastAsia="ko-KR"/>
              </w:rPr>
              <w:t xml:space="preserve">in general, which can be discussed separately </w:t>
            </w:r>
            <w:r>
              <w:rPr>
                <w:rFonts w:eastAsia="맑은 고딕"/>
                <w:lang w:val="en-US" w:eastAsia="ko-KR"/>
              </w:rPr>
              <w:t xml:space="preserve">perhaps </w:t>
            </w:r>
            <w:r>
              <w:rPr>
                <w:rFonts w:eastAsia="맑은 고딕" w:hint="eastAsia"/>
                <w:lang w:val="en-US" w:eastAsia="ko-KR"/>
              </w:rPr>
              <w:t xml:space="preserve">not in this WI. </w:t>
            </w:r>
            <w:r>
              <w:rPr>
                <w:rFonts w:eastAsia="맑은 고딕"/>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lastRenderedPageBreak/>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hint="eastAsia"/>
                <w:lang w:val="en-US" w:eastAsia="zh-CN"/>
              </w:rPr>
            </w:pPr>
            <w:r>
              <w:rPr>
                <w:rFonts w:eastAsia="맑은 고딕" w:hint="eastAsia"/>
                <w:lang w:val="en-US" w:eastAsia="ko-KR"/>
              </w:rPr>
              <w:t>LG</w:t>
            </w:r>
          </w:p>
        </w:tc>
        <w:tc>
          <w:tcPr>
            <w:tcW w:w="8155" w:type="dxa"/>
          </w:tcPr>
          <w:p w14:paraId="3977EDE7" w14:textId="4458FED2" w:rsidR="007B11CB" w:rsidRDefault="007B11CB" w:rsidP="007B11CB">
            <w:pPr>
              <w:rPr>
                <w:rFonts w:eastAsia="DengXian" w:hint="eastAsia"/>
                <w:lang w:val="en-US" w:eastAsia="zh-CN"/>
              </w:rPr>
            </w:pPr>
            <w:r>
              <w:rPr>
                <w:rFonts w:eastAsia="맑은 고딕" w:hint="eastAsia"/>
                <w:lang w:val="en-US" w:eastAsia="ko-KR"/>
              </w:rPr>
              <w:t>None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lastRenderedPageBreak/>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 xml:space="preserve">Thanks for the FL attempt to clarify. We thought the Qualcomm intent was the need for antenna configuration information beyond the number of RX branches. </w:t>
            </w:r>
            <w:r w:rsidRPr="00B61C95">
              <w:rPr>
                <w:lang w:val="en-US"/>
              </w:rPr>
              <w:lastRenderedPageBreak/>
              <w:t>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맑은 고딕"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맑은 고딕" w:hint="eastAsia"/>
                <w:lang w:val="en-US" w:eastAsia="ko-KR"/>
              </w:rPr>
              <w:t xml:space="preserve">None. </w:t>
            </w:r>
            <w:r>
              <w:rPr>
                <w:rFonts w:eastAsia="맑은 고딕"/>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120EB00B" w14:textId="77777777" w:rsidR="00C40B49" w:rsidRDefault="00331F72" w:rsidP="00331F72">
            <w:pPr>
              <w:rPr>
                <w:rFonts w:eastAsia="맑은 고딕"/>
                <w:lang w:val="en-US" w:eastAsia="ko-KR"/>
              </w:rPr>
            </w:pPr>
            <w:r>
              <w:rPr>
                <w:rFonts w:eastAsia="맑은 고딕" w:hint="eastAsia"/>
                <w:lang w:val="en-US" w:eastAsia="ko-KR"/>
              </w:rPr>
              <w:t xml:space="preserve">We are not okay with the proposal. </w:t>
            </w:r>
          </w:p>
          <w:p w14:paraId="24EEEEB9" w14:textId="66487586" w:rsidR="00331F72" w:rsidRPr="00C40B49" w:rsidRDefault="00331F72" w:rsidP="00331F72">
            <w:pPr>
              <w:rPr>
                <w:rFonts w:eastAsia="맑은 고딕"/>
                <w:lang w:val="en-US" w:eastAsia="ko-KR"/>
              </w:rPr>
            </w:pPr>
            <w:r>
              <w:rPr>
                <w:rFonts w:eastAsia="맑은 고딕"/>
                <w:lang w:val="en-US" w:eastAsia="ko-KR"/>
              </w:rPr>
              <w:t xml:space="preserve">A clear majority view is that no </w:t>
            </w:r>
            <w:r w:rsidR="00C40B49">
              <w:rPr>
                <w:rFonts w:eastAsia="맑은 고딕"/>
                <w:lang w:val="en-US" w:eastAsia="ko-KR"/>
              </w:rPr>
              <w:t xml:space="preserve">or very minor </w:t>
            </w:r>
            <w:r>
              <w:rPr>
                <w:rFonts w:eastAsia="맑은 고딕"/>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w:t>
            </w:r>
            <w:r>
              <w:rPr>
                <w:lang w:val="en-US"/>
              </w:rPr>
              <w:lastRenderedPageBreak/>
              <w:t>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맑은 고딕"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w:t>
            </w:r>
            <w:r>
              <w:rPr>
                <w:rFonts w:eastAsia="DengXian"/>
                <w:lang w:val="en-US" w:eastAsia="zh-CN" w:bidi="hi-IN"/>
              </w:rPr>
              <w:lastRenderedPageBreak/>
              <w:t>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529DE"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529DE"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3" w:type="dxa"/>
          </w:tcPr>
          <w:p w14:paraId="2100D032" w14:textId="77777777" w:rsidR="00C11DC6" w:rsidRDefault="00C11DC6" w:rsidP="00C11DC6">
            <w:pPr>
              <w:rPr>
                <w:rFonts w:eastAsia="맑은 고딕"/>
                <w:bCs/>
                <w:lang w:val="en-US" w:eastAsia="ko-KR"/>
              </w:rPr>
            </w:pPr>
            <w:r>
              <w:rPr>
                <w:rFonts w:eastAsia="맑은 고딕"/>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맑은 고딕"/>
                <w:bCs/>
                <w:lang w:val="en-US" w:eastAsia="ko-KR"/>
              </w:rPr>
              <w:t xml:space="preserve">For comparison between the two options, further clarification would be helpful on what the </w:t>
            </w:r>
            <w:r w:rsidRPr="008B7778">
              <w:rPr>
                <w:rFonts w:eastAsia="맑은 고딕"/>
                <w:bCs/>
                <w:lang w:val="en-US" w:eastAsia="ko-KR"/>
              </w:rPr>
              <w:t>LTE HD-FDD Type-A approach</w:t>
            </w:r>
            <w:r>
              <w:rPr>
                <w:rFonts w:eastAsia="맑은 고딕"/>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맑은 고딕"/>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29FA4128" w14:textId="445A778C" w:rsidR="00407EAD" w:rsidRPr="00025B8D" w:rsidRDefault="00407EAD" w:rsidP="00883321">
            <w:pPr>
              <w:rPr>
                <w:rFonts w:eastAsia="맑은 고딕"/>
                <w:lang w:val="en-US" w:eastAsia="ko-KR"/>
              </w:rPr>
            </w:pPr>
            <w:r>
              <w:rPr>
                <w:rFonts w:eastAsia="맑은 고딕"/>
                <w:lang w:val="en-US" w:eastAsia="ko-KR"/>
              </w:rPr>
              <w:t xml:space="preserve">Okay with the proposal. We are not sure yet if the </w:t>
            </w:r>
            <w:r w:rsidR="00883321">
              <w:rPr>
                <w:rFonts w:eastAsia="맑은 고딕"/>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맑은 고딕"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DengXian"/>
                <w:lang w:val="en-US" w:eastAsia="zh-CN"/>
              </w:rPr>
            </w:pPr>
            <w:r>
              <w:rPr>
                <w:rFonts w:eastAsia="DengXian"/>
                <w:sz w:val="20"/>
                <w:szCs w:val="22"/>
                <w:lang w:val="en-US" w:eastAsia="zh-CN"/>
              </w:rPr>
              <w:lastRenderedPageBreak/>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hint="eastAsia"/>
                <w:lang w:val="en-US" w:eastAsia="zh-CN"/>
              </w:rPr>
            </w:pPr>
            <w:r>
              <w:rPr>
                <w:rFonts w:eastAsia="맑은 고딕" w:hint="eastAsia"/>
                <w:lang w:val="en-US" w:eastAsia="ko-KR"/>
              </w:rPr>
              <w:t>LG</w:t>
            </w:r>
          </w:p>
        </w:tc>
        <w:tc>
          <w:tcPr>
            <w:tcW w:w="1372" w:type="dxa"/>
          </w:tcPr>
          <w:p w14:paraId="6854719C" w14:textId="57390B3B" w:rsidR="007B11CB" w:rsidRDefault="007B11CB" w:rsidP="007B11CB">
            <w:pPr>
              <w:tabs>
                <w:tab w:val="left" w:pos="551"/>
              </w:tabs>
              <w:rPr>
                <w:rFonts w:eastAsia="DengXian" w:hint="eastAsia"/>
                <w:lang w:val="en-US" w:eastAsia="zh-CN"/>
              </w:rPr>
            </w:pPr>
            <w:r>
              <w:rPr>
                <w:rFonts w:eastAsia="맑은 고딕"/>
                <w:lang w:val="en-US" w:eastAsia="ko-KR"/>
              </w:rPr>
              <w:t>N</w:t>
            </w:r>
          </w:p>
        </w:tc>
        <w:tc>
          <w:tcPr>
            <w:tcW w:w="6780" w:type="dxa"/>
          </w:tcPr>
          <w:p w14:paraId="4270BAFD" w14:textId="77777777" w:rsidR="007B11CB" w:rsidRDefault="007B11CB" w:rsidP="007B11CB">
            <w:pPr>
              <w:rPr>
                <w:rFonts w:eastAsia="맑은 고딕"/>
                <w:lang w:val="en-US" w:eastAsia="ko-KR"/>
              </w:rPr>
            </w:pPr>
            <w:r>
              <w:rPr>
                <w:rFonts w:eastAsia="맑은 고딕"/>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맑은 고딕"/>
                <w:lang w:val="en-US" w:eastAsia="ko-KR"/>
              </w:rPr>
            </w:pPr>
            <w:r>
              <w:rPr>
                <w:rFonts w:eastAsia="맑은 고딕"/>
                <w:sz w:val="20"/>
                <w:lang w:val="en-US" w:eastAsia="ko-KR"/>
              </w:rPr>
              <w:t>Dynamic or semi-static DL vs. RO</w:t>
            </w:r>
            <w:r w:rsidRPr="006E07D7">
              <w:rPr>
                <w:rFonts w:eastAsia="맑은 고딕"/>
                <w:sz w:val="20"/>
                <w:lang w:val="en-US" w:eastAsia="ko-KR"/>
              </w:rPr>
              <w:t xml:space="preserve"> </w:t>
            </w:r>
          </w:p>
          <w:p w14:paraId="0A974F3B" w14:textId="2E01C833" w:rsidR="007B11CB" w:rsidRDefault="007B11CB" w:rsidP="007B11CB">
            <w:pPr>
              <w:rPr>
                <w:rFonts w:eastAsia="DengXian" w:hint="eastAsia"/>
                <w:lang w:val="en-US" w:eastAsia="zh-CN"/>
              </w:rPr>
            </w:pPr>
            <w:r>
              <w:rPr>
                <w:rFonts w:eastAsia="맑은 고딕" w:hint="eastAsia"/>
                <w:lang w:val="en-US" w:eastAsia="ko-KR"/>
              </w:rPr>
              <w:t>In general, as this is the first time we discuss collision issues</w:t>
            </w:r>
            <w:r>
              <w:rPr>
                <w:rFonts w:eastAsia="맑은 고딕"/>
                <w:lang w:val="en-US" w:eastAsia="ko-KR"/>
              </w:rPr>
              <w:t>,</w:t>
            </w:r>
            <w:r>
              <w:rPr>
                <w:rFonts w:eastAsia="맑은 고딕" w:hint="eastAsia"/>
                <w:lang w:val="en-US" w:eastAsia="ko-KR"/>
              </w:rPr>
              <w:t xml:space="preserve"> it would be hard to make a complete list anyway. </w:t>
            </w:r>
            <w:r>
              <w:rPr>
                <w:rFonts w:eastAsia="맑은 고딕"/>
                <w:lang w:val="en-US" w:eastAsia="ko-KR"/>
              </w:rPr>
              <w:t>Therefore, we would like the proposal to be formulated in a way that it is more accommodating future introduction of any collision issues that are identified in the following meetings.</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맑은 고딕"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맑은 고딕"/>
                <w:lang w:val="en-US" w:eastAsia="ko-KR"/>
              </w:rPr>
              <w:t>Configuring s</w:t>
            </w:r>
            <w:r>
              <w:rPr>
                <w:rFonts w:eastAsia="맑은 고딕" w:hint="eastAsia"/>
                <w:lang w:val="en-US" w:eastAsia="ko-KR"/>
              </w:rPr>
              <w:t xml:space="preserve">emi-static </w:t>
            </w:r>
            <w:r>
              <w:rPr>
                <w:rFonts w:eastAsia="맑은 고딕"/>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맑은 고딕"/>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맑은 고딕"/>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맑은 고딕"/>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맑은 고딕"/>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2D34E47A" w14:textId="71DF4481" w:rsidR="00883321" w:rsidRPr="00025B8D" w:rsidRDefault="00883321" w:rsidP="00020C3F">
            <w:pPr>
              <w:rPr>
                <w:rFonts w:eastAsia="맑은 고딕"/>
                <w:lang w:val="en-US" w:eastAsia="ko-KR"/>
              </w:rPr>
            </w:pPr>
            <w:r>
              <w:rPr>
                <w:rFonts w:eastAsia="맑은 고딕" w:hint="eastAsia"/>
                <w:lang w:val="en-US" w:eastAsia="ko-KR"/>
              </w:rPr>
              <w:t>We don</w:t>
            </w:r>
            <w:r>
              <w:rPr>
                <w:rFonts w:eastAsia="맑은 고딕"/>
                <w:lang w:val="en-US" w:eastAsia="ko-KR"/>
              </w:rPr>
              <w:t xml:space="preserve">’t have a strong view to further consider the semi-static TDD-like slot format configuration, but we have a similar view with Nokia in that it is </w:t>
            </w:r>
            <w:r w:rsidRPr="00883321">
              <w:rPr>
                <w:rFonts w:eastAsia="맑은 고딕"/>
                <w:lang w:val="en-US" w:eastAsia="ko-KR"/>
              </w:rPr>
              <w:t>unnecessary restriction</w:t>
            </w:r>
            <w:r w:rsidR="00020C3F">
              <w:rPr>
                <w:rFonts w:eastAsia="맑은 고딕"/>
                <w:lang w:val="en-US" w:eastAsia="ko-KR"/>
              </w:rPr>
              <w:t>s</w:t>
            </w:r>
            <w:r w:rsidRPr="00883321">
              <w:rPr>
                <w:rFonts w:eastAsia="맑은 고딕"/>
                <w:lang w:val="en-US" w:eastAsia="ko-KR"/>
              </w:rPr>
              <w:t xml:space="preserve"> to gNB scheduling flexibility</w:t>
            </w:r>
            <w:r>
              <w:rPr>
                <w:rFonts w:eastAsia="맑은 고딕"/>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바탕"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바탕"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맑은 고딕"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lastRenderedPageBreak/>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529DE"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529DE"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529DE"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529DE"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529DE"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529DE"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529DE"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529DE"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529DE"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529DE"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529DE"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5529DE"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529DE"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529DE"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529DE"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529DE"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529DE"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529DE"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529DE"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529DE"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529DE"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529DE"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529DE"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529DE"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529DE"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529DE"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529DE"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529DE"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529DE"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20B30" w14:textId="77777777" w:rsidR="005529DE" w:rsidRDefault="005529DE" w:rsidP="00581A60">
      <w:pPr>
        <w:spacing w:after="0"/>
      </w:pPr>
      <w:r>
        <w:separator/>
      </w:r>
    </w:p>
  </w:endnote>
  <w:endnote w:type="continuationSeparator" w:id="0">
    <w:p w14:paraId="5E3C7DF2" w14:textId="77777777" w:rsidR="005529DE" w:rsidRDefault="005529DE" w:rsidP="00581A60">
      <w:pPr>
        <w:spacing w:after="0"/>
      </w:pPr>
      <w:r>
        <w:continuationSeparator/>
      </w:r>
    </w:p>
  </w:endnote>
  <w:endnote w:type="continuationNotice" w:id="1">
    <w:p w14:paraId="3227287B" w14:textId="77777777" w:rsidR="005529DE" w:rsidRDefault="005529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2ED6" w14:textId="77777777" w:rsidR="005529DE" w:rsidRDefault="005529DE" w:rsidP="00581A60">
      <w:pPr>
        <w:spacing w:after="0"/>
      </w:pPr>
      <w:r>
        <w:separator/>
      </w:r>
    </w:p>
  </w:footnote>
  <w:footnote w:type="continuationSeparator" w:id="0">
    <w:p w14:paraId="40454BD6" w14:textId="77777777" w:rsidR="005529DE" w:rsidRDefault="005529DE" w:rsidP="00581A60">
      <w:pPr>
        <w:spacing w:after="0"/>
      </w:pPr>
      <w:r>
        <w:continuationSeparator/>
      </w:r>
    </w:p>
  </w:footnote>
  <w:footnote w:type="continuationNotice" w:id="1">
    <w:p w14:paraId="3B08F1B0" w14:textId="77777777" w:rsidR="005529DE" w:rsidRDefault="005529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51D53D9-E1D3-4416-8BCD-CEDF9A04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13140</Words>
  <Characters>74899</Characters>
  <Application>Microsoft Office Word</Application>
  <DocSecurity>0</DocSecurity>
  <Lines>624</Lines>
  <Paragraphs>175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9</cp:revision>
  <dcterms:created xsi:type="dcterms:W3CDTF">2021-01-29T06:57:00Z</dcterms:created>
  <dcterms:modified xsi:type="dcterms:W3CDTF">2021-01-29T08:44:00Z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