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proofErr w:type="gramStart"/>
            <w:r>
              <w:rPr>
                <w:lang w:eastAsia="zh-CN"/>
              </w:rPr>
              <w:t>Basically</w:t>
            </w:r>
            <w:proofErr w:type="gramEnd"/>
            <w:r>
              <w:rPr>
                <w:lang w:eastAsia="zh-CN"/>
              </w:rPr>
              <w:t xml:space="preserve">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e"/>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e"/>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e"/>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f"/>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aff0"/>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f0"/>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f0"/>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46ACC08" w:rsidR="004366AE" w:rsidRPr="00E254BF" w:rsidRDefault="0042586E" w:rsidP="0008254F">
            <w:pPr>
              <w:pStyle w:val="aff0"/>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t>
            </w:r>
            <w:r>
              <w:rPr>
                <w:lang w:eastAsia="zh-CN"/>
              </w:rPr>
              <w:t>we</w:t>
            </w:r>
            <w:r>
              <w:rPr>
                <w:lang w:eastAsia="zh-CN"/>
              </w:rPr>
              <w:t xml:space="preserve"> </w:t>
            </w:r>
            <w:r>
              <w:rPr>
                <w:lang w:eastAsia="zh-CN"/>
              </w:rPr>
              <w:t>agree to</w:t>
            </w:r>
            <w:r>
              <w:rPr>
                <w:lang w:eastAsia="zh-CN"/>
              </w:rPr>
              <w:t xml:space="preserve">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e"/>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f0"/>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f0"/>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f0"/>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f0"/>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f0"/>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f0"/>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f0"/>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f0"/>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e"/>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According to the UE feature discussion in RAN1#103e meeting, it has been agreed that the Type-3 is still applicable for licensed spectrum. </w:t>
      </w:r>
      <w:proofErr w:type="gramStart"/>
      <w:r>
        <w:rPr>
          <w:rFonts w:ascii="Times New Roman" w:eastAsiaTheme="minorEastAsia" w:hAnsi="Times New Roman"/>
          <w:szCs w:val="20"/>
          <w:lang w:val="en-GB" w:eastAsia="zh-CN"/>
        </w:rPr>
        <w:t>So</w:t>
      </w:r>
      <w:proofErr w:type="gramEnd"/>
      <w:r>
        <w:rPr>
          <w:rFonts w:ascii="Times New Roman" w:eastAsiaTheme="minorEastAsia" w:hAnsi="Times New Roman"/>
          <w:szCs w:val="20"/>
          <w:lang w:val="en-GB" w:eastAsia="zh-CN"/>
        </w:rPr>
        <w:t xml:space="preserve">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728399D5" w14:textId="07878EA2" w:rsidR="006E1B85" w:rsidRDefault="006E1B85" w:rsidP="006E1B85">
      <w:pPr>
        <w:pStyle w:val="ae"/>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lastRenderedPageBreak/>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aff0"/>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aff0"/>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aff0"/>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aff0"/>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hint="eastAsia"/>
                <w:lang w:eastAsia="zh-CN"/>
              </w:rPr>
            </w:pPr>
            <w:r>
              <w:rPr>
                <w:rFonts w:eastAsiaTheme="minorEastAsia" w:hint="eastAsia"/>
                <w:lang w:eastAsia="zh-CN"/>
              </w:rPr>
              <w:t>S</w:t>
            </w:r>
            <w:r>
              <w:rPr>
                <w:rFonts w:eastAsiaTheme="minorEastAsia"/>
                <w:lang w:eastAsia="zh-CN"/>
              </w:rPr>
              <w:t>upport the proposal.</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w:t>
      </w:r>
      <w:proofErr w:type="gramStart"/>
      <w:r>
        <w:rPr>
          <w:rFonts w:ascii="Times New Roman" w:eastAsiaTheme="minorEastAsia" w:hAnsi="Times New Roman"/>
          <w:szCs w:val="20"/>
          <w:lang w:val="en-GB" w:eastAsia="zh-CN"/>
        </w:rPr>
        <w:t>prefer</w:t>
      </w:r>
      <w:proofErr w:type="gramEnd"/>
      <w:r>
        <w:rPr>
          <w:rFonts w:ascii="Times New Roman" w:eastAsiaTheme="minorEastAsia" w:hAnsi="Times New Roman"/>
          <w:szCs w:val="20"/>
          <w:lang w:val="en-GB" w:eastAsia="zh-CN"/>
        </w:rPr>
        <w:t xml:space="preserve"> to keep the corresponding flexibility. At UE side, whether UE is able to combine the </w:t>
      </w:r>
      <w:proofErr w:type="gramStart"/>
      <w:r>
        <w:rPr>
          <w:rFonts w:ascii="Times New Roman" w:eastAsiaTheme="minorEastAsia" w:hAnsi="Times New Roman"/>
          <w:szCs w:val="20"/>
          <w:lang w:val="en-GB" w:eastAsia="zh-CN"/>
        </w:rPr>
        <w:t>two consecutive</w:t>
      </w:r>
      <w:proofErr w:type="gramEnd"/>
      <w:r>
        <w:rPr>
          <w:rFonts w:ascii="Times New Roman" w:eastAsiaTheme="minorEastAsia" w:hAnsi="Times New Roman"/>
          <w:szCs w:val="20"/>
          <w:lang w:val="en-GB" w:eastAsia="zh-CN"/>
        </w:rPr>
        <w:t xml:space="preser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 xml:space="preserve">to ensure same processing timeline between two type of HARQ </w:t>
      </w:r>
      <w:r>
        <w:rPr>
          <w:lang w:eastAsia="zh-CN"/>
        </w:rPr>
        <w:lastRenderedPageBreak/>
        <w:t>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aff0"/>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200AF23A" w14:textId="77777777" w:rsidR="006E1B85" w:rsidRDefault="006E1B85"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w:t>
      </w:r>
      <w:proofErr w:type="gramStart"/>
      <w:r>
        <w:rPr>
          <w:rFonts w:ascii="Times New Roman" w:eastAsiaTheme="minorEastAsia" w:hAnsi="Times New Roman"/>
          <w:szCs w:val="20"/>
          <w:lang w:eastAsia="zh-CN"/>
        </w:rPr>
        <w:t>companies</w:t>
      </w:r>
      <w:proofErr w:type="gramEnd"/>
      <w:r>
        <w:rPr>
          <w:rFonts w:ascii="Times New Roman" w:eastAsiaTheme="minorEastAsia" w:hAnsi="Times New Roman"/>
          <w:szCs w:val="20"/>
          <w:lang w:eastAsia="zh-CN"/>
        </w:rPr>
        <w:t xml:space="preserve">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e"/>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W.r.t the SPS issue</w:t>
      </w:r>
    </w:p>
    <w:p w14:paraId="758483E7"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e"/>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f0"/>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5480C"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lastRenderedPageBreak/>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bookmarkStart w:id="5" w:name="_GoBack"/>
            <w:bookmarkEnd w:id="5"/>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lastRenderedPageBreak/>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lastRenderedPageBreak/>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lastRenderedPageBreak/>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 xml:space="preserve">Reusing one bit from other bit field to indicate 32 HARQ processes is not a clean design </w:t>
            </w:r>
            <w:r w:rsidRPr="00764EA0">
              <w:rPr>
                <w:rStyle w:val="afc"/>
                <w:rFonts w:ascii="Times New Roman" w:hAnsi="Times New Roman" w:cs="Times New Roman"/>
                <w:b w:val="0"/>
                <w:iCs/>
                <w:noProof/>
                <w:color w:val="000000" w:themeColor="text1"/>
                <w:sz w:val="20"/>
                <w:szCs w:val="20"/>
                <w:u w:val="none"/>
              </w:rPr>
              <w:lastRenderedPageBreak/>
              <w:t>approach. Such hack in the specification should in general be avoided, as it can easily cause confusion and complications in the specification.</w:t>
            </w:r>
          </w:p>
          <w:p w14:paraId="47A950ED" w14:textId="012115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7"/>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scheduling restriction applies regardless of whether the TB of the two PDSCHs is the </w:t>
            </w:r>
            <w:r w:rsidRPr="00764EA0">
              <w:rPr>
                <w:rStyle w:val="afc"/>
                <w:rFonts w:ascii="Times New Roman" w:hAnsi="Times New Roman" w:cs="Times New Roman"/>
                <w:b w:val="0"/>
                <w:noProof/>
                <w:color w:val="000000" w:themeColor="text1"/>
                <w:sz w:val="20"/>
                <w:szCs w:val="20"/>
                <w:u w:val="none"/>
              </w:rPr>
              <w:lastRenderedPageBreak/>
              <w:t>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lastRenderedPageBreak/>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lastRenderedPageBreak/>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9ABB" w14:textId="77777777" w:rsidR="00FB1374" w:rsidRDefault="00FB1374">
      <w:pPr>
        <w:spacing w:after="0"/>
      </w:pPr>
      <w:r>
        <w:separator/>
      </w:r>
    </w:p>
  </w:endnote>
  <w:endnote w:type="continuationSeparator" w:id="0">
    <w:p w14:paraId="6E9E6CDB" w14:textId="77777777" w:rsidR="00FB1374" w:rsidRDefault="00FB1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3E90A519"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1731C5">
      <w:rPr>
        <w:rStyle w:val="af9"/>
        <w:noProof/>
      </w:rPr>
      <w:t>21</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1731C5">
      <w:rPr>
        <w:rStyle w:val="af9"/>
        <w:noProof/>
      </w:rPr>
      <w:t>37</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6E93" w14:textId="77777777" w:rsidR="00FB1374" w:rsidRDefault="00FB1374">
      <w:pPr>
        <w:spacing w:after="0"/>
      </w:pPr>
      <w:r>
        <w:separator/>
      </w:r>
    </w:p>
  </w:footnote>
  <w:footnote w:type="continuationSeparator" w:id="0">
    <w:p w14:paraId="3413AC68" w14:textId="77777777" w:rsidR="00FB1374" w:rsidRDefault="00FB13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2066E5-39C4-483D-A03D-58FD2D8A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37</Pages>
  <Words>17058</Words>
  <Characters>97234</Characters>
  <Application>Microsoft Office Word</Application>
  <DocSecurity>0</DocSecurity>
  <Lines>810</Lines>
  <Paragraphs>228</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王勇-5G</cp:lastModifiedBy>
  <cp:revision>7</cp:revision>
  <cp:lastPrinted>2011-11-09T07:49:00Z</cp:lastPrinted>
  <dcterms:created xsi:type="dcterms:W3CDTF">2021-01-28T07:04:00Z</dcterms:created>
  <dcterms:modified xsi:type="dcterms:W3CDTF">2021-01-28T09:52:00Z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