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Spreadtrum</w:t>
      </w:r>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r w:rsidR="009E0F31" w:rsidRPr="00947DB3">
        <w:rPr>
          <w:rFonts w:ascii="Times New Roman" w:eastAsiaTheme="minorEastAsia" w:hAnsi="Times New Roman"/>
          <w:sz w:val="20"/>
          <w:szCs w:val="20"/>
          <w:lang w:eastAsia="zh-CN"/>
        </w:rPr>
        <w:t>InterDigital</w:t>
      </w:r>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LoS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ot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oding efforts, since UE has to monitor both fallback DCI and non fallback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r>
              <w:rPr>
                <w:rFonts w:cs="Arial"/>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lastRenderedPageBreak/>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r w:rsidR="009E0F31">
        <w:rPr>
          <w:rFonts w:ascii="Times New Roman" w:eastAsiaTheme="minorEastAsia" w:hAnsi="Times New Roman"/>
          <w:sz w:val="20"/>
          <w:szCs w:val="20"/>
          <w:lang w:eastAsia="zh-CN"/>
        </w:rPr>
        <w:t>InterDigital</w:t>
      </w:r>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r w:rsidR="009A7394">
        <w:rPr>
          <w:rFonts w:ascii="Times New Roman" w:eastAsiaTheme="minorEastAsia" w:hAnsi="Times New Roman"/>
          <w:sz w:val="20"/>
          <w:szCs w:val="20"/>
          <w:lang w:eastAsia="zh-CN"/>
        </w:rPr>
        <w:t>InterDigital</w:t>
      </w:r>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Qaulcomm</w:t>
      </w:r>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(i.e.,the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(i.e.,the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Spreadtrum</w:t>
      </w:r>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lastRenderedPageBreak/>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UE feedback actual ACK/NACK information even in case of HARQ feedback-disabled, and gNB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w:t>
            </w:r>
            <w:r w:rsidR="00AD16C9">
              <w:rPr>
                <w:lang w:eastAsia="zh-CN"/>
              </w:rPr>
              <w:lastRenderedPageBreak/>
              <w:t xml:space="preserve">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gNB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Type 1 HARQ codebook :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gNB.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signaling of C-DAI and T-DAI. We think further down-selection of signaling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w:t>
            </w:r>
            <w:r>
              <w:rPr>
                <w:lang w:eastAsia="zh-CN"/>
              </w:rPr>
              <w:lastRenderedPageBreak/>
              <w:t>UE. The benefit of enhancing the Type-3 HARQ codebook with Alt-2 is clear, i.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(Tproc,1, Tslot*k) where k is the minimum of minimum of  </w:t>
      </w:r>
      <w:r w:rsidRPr="00702E95">
        <w:rPr>
          <w:i/>
          <w:lang w:eastAsia="zh-CN"/>
        </w:rPr>
        <w:t>dl-DataToUL-ACK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w:t>
      </w:r>
      <w:r w:rsidRPr="0017743A">
        <w:rPr>
          <w:rFonts w:ascii="Times New Roman" w:hAnsi="Times New Roman"/>
          <w:sz w:val="20"/>
          <w:szCs w:val="20"/>
          <w:lang w:eastAsia="ja-JP"/>
        </w:rPr>
        <w:lastRenderedPageBreak/>
        <w:t xml:space="preserve">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UE side, same HARQ process can be reused only after the transmission of HARQ-ACK with corresponding timing, which means that at gNB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TN case, the intention of disabling of HARQ feedback is to resolve the impact of larger RTT and allow the scheduling with same HARQ process from gNB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dl-DataToUL-ACK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lastRenderedPageBreak/>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7777777" w:rsidR="002669EC" w:rsidRDefault="002669E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gNB can send grant </w:t>
      </w:r>
      <w:r w:rsidRPr="00075094">
        <w:rPr>
          <w:rFonts w:ascii="Times New Roman" w:hAnsi="Times New Roman"/>
        </w:rPr>
        <w:lastRenderedPageBreak/>
        <w:t>with NDI not toggled/toggled without waiting for decoding result of previous PUSCH transmission). FFS on the handling of RTT timers. Other solutions for enabling/disabling HARQ UL reTX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gNB does not have knowledge of exact UE-specific TA or UE specific RTT every time it schedules a PUSCH. Thus, the gNB might not be able to ensure this timing relationship. Therefore, with this restriction, it imposes the gNB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gNB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gNB implementation. Any restriction can be taken by gNB’s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1C3E3A8C"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Pr="003246DF">
              <w:t xml:space="preserve">"enabling"/"disabling"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Enabling/disabling on HARQ feedback for downlink transmission should be at least configurable per HARQ process via UE specific RRC signaling</w:t>
      </w:r>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31DC4F8D" w14:textId="25CA4A0F"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[CATT] highlights scheduling with feedback enabled HARQ process should be considered for SPS release and [Sony] prefer to allow the UE to conduct the ACK-NACK feedback even scheduled with feedback disabled HARQ process. [ZTE, CAICT] mention that the corresponding scheduling is up to gNB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UE’s and gNB’s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Above options assumes gNB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AC CE and SPS release should be up to gNB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w:t>
            </w:r>
            <w:r w:rsidR="00C92919">
              <w:rPr>
                <w:rFonts w:eastAsia="MS Mincho"/>
                <w:lang w:eastAsia="ja-JP"/>
              </w:rPr>
              <w:lastRenderedPageBreak/>
              <w:t xml:space="preserve">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AC CE and SPS release is up to gNB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lastRenderedPageBreak/>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0E4047">
            <w:pPr>
              <w:snapToGrid w:val="0"/>
              <w:ind w:left="360"/>
              <w:rPr>
                <w:lang w:eastAsia="zh-CN"/>
              </w:rPr>
            </w:pPr>
            <w:r>
              <w:rPr>
                <w:lang w:eastAsia="zh-CN"/>
              </w:rPr>
              <w:t>Supportive for Option-2 to reduce the additional spec impact and efforts. W.r.t the gNB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77777777" w:rsidR="002A6F16" w:rsidRPr="00312A26" w:rsidRDefault="002A6F16" w:rsidP="001F0C2E">
            <w:pPr>
              <w:snapToGrid w:val="0"/>
              <w:ind w:left="360"/>
              <w:rPr>
                <w:lang w:eastAsia="zh-CN"/>
              </w:rPr>
            </w:pPr>
            <w:r>
              <w:rPr>
                <w:lang w:eastAsia="zh-CN"/>
              </w:rPr>
              <w:t>We share the similar with Panasonic. W</w:t>
            </w:r>
            <w:r w:rsidRPr="00BF426D">
              <w:rPr>
                <w:lang w:eastAsia="zh-CN"/>
              </w:rPr>
              <w:t>hether to use HARQ enabled or disabled process for the transmission of MAC CE and SPS release should be up to gNB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r>
              <w:rPr>
                <w:rFonts w:cs="Arial"/>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lastRenderedPageBreak/>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I</w:t>
            </w:r>
            <w:r w:rsidRPr="002C53EF">
              <w:rPr>
                <w:rFonts w:ascii="Times New Roman" w:eastAsia="宋体" w:hAnsi="Times New Roman"/>
                <w:sz w:val="20"/>
                <w:szCs w:val="20"/>
                <w:lang w:val="en-GB" w:eastAsia="zh-CN"/>
              </w:rPr>
              <w:t>mpact</w:t>
            </w:r>
            <w:r>
              <w:rPr>
                <w:rFonts w:ascii="Times New Roman" w:eastAsia="宋体"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宋体" w:hAnsi="Times New Roman"/>
                <w:sz w:val="20"/>
                <w:szCs w:val="20"/>
                <w:lang w:val="en-GB" w:eastAsia="zh-CN"/>
              </w:rPr>
            </w:pPr>
            <w:r>
              <w:rPr>
                <w:rFonts w:ascii="Times New Roman" w:eastAsia="宋体" w:hAnsi="Times New Roman"/>
                <w:sz w:val="20"/>
                <w:szCs w:val="20"/>
                <w:lang w:val="en-GB" w:eastAsia="zh-CN"/>
              </w:rPr>
              <w:t xml:space="preserve">Signalling </w:t>
            </w:r>
            <w:r w:rsidRPr="002C53EF">
              <w:rPr>
                <w:rFonts w:ascii="Times New Roman" w:eastAsia="宋体"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bookmarkStart w:id="5" w:name="_GoBack"/>
            <w:bookmarkEnd w:id="5"/>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lastRenderedPageBreak/>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Huawei, Ligado,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r w:rsidR="009A7394" w:rsidRPr="003248A9">
        <w:rPr>
          <w:rFonts w:eastAsiaTheme="minorEastAsia"/>
          <w:lang w:eastAsia="zh-CN"/>
        </w:rPr>
        <w:t>InterDigital</w:t>
      </w:r>
      <w:r w:rsidRPr="003248A9">
        <w:rPr>
          <w:rFonts w:eastAsiaTheme="minorEastAsia"/>
          <w:lang w:eastAsia="zh-CN"/>
        </w:rPr>
        <w:t>] is proposed by [</w:t>
      </w:r>
      <w:r w:rsidR="009E0F31" w:rsidRPr="003248A9">
        <w:rPr>
          <w:rFonts w:eastAsiaTheme="minorEastAsia"/>
          <w:lang w:eastAsia="zh-CN"/>
        </w:rPr>
        <w:t>InterDigital</w:t>
      </w:r>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can be considered to improve the scheduling configuration from gNB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lastRenderedPageBreak/>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gNB’s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r>
              <w:rPr>
                <w:rFonts w:cs="Arial"/>
              </w:rPr>
              <w:t>Ligado</w:t>
            </w:r>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r>
              <w:rPr>
                <w:rFonts w:cs="Arial"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Huawei, HiSilicon</w:t>
            </w:r>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lastRenderedPageBreak/>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Proposal 2: Configure two subsets of HARQ processes for enabled HARQ processes and disabled HARQ processes respectively via RRC signaling.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The gNB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Ligado</w:t>
            </w:r>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2: It is up to gNB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gNB’s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pdsch-AggregationFactor for DL or repK for UL based on RRC configuration. Increasing value for pdsch-AggregationFactor for DL or repK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lastRenderedPageBreak/>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t>R1-2100809</w:t>
            </w:r>
          </w:p>
          <w:p w14:paraId="2CDF8C8D" w14:textId="1898BC00" w:rsidR="00F644B2" w:rsidRPr="00764EA0" w:rsidRDefault="00F644B2" w:rsidP="00764EA0">
            <w:pPr>
              <w:snapToGrid w:val="0"/>
              <w:spacing w:after="0"/>
              <w:jc w:val="center"/>
            </w:pPr>
            <w:r w:rsidRPr="00764EA0">
              <w:t>Spreadtrum</w:t>
            </w:r>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lastRenderedPageBreak/>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Up to gNB’s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lastRenderedPageBreak/>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uplink HARQ process reuse rule that “the UE is not expected to be scheduled to transmit another PUSCH for a given HARQ process until after the end of the expected transmission of the last PUSCH for that HARQ process” does not impose restriction that </w:t>
            </w:r>
            <w:r w:rsidRPr="00764EA0">
              <w:rPr>
                <w:rStyle w:val="Hyperlink"/>
                <w:rFonts w:ascii="Times New Roman" w:hAnsi="Times New Roman" w:cs="Times New Roman"/>
                <w:b w:val="0"/>
                <w:noProof/>
                <w:color w:val="000000" w:themeColor="text1"/>
                <w:sz w:val="20"/>
                <w:szCs w:val="20"/>
                <w:u w:val="none"/>
              </w:rPr>
              <w:lastRenderedPageBreak/>
              <w:t>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lastRenderedPageBreak/>
              <w:t>R1-2100986</w:t>
            </w:r>
          </w:p>
          <w:p w14:paraId="41A6120C" w14:textId="06488FDF" w:rsidR="00350BAA" w:rsidRPr="00764EA0" w:rsidRDefault="009E0F31" w:rsidP="00764EA0">
            <w:pPr>
              <w:snapToGrid w:val="0"/>
              <w:spacing w:after="0"/>
              <w:jc w:val="center"/>
            </w:pPr>
            <w:r>
              <w:t>InterDigital</w:t>
            </w:r>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 miss understanding may occur on the bit size of the Type-1 HARQ-ACK codebook between the gNB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Observation 1 :</w:t>
            </w:r>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(SC</w:t>
            </w:r>
            <w:r w:rsidRPr="00764EA0">
              <w:rPr>
                <w:rFonts w:ascii="Times New Roman" w:hAnsi="Times New Roman"/>
                <w:sz w:val="20"/>
                <w:szCs w:val="20"/>
                <w:lang w:eastAsia="ko-KR"/>
              </w:rPr>
              <w:t>{</w:t>
            </w:r>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Observation 2 :</w:t>
            </w:r>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Observation 3 :</w:t>
            </w:r>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Observation 4 :</w:t>
            </w:r>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Observation 5 :</w:t>
            </w:r>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Observation 6 :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Observation 7 :</w:t>
            </w:r>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Observation 8 :</w:t>
            </w:r>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Observation 9 :</w:t>
            </w:r>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10 :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11 : NR gNB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Observation 12 : NR gNB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Observation 14 : If all the HARQ feedback are disabled, gNB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Observation 16 :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Proposal 1 :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Proposal 2 :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Proposal 3 :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request for guiding pdsch-AggregationFactor</w:t>
            </w:r>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gNB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lastRenderedPageBreak/>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gNB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lastRenderedPageBreak/>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lastRenderedPageBreak/>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lastRenderedPageBreak/>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 xml:space="preserve">X=max(Tproc,1, Tslot*k)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dl-DataToUL-ACK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lastRenderedPageBreak/>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CD91" w14:textId="77777777" w:rsidR="001C37B1" w:rsidRDefault="001C37B1">
      <w:pPr>
        <w:spacing w:after="0"/>
      </w:pPr>
      <w:r>
        <w:separator/>
      </w:r>
    </w:p>
  </w:endnote>
  <w:endnote w:type="continuationSeparator" w:id="0">
    <w:p w14:paraId="6C4BFA74" w14:textId="77777777" w:rsidR="001C37B1" w:rsidRDefault="001C37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FBE8" w14:textId="77777777" w:rsidR="001F0C2E" w:rsidRDefault="001F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1F0C2E" w:rsidRDefault="001F0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5773" w14:textId="77777777" w:rsidR="001F0C2E" w:rsidRDefault="001F0C2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B3A7D" w14:textId="77777777" w:rsidR="001C37B1" w:rsidRDefault="001C37B1">
      <w:pPr>
        <w:spacing w:after="0"/>
      </w:pPr>
      <w:r>
        <w:separator/>
      </w:r>
    </w:p>
  </w:footnote>
  <w:footnote w:type="continuationSeparator" w:id="0">
    <w:p w14:paraId="30F733FF" w14:textId="77777777" w:rsidR="001C37B1" w:rsidRDefault="001C37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3"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78BA5999-A1A8-DB46-B9B6-2B2FD33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宋体"/>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宋体"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宋体"/>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宋体"/>
      <w:lang w:val="en-GB" w:eastAsia="en-US"/>
    </w:rPr>
  </w:style>
  <w:style w:type="paragraph" w:customStyle="1" w:styleId="2">
    <w:name w:val="正文2"/>
    <w:rsid w:val="002B33B9"/>
    <w:pPr>
      <w:spacing w:before="100" w:beforeAutospacing="1" w:after="180"/>
    </w:pPr>
    <w:rPr>
      <w:rFonts w:eastAsia="宋体"/>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62A50BA-873A-4CE1-9BDF-77CBACBB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27</Pages>
  <Words>12873</Words>
  <Characters>73378</Characters>
  <Application>Microsoft Office Word</Application>
  <DocSecurity>0</DocSecurity>
  <Lines>611</Lines>
  <Paragraphs>172</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Liu, Min</cp:lastModifiedBy>
  <cp:revision>3</cp:revision>
  <cp:lastPrinted>2011-11-09T07:49:00Z</cp:lastPrinted>
  <dcterms:created xsi:type="dcterms:W3CDTF">2021-01-27T02:02:00Z</dcterms:created>
  <dcterms:modified xsi:type="dcterms:W3CDTF">2021-01-27T02:06:00Z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