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F6795">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F6795">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F6795">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F6795">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F6795">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F6795">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F6795">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F6795">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F6795">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F6795">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F6795">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F6795">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F6795">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F6795">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F6795">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F6795">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F6795">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F6795">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F6795">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F6795">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F6795">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F6795">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F6795">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F6795">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F6795">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F6795">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F6795">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F6795">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F6795">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F6795">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F6795">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F6795">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F6795">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F6795">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F6795">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F6795">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F6795">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F6795">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F6795">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F679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F679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F679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F6795"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F6795"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pt;height:18.25pt;mso-width-percent:0;mso-height-percent:0;mso-width-percent:0;mso-height-percent:0" o:ole="">
                  <v:imagedata r:id="rId13" o:title=""/>
                </v:shape>
                <o:OLEObject Type="Embed" ProgID="Equation.3" ShapeID="_x0000_i1025" DrawAspect="Content" ObjectID="_1673199572"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SimSun"/>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05pt;height:17.2pt;mso-width-percent:0;mso-height-percent:0;mso-width-percent:0;mso-height-percent:0" o:ole="">
                  <v:imagedata r:id="rId15" o:title=""/>
                </v:shape>
                <o:OLEObject Type="Embed" ProgID="Equation.3" ShapeID="_x0000_i1026" DrawAspect="Content" ObjectID="_1673199573"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F6795"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6"/>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B22F3D">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B22F3D">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B22F3D">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B22F3D">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B22F3D">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lastRenderedPageBreak/>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lastRenderedPageBreak/>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lastRenderedPageBreak/>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6"/>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B22F3D">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B22F3D">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B22F3D">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B22F3D">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B22F3D">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lastRenderedPageBreak/>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lastRenderedPageBreak/>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F6795"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lastRenderedPageBreak/>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851927">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851927">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851927">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851927">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851927">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lastRenderedPageBreak/>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6E241A">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6E241A">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6E241A">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6E241A">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6E241A">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lastRenderedPageBreak/>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lastRenderedPageBreak/>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6E241A">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6E241A">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6E241A">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6E241A">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6E241A">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af6"/>
              <w:ind w:left="420"/>
              <w:rPr>
                <w:rFonts w:eastAsia="SimSun"/>
              </w:rPr>
            </w:pPr>
            <w:r w:rsidRPr="00943F9F">
              <w:rPr>
                <w:rFonts w:eastAsia="SimSun"/>
                <w:noProof/>
                <w:position w:val="-36"/>
              </w:rPr>
              <w:object w:dxaOrig="8585" w:dyaOrig="842" w14:anchorId="131C632E">
                <v:shape id="_x0000_i1027" type="#_x0000_t75" alt="" style="width:359.45pt;height:34.95pt;mso-width-percent:0;mso-height-percent:0;mso-width-percent:0;mso-height-percent:0" o:ole="">
                  <v:imagedata r:id="rId17" o:title=""/>
                </v:shape>
                <o:OLEObject Type="Embed" ProgID="Equation.3" ShapeID="_x0000_i1027" DrawAspect="Content" ObjectID="_1673199574" r:id="rId18"/>
              </w:object>
            </w:r>
          </w:p>
          <w:p w14:paraId="3F8668AE" w14:textId="77777777" w:rsidR="00091473" w:rsidRPr="00943F9F" w:rsidRDefault="00091473" w:rsidP="00DD2D6A">
            <w:pPr>
              <w:pStyle w:val="af6"/>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8" type="#_x0000_t75" alt="" style="width:36.55pt;height:18.8pt;mso-width-percent:0;mso-height-percent:0;mso-width-percent:0;mso-height-percent:0" o:ole="">
                  <v:imagedata r:id="rId19" o:title=""/>
                </v:shape>
                <o:OLEObject Type="Embed" ProgID="Equation.3" ShapeID="_x0000_i1028" DrawAspect="Content" ObjectID="_1673199575"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BF6795" w:rsidP="00DD2D6A">
            <w:pPr>
              <w:pStyle w:val="af6"/>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9" type="#_x0000_t75" alt="" style="width:96.7pt;height:17.75pt;mso-width-percent:0;mso-height-percent:0;mso-width-percent:0;mso-height-percent:0" o:ole="">
                  <v:imagedata r:id="rId21" o:title=""/>
                </v:shape>
                <o:OLEObject Type="Embed" ProgID="Equation.3" ShapeID="_x0000_i1029" DrawAspect="Content" ObjectID="_1673199576"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008EE5E1">
                <v:shape id="_x0000_i1030" type="#_x0000_t75" alt="" style="width:75.2pt;height:15.6pt;mso-width-percent:0;mso-height-percent:0;mso-width-percent:0;mso-height-percent:0" o:ole="">
                  <v:imagedata r:id="rId23" o:title=""/>
                </v:shape>
                <o:OLEObject Type="Embed" ProgID="Equation.3" ShapeID="_x0000_i1030" DrawAspect="Content" ObjectID="_1673199577" r:id="rId24"/>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F6795"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F6795"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517EB662">
                        <v:shape id="_x0000_i1031" type="#_x0000_t75" alt="" style="width:11.8pt;height:18.8pt;mso-width-percent:0;mso-height-percent:0;mso-width-percent:0;mso-height-percent:0" o:ole="">
                          <v:imagedata r:id="rId25" o:title=""/>
                        </v:shape>
                        <o:OLEObject Type="Embed" ProgID="Equation.3" ShapeID="_x0000_i1031" DrawAspect="Content" ObjectID="_1673199578"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F6795"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BF6795"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lastRenderedPageBreak/>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lastRenderedPageBreak/>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lastRenderedPageBreak/>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146A93">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146A93">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146A93">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146A93">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146A93">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F6795"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6F99341A">
                <v:shape id="_x0000_i1032" type="#_x0000_t75" alt="" style="width:14.5pt;height:14.5pt;mso-width-percent:0;mso-height-percent:0;mso-width-percent:0;mso-height-percent:0" o:ole="">
                  <v:imagedata r:id="rId27" o:title=""/>
                </v:shape>
                <o:OLEObject Type="Embed" ProgID="Equation.3" ShapeID="_x0000_i1032" DrawAspect="Content" ObjectID="_1673199579"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w:lastRenderedPageBreak/>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F6795"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6E241A">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6E241A">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6E241A">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6E241A">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BF6795"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F6795"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BF6795"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BF6795"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lastRenderedPageBreak/>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146A93">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146A93">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146A93">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146A93">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lastRenderedPageBreak/>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146A93">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146A93">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146A93">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146A93">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lastRenderedPageBreak/>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30"/>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lastRenderedPageBreak/>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gNB applies frequency pre-compensation in DL, the gNB should broadcast a parameter giving the amount of pre-compensation. This parameter should indicate the TX frequency offset at the satellite transmitter relative to the nominal DL TX frequency of the </w:t>
            </w:r>
            <w:r w:rsidRPr="00D01CC2">
              <w:rPr>
                <w:lang w:val="en-US"/>
              </w:rPr>
              <w:lastRenderedPageBreak/>
              <w:t>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30"/>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9E75DD">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9E75DD">
        <w:tc>
          <w:tcPr>
            <w:tcW w:w="932" w:type="pct"/>
          </w:tcPr>
          <w:p w14:paraId="1FE1A56E" w14:textId="15D870D3" w:rsidR="009F0A9D" w:rsidRDefault="006B7314" w:rsidP="009E75DD">
            <w:pPr>
              <w:rPr>
                <w:rFonts w:eastAsiaTheme="minorEastAsia"/>
                <w:lang w:eastAsia="zh-CN"/>
              </w:rPr>
            </w:pPr>
            <w:r>
              <w:rPr>
                <w:rFonts w:eastAsiaTheme="minorEastAsia"/>
                <w:lang w:eastAsia="zh-CN"/>
              </w:rPr>
              <w:lastRenderedPageBreak/>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9E75DD">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9E75DD">
        <w:tc>
          <w:tcPr>
            <w:tcW w:w="932" w:type="pct"/>
          </w:tcPr>
          <w:p w14:paraId="73034955" w14:textId="3BCF2897" w:rsidR="003E2057" w:rsidRDefault="003E2057" w:rsidP="003E2057">
            <w:pPr>
              <w:rPr>
                <w:rFonts w:eastAsiaTheme="minorEastAsia" w:hint="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hint="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lastRenderedPageBreak/>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lastRenderedPageBreak/>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30"/>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lastRenderedPageBreak/>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6E241A">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6E241A">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6E241A">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6E241A">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6E241A">
        <w:tc>
          <w:tcPr>
            <w:tcW w:w="932" w:type="pct"/>
          </w:tcPr>
          <w:p w14:paraId="1931ECF0" w14:textId="35F98586" w:rsidR="003E2057" w:rsidRDefault="003E2057" w:rsidP="003E2057">
            <w:pPr>
              <w:rPr>
                <w:rFonts w:eastAsiaTheme="minorEastAsia"/>
                <w:lang w:eastAsia="zh-CN"/>
              </w:rPr>
            </w:pPr>
            <w:bookmarkStart w:id="28" w:name="_GoBack" w:colFirst="0" w:colLast="0"/>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bookmarkEnd w:id="28"/>
    </w:tbl>
    <w:p w14:paraId="5FFDA580" w14:textId="77777777" w:rsidR="003B6B17" w:rsidRPr="003B6B17" w:rsidRDefault="003B6B17" w:rsidP="0098100B"/>
    <w:p w14:paraId="20C30D59" w14:textId="77777777" w:rsidR="007F1B4A" w:rsidRDefault="007F1B4A" w:rsidP="00DE5015">
      <w:pPr>
        <w:pStyle w:val="1"/>
      </w:pPr>
      <w:bookmarkStart w:id="29" w:name="_Toc62466238"/>
      <w:r w:rsidRPr="00902581">
        <w:t>Issue#</w:t>
      </w:r>
      <w:r w:rsidR="00DE5015">
        <w:t>4</w:t>
      </w:r>
      <w:r w:rsidRPr="00902581">
        <w:t xml:space="preserve">: </w:t>
      </w:r>
      <w:r>
        <w:t>Close control loop for UL frequency alignment</w:t>
      </w:r>
      <w:bookmarkEnd w:id="2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0" w:name="_Toc62466239"/>
      <w:r w:rsidRPr="00902581">
        <w:t>Companies views</w:t>
      </w:r>
      <w:bookmarkEnd w:id="3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44565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44565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lastRenderedPageBreak/>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44565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44565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445655">
        <w:tc>
          <w:tcPr>
            <w:tcW w:w="1011" w:type="pct"/>
          </w:tcPr>
          <w:p w14:paraId="00ED0F58" w14:textId="77777777" w:rsidR="00445655" w:rsidRPr="00A342C5" w:rsidRDefault="00445655" w:rsidP="006E241A">
            <w:pPr>
              <w:rPr>
                <w:rFonts w:eastAsiaTheme="minorEastAsia"/>
                <w:bCs/>
                <w:lang w:eastAsia="zh-CN"/>
              </w:rPr>
            </w:pPr>
            <w:bookmarkStart w:id="3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44565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44565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lastRenderedPageBreak/>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lastRenderedPageBreak/>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2" w:name="_Toc62466241"/>
      <w:r w:rsidRPr="00902581">
        <w:t>Companies views</w:t>
      </w:r>
      <w:bookmarkEnd w:id="3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E44F88">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E44F88">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E44F88">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lastRenderedPageBreak/>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6E241A">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6E241A">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6E241A">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3" w:name="_Toc62466242"/>
      <w:r>
        <w:t>Issue#6</w:t>
      </w:r>
      <w:r w:rsidR="00CF499D" w:rsidRPr="00902581">
        <w:t xml:space="preserve">: </w:t>
      </w:r>
      <w:r w:rsidR="004E2835" w:rsidRPr="00902581">
        <w:t>Serving satellite ephemeris format</w:t>
      </w:r>
      <w:bookmarkEnd w:id="3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w:t>
            </w:r>
            <w:r>
              <w:lastRenderedPageBreak/>
              <w:t>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lastRenderedPageBreak/>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4" w:name="_Toc62466243"/>
      <w:r w:rsidRPr="00902581">
        <w:t>Company views</w:t>
      </w:r>
      <w:bookmarkEnd w:id="3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w:t>
            </w:r>
            <w:r>
              <w:rPr>
                <w:rFonts w:eastAsia="PMingLiU"/>
                <w:sz w:val="20"/>
                <w:lang w:val="en-GB"/>
              </w:rPr>
              <w:lastRenderedPageBreak/>
              <w:t>[Huawei,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lastRenderedPageBreak/>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6E241A">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 xml:space="preserve">It’s not clear how to define such capability. As normal behaviour, once the specification with agreement to indicate certain information (e.g., orbit information) is agreed to for TA calculation, the UE should be able to conduct corresponding pre-compensation. The </w:t>
            </w:r>
            <w:r>
              <w:rPr>
                <w:rFonts w:eastAsiaTheme="minorEastAsia"/>
                <w:lang w:eastAsia="zh-CN"/>
              </w:rPr>
              <w:lastRenderedPageBreak/>
              <w:t>“prediction” capability mainly is related to updates of this information, e.g., periodicity or UE triggered. It can be discussed later.</w:t>
            </w:r>
          </w:p>
        </w:tc>
      </w:tr>
      <w:tr w:rsidR="00EB520A" w:rsidRPr="002A44A0" w14:paraId="2F287FE3" w14:textId="77777777" w:rsidTr="006E241A">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lastRenderedPageBreak/>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6E241A">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6E241A">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6E241A">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6E241A">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6E241A">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lastRenderedPageBreak/>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5" w:name="_Ref55135364"/>
      <w:bookmarkStart w:id="36"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37" w:name="_Toc62466245"/>
      <w:r w:rsidRPr="00902581">
        <w:t>Company views</w:t>
      </w:r>
      <w:bookmarkEnd w:id="37"/>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1F176D">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1F176D">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1F176D">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1F176D">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38" w:name="_Ref54965867"/>
      <w:bookmarkStart w:id="39" w:name="_Toc62466246"/>
      <w:r>
        <w:lastRenderedPageBreak/>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8"/>
      <w:bookmarkEnd w:id="39"/>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lastRenderedPageBreak/>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0" w:name="_Toc62466247"/>
      <w:r w:rsidRPr="00902581">
        <w:t>Company views</w:t>
      </w:r>
      <w:bookmarkEnd w:id="40"/>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6E241A">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1" w:name="_Toc62466248"/>
      <w:r w:rsidRPr="00F75096">
        <w:t>Issue#</w:t>
      </w:r>
      <w:r w:rsidR="00614166">
        <w:t>9</w:t>
      </w:r>
      <w:r w:rsidRPr="00F75096">
        <w:t>: UE centric precompensation</w:t>
      </w:r>
      <w:bookmarkEnd w:id="41"/>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2" w:name="_Toc62466249"/>
      <w:r w:rsidRPr="00902581">
        <w:t>Company views</w:t>
      </w:r>
      <w:bookmarkEnd w:id="42"/>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w:t>
            </w:r>
            <w:r w:rsidRPr="004A02C9">
              <w:rPr>
                <w:rFonts w:eastAsiaTheme="minorEastAsia"/>
                <w:lang w:eastAsia="zh-CN"/>
              </w:rPr>
              <w:lastRenderedPageBreak/>
              <w:t>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6E241A">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6E241A">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6E241A">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6E241A">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3" w:name="_Toc62466250"/>
      <w:r>
        <w:rPr>
          <w:rFonts w:ascii="Times New Roman" w:hAnsi="Times New Roman"/>
        </w:rPr>
        <w:t>Conclusion</w:t>
      </w:r>
      <w:bookmarkEnd w:id="43"/>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4"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4"/>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lastRenderedPageBreak/>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03E53" w14:textId="77777777" w:rsidR="00BF6795" w:rsidRDefault="00BF6795">
      <w:r>
        <w:separator/>
      </w:r>
    </w:p>
  </w:endnote>
  <w:endnote w:type="continuationSeparator" w:id="0">
    <w:p w14:paraId="407F6BF7" w14:textId="77777777" w:rsidR="00BF6795" w:rsidRDefault="00BF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77777777" w:rsidR="006E241A" w:rsidRDefault="006E241A"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3E2057">
      <w:rPr>
        <w:rStyle w:val="afb"/>
      </w:rPr>
      <w:t>27</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3E2057">
      <w:rPr>
        <w:rStyle w:val="afb"/>
      </w:rPr>
      <w:t>44</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6EE50" w14:textId="77777777" w:rsidR="00BF6795" w:rsidRDefault="00BF6795">
      <w:r>
        <w:separator/>
      </w:r>
    </w:p>
  </w:footnote>
  <w:footnote w:type="continuationSeparator" w:id="0">
    <w:p w14:paraId="0D492DBC" w14:textId="77777777" w:rsidR="00BF6795" w:rsidRDefault="00BF6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6E241A" w:rsidRDefault="006E24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0"/>
  </w:num>
  <w:num w:numId="4">
    <w:abstractNumId w:val="0"/>
  </w:num>
  <w:num w:numId="5">
    <w:abstractNumId w:val="24"/>
  </w:num>
  <w:num w:numId="6">
    <w:abstractNumId w:val="25"/>
  </w:num>
  <w:num w:numId="7">
    <w:abstractNumId w:val="10"/>
  </w:num>
  <w:num w:numId="8">
    <w:abstractNumId w:val="15"/>
  </w:num>
  <w:num w:numId="9">
    <w:abstractNumId w:val="9"/>
  </w:num>
  <w:num w:numId="10">
    <w:abstractNumId w:val="16"/>
  </w:num>
  <w:num w:numId="11">
    <w:abstractNumId w:val="3"/>
  </w:num>
  <w:num w:numId="12">
    <w:abstractNumId w:val="12"/>
  </w:num>
  <w:num w:numId="13">
    <w:abstractNumId w:val="13"/>
  </w:num>
  <w:num w:numId="14">
    <w:abstractNumId w:val="31"/>
  </w:num>
  <w:num w:numId="15">
    <w:abstractNumId w:val="28"/>
  </w:num>
  <w:num w:numId="16">
    <w:abstractNumId w:val="5"/>
  </w:num>
  <w:num w:numId="17">
    <w:abstractNumId w:val="19"/>
  </w:num>
  <w:num w:numId="18">
    <w:abstractNumId w:val="32"/>
  </w:num>
  <w:num w:numId="19">
    <w:abstractNumId w:val="17"/>
  </w:num>
  <w:num w:numId="20">
    <w:abstractNumId w:val="17"/>
  </w:num>
  <w:num w:numId="21">
    <w:abstractNumId w:val="27"/>
  </w:num>
  <w:num w:numId="22">
    <w:abstractNumId w:val="21"/>
  </w:num>
  <w:num w:numId="23">
    <w:abstractNumId w:val="2"/>
  </w:num>
  <w:num w:numId="24">
    <w:abstractNumId w:val="1"/>
  </w:num>
  <w:num w:numId="25">
    <w:abstractNumId w:val="23"/>
  </w:num>
  <w:num w:numId="26">
    <w:abstractNumId w:val="33"/>
  </w:num>
  <w:num w:numId="27">
    <w:abstractNumId w:val="8"/>
  </w:num>
  <w:num w:numId="28">
    <w:abstractNumId w:val="30"/>
  </w:num>
  <w:num w:numId="29">
    <w:abstractNumId w:val="26"/>
  </w:num>
  <w:num w:numId="30">
    <w:abstractNumId w:val="29"/>
  </w:num>
  <w:num w:numId="31">
    <w:abstractNumId w:val="18"/>
  </w:num>
  <w:num w:numId="32">
    <w:abstractNumId w:val="7"/>
  </w:num>
  <w:num w:numId="33">
    <w:abstractNumId w:val="22"/>
  </w:num>
  <w:num w:numId="34">
    <w:abstractNumId w:val="11"/>
  </w:num>
  <w:num w:numId="35">
    <w:abstractNumId w:val="6"/>
  </w:num>
  <w:num w:numId="3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D6A312B5-E105-4F53-A216-55321169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44</Pages>
  <Words>17863</Words>
  <Characters>101823</Characters>
  <Application>Microsoft Office Word</Application>
  <DocSecurity>0</DocSecurity>
  <Lines>848</Lines>
  <Paragraphs>238</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119448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Hao2</cp:lastModifiedBy>
  <cp:revision>7</cp:revision>
  <cp:lastPrinted>2017-11-03T16:53:00Z</cp:lastPrinted>
  <dcterms:created xsi:type="dcterms:W3CDTF">2021-01-26T18:02:00Z</dcterms:created>
  <dcterms:modified xsi:type="dcterms:W3CDTF">2021-01-26T19:51:00Z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