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6E241A">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6E241A">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6E241A">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6E241A">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6E241A">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6E241A">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6E241A">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6E241A">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6E241A">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6E241A">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6E241A">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6E241A">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6E241A">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6E241A">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6E241A">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6E241A">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6E241A">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6E241A">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6E241A">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6E241A">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6E241A">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6E241A">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6E241A">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6E241A">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6E241A">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6E241A">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6E241A">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6E241A">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6E241A">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6E241A">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6E241A">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6E241A">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6E241A">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6E241A">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6E241A">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6E241A">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6E241A">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6E241A">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6E241A">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w:t>
      </w:r>
      <w:proofErr w:type="gramStart"/>
      <w:r>
        <w:t>network, and</w:t>
      </w:r>
      <w:proofErr w:type="gramEnd"/>
      <w:r>
        <w:t xml:space="preserve">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6E241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6E241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6E241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w:t>
      </w:r>
      <w:proofErr w:type="gramStart"/>
      <w:r>
        <w:rPr>
          <w:lang w:val="en-US"/>
        </w:rPr>
        <w:t>value</w:t>
      </w:r>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w:t>
            </w:r>
            <w:proofErr w:type="gramStart"/>
            <w:r w:rsidRPr="006F3B3C">
              <w:rPr>
                <w:lang w:eastAsia="ja-JP"/>
              </w:rPr>
              <w:t>i.e.</w:t>
            </w:r>
            <w:proofErr w:type="gramEnd"/>
            <w:r w:rsidRPr="006F3B3C">
              <w:rPr>
                <w:lang w:eastAsia="ja-JP"/>
              </w:rPr>
              <w:t xml:space="preserv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6E241A"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6E241A"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SimSun"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60.45pt;height:18.1pt;mso-width-percent:0;mso-height-percent:0;mso-width-percent:0;mso-height-percent:0" o:ole="">
                  <v:imagedata r:id="rId13" o:title=""/>
                </v:shape>
                <o:OLEObject Type="Embed" ProgID="Equation.3" ShapeID="_x0000_i1032" DrawAspect="Content" ObjectID="_1673166447"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 xml:space="preserve">Proposal 1: CTA granularity is based on a multiple of 16 samples interval, </w:t>
            </w:r>
            <w:proofErr w:type="gramStart"/>
            <w:r w:rsidRPr="00686073">
              <w:rPr>
                <w:rFonts w:eastAsia="SimSun"/>
                <w:lang w:eastAsia="zh-CN"/>
              </w:rPr>
              <w:t>e.g.</w:t>
            </w:r>
            <w:proofErr w:type="gramEnd"/>
            <w:r w:rsidRPr="00686073">
              <w:rPr>
                <w:rFonts w:eastAsia="SimSun"/>
                <w:lang w:eastAsia="zh-CN"/>
              </w:rPr>
              <w:t xml:space="preserve"> N*</w:t>
            </w:r>
            <w:r w:rsidR="00FE0799" w:rsidRPr="00686073">
              <w:rPr>
                <w:noProof/>
                <w:position w:val="-10"/>
              </w:rPr>
              <w:object w:dxaOrig="1160" w:dyaOrig="340" w14:anchorId="4B177478">
                <v:shape id="_x0000_i1031" type="#_x0000_t75" alt="" style="width:57.75pt;height:17.35pt;mso-width-percent:0;mso-height-percent:0;mso-width-percent:0;mso-height-percent:0" o:ole="">
                  <v:imagedata r:id="rId15" o:title=""/>
                </v:shape>
                <o:OLEObject Type="Embed" ProgID="Equation.3" ShapeID="_x0000_i1031" DrawAspect="Content" ObjectID="_1673166448"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6E241A"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DD2D6A">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DD2D6A">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DD2D6A">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E44F88">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E44F88">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B22F3D">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B22F3D">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B22F3D">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B22F3D">
        <w:tc>
          <w:tcPr>
            <w:tcW w:w="932" w:type="pct"/>
          </w:tcPr>
          <w:p w14:paraId="5E90779B" w14:textId="3E56CC0E" w:rsidR="005C4CBE" w:rsidRDefault="005C4CBE" w:rsidP="005C4CBE">
            <w:pPr>
              <w:rPr>
                <w:rFonts w:eastAsiaTheme="minorEastAsia" w:hint="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w:t>
            </w:r>
            <w:proofErr w:type="spellStart"/>
            <w:r>
              <w:t>gNB</w:t>
            </w:r>
            <w:proofErr w:type="spellEnd"/>
            <w:r>
              <w:t>.</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w:t>
            </w:r>
            <w:proofErr w:type="spellStart"/>
            <w:r>
              <w:t>gNB</w:t>
            </w:r>
            <w:proofErr w:type="spellEnd"/>
            <w:r>
              <w:t xml:space="preserve"> for determining the starting of RAR window. </w:t>
            </w:r>
          </w:p>
          <w:p w14:paraId="674959DC" w14:textId="65885F74" w:rsidR="005C4CBE" w:rsidRDefault="005C4CBE" w:rsidP="005C4CBE">
            <w:pPr>
              <w:pStyle w:val="ListParagraph"/>
              <w:numPr>
                <w:ilvl w:val="1"/>
                <w:numId w:val="35"/>
              </w:numPr>
              <w:rPr>
                <w:rFonts w:eastAsiaTheme="minorEastAsia" w:hint="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lastRenderedPageBreak/>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lastRenderedPageBreak/>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CF2DF8">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102E9B">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102E9B">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E44F88">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E44F88">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B22F3D">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B22F3D">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B22F3D">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B22F3D">
        <w:tc>
          <w:tcPr>
            <w:tcW w:w="932" w:type="pct"/>
          </w:tcPr>
          <w:p w14:paraId="51C4C334" w14:textId="427498E0" w:rsidR="005C4CBE" w:rsidRDefault="005C4CBE" w:rsidP="005C4CBE">
            <w:pPr>
              <w:rPr>
                <w:rFonts w:eastAsiaTheme="minorEastAsia" w:hint="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lastRenderedPageBreak/>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 xml:space="preserve">CEWiT, IITH, IITM, Tejas </w:t>
            </w:r>
            <w:r w:rsidRPr="00AD024F">
              <w:lastRenderedPageBreak/>
              <w:t>Networks, Reliance Jio</w:t>
            </w:r>
          </w:p>
        </w:tc>
        <w:tc>
          <w:tcPr>
            <w:tcW w:w="4068" w:type="pct"/>
          </w:tcPr>
          <w:p w14:paraId="2532CEB9" w14:textId="77777777" w:rsidR="00AD024F" w:rsidRDefault="004065A6" w:rsidP="00DD2D6A">
            <w:r w:rsidRPr="004065A6">
              <w:lastRenderedPageBreak/>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lastRenderedPageBreak/>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6E241A"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6D727F">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6D727F">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6D727F">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E44F88">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E44F88">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851927">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851927">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851927">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lastRenderedPageBreak/>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851927">
        <w:tc>
          <w:tcPr>
            <w:tcW w:w="932" w:type="pct"/>
          </w:tcPr>
          <w:p w14:paraId="49DA38A2" w14:textId="18638449" w:rsidR="006E241A" w:rsidRDefault="006E241A" w:rsidP="009D6610">
            <w:pPr>
              <w:rPr>
                <w:rFonts w:eastAsiaTheme="minorEastAsia" w:hint="eastAsia"/>
                <w:bCs/>
                <w:lang w:eastAsia="zh-CN"/>
              </w:rPr>
            </w:pPr>
            <w:r>
              <w:rPr>
                <w:rFonts w:eastAsiaTheme="minorEastAsia"/>
                <w:bCs/>
                <w:lang w:eastAsia="zh-CN"/>
              </w:rPr>
              <w:lastRenderedPageBreak/>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lastRenderedPageBreak/>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FA5861">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102E9B">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102E9B">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E44F88">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E44F88">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6E241A">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6E241A">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6E241A">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xml:space="preserve">. </w:t>
            </w:r>
            <w:r>
              <w:rPr>
                <w:rFonts w:eastAsiaTheme="minorEastAsia"/>
                <w:iCs/>
                <w:lang w:eastAsia="zh-CN"/>
              </w:rPr>
              <w:lastRenderedPageBreak/>
              <w:t>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proofErr w:type="gramStart"/>
            <w:r>
              <w:rPr>
                <w:rFonts w:eastAsiaTheme="minorEastAsia" w:hint="eastAsia"/>
                <w:iCs/>
                <w:lang w:eastAsia="zh-CN"/>
              </w:rPr>
              <w:t>S</w:t>
            </w:r>
            <w:r>
              <w:rPr>
                <w:rFonts w:eastAsiaTheme="minorEastAsia"/>
                <w:iCs/>
                <w:lang w:eastAsia="zh-CN"/>
              </w:rPr>
              <w:t>o</w:t>
            </w:r>
            <w:proofErr w:type="gramEnd"/>
            <w:r>
              <w:rPr>
                <w:rFonts w:eastAsiaTheme="minorEastAsia"/>
                <w:iCs/>
                <w:lang w:eastAsia="zh-CN"/>
              </w:rPr>
              <w:t xml:space="preserve">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6E241A">
        <w:tc>
          <w:tcPr>
            <w:tcW w:w="932" w:type="pct"/>
          </w:tcPr>
          <w:p w14:paraId="7DB17C2B" w14:textId="62A703FD" w:rsidR="006E241A" w:rsidRDefault="006E241A" w:rsidP="00594956">
            <w:pPr>
              <w:rPr>
                <w:rFonts w:eastAsiaTheme="minorEastAsia" w:hint="eastAsia"/>
                <w:bCs/>
                <w:lang w:eastAsia="zh-CN"/>
              </w:rPr>
            </w:pPr>
            <w:r>
              <w:rPr>
                <w:rFonts w:eastAsiaTheme="minorEastAsia"/>
                <w:bCs/>
                <w:lang w:eastAsia="zh-CN"/>
              </w:rPr>
              <w:lastRenderedPageBreak/>
              <w:t>Apple</w:t>
            </w:r>
          </w:p>
        </w:tc>
        <w:tc>
          <w:tcPr>
            <w:tcW w:w="4068" w:type="pct"/>
          </w:tcPr>
          <w:p w14:paraId="1CF58997" w14:textId="63B81EF3" w:rsidR="006E241A" w:rsidRPr="006E241A" w:rsidRDefault="006E241A" w:rsidP="006E241A">
            <w:pPr>
              <w:rPr>
                <w:rFonts w:eastAsiaTheme="minorEastAsia" w:hint="eastAsia"/>
                <w:bCs/>
                <w:lang w:eastAsia="zh-CN"/>
              </w:rPr>
            </w:pPr>
            <w:r w:rsidRPr="006E241A">
              <w:rPr>
                <w:rFonts w:eastAsiaTheme="minorEastAsia"/>
                <w:bCs/>
                <w:lang w:eastAsia="zh-CN"/>
              </w:rPr>
              <w:t>Agree</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lastRenderedPageBreak/>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743F8E">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743F8E">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743F8E">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E44F88">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E44F88">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6E241A">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6E241A">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6E241A">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6E241A">
        <w:tc>
          <w:tcPr>
            <w:tcW w:w="932" w:type="pct"/>
          </w:tcPr>
          <w:p w14:paraId="2B4C94D4" w14:textId="2348E107" w:rsidR="006E241A" w:rsidRDefault="006E241A" w:rsidP="006E241A">
            <w:pPr>
              <w:rPr>
                <w:rFonts w:eastAsiaTheme="minorEastAsia" w:hint="eastAsia"/>
                <w:bCs/>
                <w:lang w:eastAsia="zh-CN"/>
              </w:rPr>
            </w:pPr>
            <w:r>
              <w:rPr>
                <w:bCs/>
              </w:rPr>
              <w:t>Apple</w:t>
            </w:r>
          </w:p>
        </w:tc>
        <w:tc>
          <w:tcPr>
            <w:tcW w:w="4068" w:type="pct"/>
          </w:tcPr>
          <w:p w14:paraId="33F64ABB" w14:textId="7842F649" w:rsidR="006E241A" w:rsidRDefault="006E241A" w:rsidP="006E241A">
            <w:pPr>
              <w:rPr>
                <w:rFonts w:eastAsiaTheme="minorEastAsia" w:hint="eastAsia"/>
                <w:lang w:eastAsia="zh-CN"/>
              </w:rPr>
            </w:pPr>
            <w:r>
              <w:t>Agree</w:t>
            </w:r>
            <w:r w:rsidR="00B37F79">
              <w:t xml:space="preserve"> with the proposal.</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lastRenderedPageBreak/>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FE0799" w:rsidP="00DD2D6A">
            <w:pPr>
              <w:pStyle w:val="ListParagraph"/>
              <w:ind w:left="420"/>
              <w:rPr>
                <w:rFonts w:eastAsia="SimSun"/>
              </w:rPr>
            </w:pPr>
            <w:r w:rsidRPr="00943F9F">
              <w:rPr>
                <w:rFonts w:eastAsia="SimSun"/>
                <w:noProof/>
                <w:position w:val="-36"/>
              </w:rPr>
              <w:object w:dxaOrig="8585" w:dyaOrig="842" w14:anchorId="131C632E">
                <v:shape id="_x0000_i1030" type="#_x0000_t75" alt="" style="width:359.25pt;height:35.05pt;mso-width-percent:0;mso-height-percent:0;mso-width-percent:0;mso-height-percent:0" o:ole="">
                  <v:imagedata r:id="rId17" o:title=""/>
                </v:shape>
                <o:OLEObject Type="Embed" ProgID="Equation.3" ShapeID="_x0000_i1030" DrawAspect="Content" ObjectID="_1673166449"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FE0799" w:rsidP="00DD2D6A">
            <w:pPr>
              <w:numPr>
                <w:ilvl w:val="0"/>
                <w:numId w:val="22"/>
              </w:numPr>
              <w:spacing w:after="0"/>
              <w:ind w:left="726" w:hanging="363"/>
              <w:rPr>
                <w:rFonts w:eastAsia="SimSun"/>
                <w:iCs/>
              </w:rPr>
            </w:pPr>
            <w:r w:rsidRPr="00943F9F">
              <w:rPr>
                <w:rFonts w:hint="eastAsia"/>
                <w:iCs/>
                <w:noProof/>
                <w:position w:val="-14"/>
              </w:rPr>
              <w:object w:dxaOrig="720" w:dyaOrig="377" w14:anchorId="1A368CF9">
                <v:shape id="_x0000_i1029" type="#_x0000_t75" alt="" style="width:36.6pt;height:18.85pt;mso-width-percent:0;mso-height-percent:0;mso-width-percent:0;mso-height-percent:0" o:ole="">
                  <v:imagedata r:id="rId19" o:title=""/>
                </v:shape>
                <o:OLEObject Type="Embed" ProgID="Equation.3" ShapeID="_x0000_i1029" DrawAspect="Content" ObjectID="_1673166450"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6E241A"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5C32AE9A">
                <v:shape id="_x0000_i1028" type="#_x0000_t75" alt="" style="width:96.65pt;height:17.7pt;mso-width-percent:0;mso-height-percent:0;mso-width-percent:0;mso-height-percent:0" o:ole="">
                  <v:imagedata r:id="rId21" o:title=""/>
                </v:shape>
                <o:OLEObject Type="Embed" ProgID="Equation.3" ShapeID="_x0000_i1028" DrawAspect="Content" ObjectID="_1673166451"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008EE5E1">
                <v:shape id="_x0000_i1027" type="#_x0000_t75" alt="" style="width:75.45pt;height:15.8pt;mso-width-percent:0;mso-height-percent:0;mso-width-percent:0;mso-height-percent:0" o:ole="">
                  <v:imagedata r:id="rId23" o:title=""/>
                </v:shape>
                <o:OLEObject Type="Embed" ProgID="Equation.3" ShapeID="_x0000_i1027" DrawAspect="Content" ObjectID="_1673166452" r:id="rId24"/>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6E241A"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6E241A"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448E6FB0">
                        <v:shape id="_x0000_i1026" type="#_x0000_t75" alt="" style="width:11.95pt;height:18.85pt;mso-width-percent:0;mso-height-percent:0;mso-width-percent:0;mso-height-percent:0" o:ole="">
                          <v:imagedata r:id="rId25" o:title=""/>
                        </v:shape>
                        <o:OLEObject Type="Embed" ProgID="Equation.3" ShapeID="_x0000_i1026" DrawAspect="Content" ObjectID="_1673166453"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6E241A"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6E241A"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lastRenderedPageBreak/>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lastRenderedPageBreak/>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lastRenderedPageBreak/>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lastRenderedPageBreak/>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185E02">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185E02">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185E02">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E44F88">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E44F88">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146A93">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146A93">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146A93">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146A93">
        <w:tc>
          <w:tcPr>
            <w:tcW w:w="932" w:type="pct"/>
          </w:tcPr>
          <w:p w14:paraId="5ACC145E" w14:textId="3BCD7E00" w:rsidR="000C4377" w:rsidRDefault="000C4377" w:rsidP="000C4377">
            <w:pPr>
              <w:rPr>
                <w:rFonts w:eastAsiaTheme="minorEastAsia" w:hint="eastAsia"/>
                <w:bCs/>
                <w:lang w:eastAsia="zh-CN"/>
              </w:rPr>
            </w:pPr>
            <w:r>
              <w:rPr>
                <w:bCs/>
              </w:rPr>
              <w:t>Apple</w:t>
            </w:r>
          </w:p>
        </w:tc>
        <w:tc>
          <w:tcPr>
            <w:tcW w:w="4068" w:type="pct"/>
          </w:tcPr>
          <w:p w14:paraId="62363F3A" w14:textId="2E1FF0BD" w:rsidR="000C4377" w:rsidRDefault="000C4377" w:rsidP="000C4377">
            <w:pPr>
              <w:rPr>
                <w:lang w:val="en-US"/>
              </w:rPr>
            </w:pPr>
            <w:r>
              <w:t>We</w:t>
            </w:r>
            <w:r>
              <w:t xml:space="preserve"> are fine with the proposal. </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6E241A"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15280AD0">
                <v:shape id="_x0000_i1025" type="#_x0000_t75" alt="" style="width:14.65pt;height:14.65pt;mso-width-percent:0;mso-height-percent:0;mso-width-percent:0;mso-height-percent:0" o:ole="">
                  <v:imagedata r:id="rId27" o:title=""/>
                </v:shape>
                <o:OLEObject Type="Embed" ProgID="Equation.3" ShapeID="_x0000_i1025" DrawAspect="Content" ObjectID="_1673166454"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6E241A"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185E02">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185E02">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E44F88">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E44F88">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6E241A">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6E241A">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6E241A">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bl>
    <w:p w14:paraId="06532A90" w14:textId="77777777" w:rsidR="00EE65B2" w:rsidRPr="00E44F88" w:rsidRDefault="00EE65B2" w:rsidP="00EE65B2"/>
    <w:p w14:paraId="3F9499D3" w14:textId="77777777" w:rsidR="00F11381" w:rsidRPr="003632A7" w:rsidRDefault="00F11381" w:rsidP="00F11381">
      <w:pPr>
        <w:pStyle w:val="Heading3"/>
      </w:pPr>
      <w:bookmarkStart w:id="19" w:name="_Toc62466229"/>
      <w:r>
        <w:lastRenderedPageBreak/>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6E241A"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6E241A"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6E241A"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6E241A"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185E02">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185E02">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E44F88">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E44F88">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146A93">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146A93">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146A93">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bl>
    <w:p w14:paraId="52673C22" w14:textId="77777777" w:rsidR="00D13848" w:rsidRPr="00F11381" w:rsidRDefault="00D13848" w:rsidP="00EE65B2"/>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lastRenderedPageBreak/>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185E02">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185E02">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185E02">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E44F88">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E44F88">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146A93">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146A93">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146A93">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lastRenderedPageBreak/>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743F8E">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743F8E">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743F8E">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743F8E">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743F8E">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743F8E">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743F8E">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bl>
    <w:p w14:paraId="16696A92" w14:textId="77777777" w:rsidR="003B6B17" w:rsidRDefault="003B6B17" w:rsidP="003B6B17"/>
    <w:p w14:paraId="652A2EB7" w14:textId="77777777" w:rsidR="003B6B17" w:rsidRPr="00902581" w:rsidRDefault="003B6B17" w:rsidP="003B6B17">
      <w:pPr>
        <w:pStyle w:val="Heading3"/>
      </w:pPr>
      <w:bookmarkStart w:id="23" w:name="_Toc62466233"/>
      <w:r w:rsidRPr="00902581">
        <w:t>Companies views</w:t>
      </w:r>
      <w:bookmarkEnd w:id="23"/>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lastRenderedPageBreak/>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hint="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4" w:name="_Toc62466234"/>
      <w:r w:rsidRPr="00902581">
        <w:rPr>
          <w:sz w:val="32"/>
        </w:rPr>
        <w:t>Issue#</w:t>
      </w:r>
      <w:r>
        <w:rPr>
          <w:sz w:val="32"/>
        </w:rPr>
        <w:t>3-2</w:t>
      </w:r>
      <w:r w:rsidRPr="00902581">
        <w:rPr>
          <w:sz w:val="32"/>
        </w:rPr>
        <w:t xml:space="preserve">: </w:t>
      </w:r>
      <w:r>
        <w:rPr>
          <w:sz w:val="32"/>
        </w:rPr>
        <w:t>Indication of frequency precompensation offset on DL</w:t>
      </w:r>
      <w:bookmarkEnd w:id="24"/>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Indication of the reference point location w.r.t. which the Doppler DL precompensation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lastRenderedPageBreak/>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743F8E">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743F8E">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743F8E">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743F8E">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743F8E">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743F8E">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743F8E">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743F8E">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743F8E">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743F8E">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14:paraId="2F1806B6" w14:textId="77777777" w:rsidR="003B6B17" w:rsidRDefault="003B6B17" w:rsidP="003B6B17"/>
    <w:p w14:paraId="47C63322" w14:textId="77777777" w:rsidR="003B6B17" w:rsidRPr="00902581" w:rsidRDefault="003B6B17" w:rsidP="003B6B17">
      <w:pPr>
        <w:pStyle w:val="Heading3"/>
      </w:pPr>
      <w:bookmarkStart w:id="25" w:name="_Toc62466235"/>
      <w:r w:rsidRPr="00902581">
        <w:t>Companies views</w:t>
      </w:r>
      <w:bookmarkEnd w:id="25"/>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lastRenderedPageBreak/>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743F8E">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743F8E">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E44F88">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E44F88">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9E75DD">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9E75DD">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9E75DD">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26" w:name="_Toc62466236"/>
      <w:r w:rsidRPr="00902581">
        <w:rPr>
          <w:sz w:val="32"/>
        </w:rPr>
        <w:t>Issue#</w:t>
      </w:r>
      <w:r>
        <w:rPr>
          <w:sz w:val="32"/>
        </w:rPr>
        <w:t>3-3</w:t>
      </w:r>
      <w:r w:rsidRPr="00902581">
        <w:rPr>
          <w:sz w:val="32"/>
        </w:rPr>
        <w:t xml:space="preserve">: </w:t>
      </w:r>
      <w:r>
        <w:rPr>
          <w:sz w:val="32"/>
        </w:rPr>
        <w:t>Indication of precompensation frequency offset on UL</w:t>
      </w:r>
      <w:bookmarkEnd w:id="26"/>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743F8E">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743F8E">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743F8E">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743F8E">
        <w:tc>
          <w:tcPr>
            <w:tcW w:w="932" w:type="pct"/>
          </w:tcPr>
          <w:p w14:paraId="79F36711" w14:textId="77777777" w:rsidR="003B6B17" w:rsidRDefault="003B6B17" w:rsidP="00743F8E">
            <w:pPr>
              <w:rPr>
                <w:bCs/>
              </w:rPr>
            </w:pPr>
            <w:r>
              <w:rPr>
                <w:bCs/>
              </w:rPr>
              <w:lastRenderedPageBreak/>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743F8E">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743F8E">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743F8E">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743F8E">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743F8E">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14:paraId="67F3E6A0" w14:textId="77777777" w:rsidR="003B6B17" w:rsidRDefault="003B6B17" w:rsidP="003B6B17"/>
    <w:p w14:paraId="12E383FC" w14:textId="77777777" w:rsidR="003B6B17" w:rsidRPr="00902581" w:rsidRDefault="003B6B17" w:rsidP="003B6B17">
      <w:pPr>
        <w:pStyle w:val="Heading3"/>
      </w:pPr>
      <w:bookmarkStart w:id="27" w:name="_Toc62466237"/>
      <w:r w:rsidRPr="00902581">
        <w:t>Companies views</w:t>
      </w:r>
      <w:bookmarkEnd w:id="27"/>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lastRenderedPageBreak/>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743F8E">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98100B">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E44F88">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E44F88">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6E241A">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6E241A">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6E241A">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6E241A">
        <w:tc>
          <w:tcPr>
            <w:tcW w:w="932" w:type="pct"/>
          </w:tcPr>
          <w:p w14:paraId="534C8446" w14:textId="07852215" w:rsidR="0057396D" w:rsidRDefault="0057396D" w:rsidP="00D94EDB">
            <w:pPr>
              <w:rPr>
                <w:rFonts w:eastAsiaTheme="minorEastAsia" w:hint="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bl>
    <w:p w14:paraId="5FFDA580" w14:textId="77777777" w:rsidR="003B6B17" w:rsidRPr="003B6B17" w:rsidRDefault="003B6B17" w:rsidP="0098100B"/>
    <w:p w14:paraId="20C30D59" w14:textId="77777777" w:rsidR="007F1B4A" w:rsidRDefault="007F1B4A" w:rsidP="00DE5015">
      <w:pPr>
        <w:pStyle w:val="Heading1"/>
      </w:pPr>
      <w:bookmarkStart w:id="28" w:name="_Toc62466238"/>
      <w:r w:rsidRPr="00902581">
        <w:t>Issue#</w:t>
      </w:r>
      <w:r w:rsidR="00DE5015">
        <w:t>4</w:t>
      </w:r>
      <w:r w:rsidRPr="00902581">
        <w:t xml:space="preserve">: </w:t>
      </w:r>
      <w:r>
        <w:t>Close control loop for UL frequency alignment</w:t>
      </w:r>
      <w:bookmarkEnd w:id="28"/>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29" w:name="_Toc62466239"/>
      <w:r w:rsidRPr="00902581">
        <w:t>Companies views</w:t>
      </w:r>
      <w:bookmarkEnd w:id="29"/>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lastRenderedPageBreak/>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44565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44565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44565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44565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445655">
        <w:tc>
          <w:tcPr>
            <w:tcW w:w="1011" w:type="pct"/>
          </w:tcPr>
          <w:p w14:paraId="00ED0F58" w14:textId="77777777" w:rsidR="00445655" w:rsidRPr="00A342C5" w:rsidRDefault="00445655" w:rsidP="006E241A">
            <w:pPr>
              <w:rPr>
                <w:rFonts w:eastAsiaTheme="minorEastAsia"/>
                <w:bCs/>
                <w:lang w:eastAsia="zh-CN"/>
              </w:rPr>
            </w:pPr>
            <w:bookmarkStart w:id="30"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44565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44565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0"/>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1" w:name="_Toc62466241"/>
      <w:r w:rsidRPr="00902581">
        <w:t>Companies views</w:t>
      </w:r>
      <w:bookmarkEnd w:id="31"/>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185E02">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185E02">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E44F88">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E44F88">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E44F88">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E44F88">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E44F88">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0934D8">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0934D8">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6E241A">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6E241A">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6E241A">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bl>
    <w:p w14:paraId="73D73835" w14:textId="77777777" w:rsidR="00391B44" w:rsidRPr="00E44F88" w:rsidRDefault="00391B44" w:rsidP="00391B44">
      <w:pPr>
        <w:rPr>
          <w:b/>
          <w:bCs/>
        </w:rPr>
      </w:pPr>
    </w:p>
    <w:p w14:paraId="2294341B" w14:textId="77777777" w:rsidR="004E2835" w:rsidRDefault="003E6C72" w:rsidP="00A26247">
      <w:pPr>
        <w:pStyle w:val="Heading1"/>
      </w:pPr>
      <w:bookmarkStart w:id="32" w:name="_Toc62466242"/>
      <w:r>
        <w:t>Issue#6</w:t>
      </w:r>
      <w:r w:rsidR="00CF499D" w:rsidRPr="00902581">
        <w:t xml:space="preserve">: </w:t>
      </w:r>
      <w:r w:rsidR="004E2835" w:rsidRPr="00902581">
        <w:t>Serving satellite ephemeris format</w:t>
      </w:r>
      <w:bookmarkEnd w:id="32"/>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lastRenderedPageBreak/>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lastRenderedPageBreak/>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lastRenderedPageBreak/>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lastRenderedPageBreak/>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3" w:name="_Toc62466243"/>
      <w:r w:rsidRPr="00902581">
        <w:t>Company views</w:t>
      </w:r>
      <w:bookmarkEnd w:id="33"/>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185E02">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185E02">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lastRenderedPageBreak/>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E44F88">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E44F88">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6E241A">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6E241A">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6E241A">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6E241A">
        <w:tc>
          <w:tcPr>
            <w:tcW w:w="932" w:type="pct"/>
          </w:tcPr>
          <w:p w14:paraId="0C9D1813" w14:textId="5CE360D0" w:rsidR="00542A6B" w:rsidRDefault="00542A6B" w:rsidP="00FD149D">
            <w:pPr>
              <w:rPr>
                <w:rFonts w:eastAsiaTheme="minorEastAsia" w:hint="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hint="eastAsia"/>
                <w:lang w:eastAsia="zh-CN"/>
              </w:rPr>
            </w:pPr>
            <w:r>
              <w:rPr>
                <w:rFonts w:eastAsiaTheme="minorEastAsia"/>
                <w:lang w:eastAsia="zh-CN"/>
              </w:rPr>
              <w:t>Support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743F8E">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743F8E">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E44F88">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E44F88">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6E241A">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6E241A">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6E241A">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lastRenderedPageBreak/>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w:t>
            </w:r>
            <w:proofErr w:type="gramStart"/>
            <w:r w:rsidRPr="00B50F7E">
              <w:rPr>
                <w:bCs/>
                <w:iCs/>
              </w:rPr>
              <w:t>e.g.</w:t>
            </w:r>
            <w:proofErr w:type="gramEnd"/>
            <w:r w:rsidRPr="00B50F7E">
              <w:rPr>
                <w:bCs/>
                <w:iCs/>
              </w:rPr>
              <w:t xml:space="preserve">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4" w:name="_Ref55135364"/>
      <w:bookmarkStart w:id="35"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lastRenderedPageBreak/>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36" w:name="_Toc62466245"/>
      <w:r w:rsidRPr="00902581">
        <w:t>Company views</w:t>
      </w:r>
      <w:bookmarkEnd w:id="36"/>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E83ABC">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8853FA">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E44F88">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E44F88">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1F176D">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1F176D">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1F176D">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1F176D">
        <w:tc>
          <w:tcPr>
            <w:tcW w:w="932" w:type="pct"/>
          </w:tcPr>
          <w:p w14:paraId="36B73D26" w14:textId="4E3F1955" w:rsidR="00542A6B" w:rsidRDefault="00542A6B" w:rsidP="00FD149D">
            <w:pPr>
              <w:rPr>
                <w:rFonts w:eastAsiaTheme="minorEastAsia" w:hint="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hint="eastAsia"/>
                <w:lang w:eastAsia="zh-CN"/>
              </w:rPr>
            </w:pPr>
            <w:r>
              <w:rPr>
                <w:rFonts w:eastAsiaTheme="minorEastAsia"/>
                <w:lang w:eastAsia="zh-CN"/>
              </w:rPr>
              <w:t>Agree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37" w:name="_Ref54965867"/>
      <w:bookmarkStart w:id="38"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7"/>
      <w:bookmarkEnd w:id="38"/>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lastRenderedPageBreak/>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39" w:name="_Toc62466247"/>
      <w:r w:rsidRPr="00902581">
        <w:t>Company views</w:t>
      </w:r>
      <w:bookmarkEnd w:id="39"/>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lastRenderedPageBreak/>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E83ABC">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102E9B">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E44F88">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E44F88">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6E241A">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0" w:name="_Toc62466248"/>
      <w:r w:rsidRPr="00F75096">
        <w:t>Issue#</w:t>
      </w:r>
      <w:r w:rsidR="00614166">
        <w:t>9</w:t>
      </w:r>
      <w:r w:rsidRPr="00F75096">
        <w:t>: UE centric precompensation</w:t>
      </w:r>
      <w:bookmarkEnd w:id="40"/>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1" w:name="_Toc62466249"/>
      <w:r w:rsidRPr="00902581">
        <w:t>Company views</w:t>
      </w:r>
      <w:bookmarkEnd w:id="41"/>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185E02">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lastRenderedPageBreak/>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185E02">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E44F88">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E44F88">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6E241A">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6E241A">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6E241A">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6E241A">
        <w:tc>
          <w:tcPr>
            <w:tcW w:w="932" w:type="pct"/>
          </w:tcPr>
          <w:p w14:paraId="6590A419" w14:textId="67136A0C" w:rsidR="00542A6B" w:rsidRDefault="00542A6B" w:rsidP="00FD149D">
            <w:pPr>
              <w:rPr>
                <w:rFonts w:eastAsiaTheme="minorEastAsia" w:hint="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hint="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2" w:name="_Toc62466250"/>
      <w:r>
        <w:rPr>
          <w:rFonts w:ascii="Times New Roman" w:hAnsi="Times New Roman"/>
        </w:rPr>
        <w:t>Conclusion</w:t>
      </w:r>
      <w:bookmarkEnd w:id="42"/>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3"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3"/>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lastRenderedPageBreak/>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67968" w14:textId="77777777" w:rsidR="00FE0799" w:rsidRDefault="00FE0799">
      <w:r>
        <w:separator/>
      </w:r>
    </w:p>
  </w:endnote>
  <w:endnote w:type="continuationSeparator" w:id="0">
    <w:p w14:paraId="4914431E" w14:textId="77777777" w:rsidR="00FE0799" w:rsidRDefault="00FE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sig w:usb0="00000000" w:usb1="00000000" w:usb2="00000000" w:usb3="00000000" w:csb0="00040001"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77777777" w:rsidR="006E241A" w:rsidRDefault="006E241A"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DD9C5" w14:textId="77777777" w:rsidR="00FE0799" w:rsidRDefault="00FE0799">
      <w:r>
        <w:separator/>
      </w:r>
    </w:p>
  </w:footnote>
  <w:footnote w:type="continuationSeparator" w:id="0">
    <w:p w14:paraId="1049CDEE" w14:textId="77777777" w:rsidR="00FE0799" w:rsidRDefault="00FE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6E241A" w:rsidRDefault="006E24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0"/>
  </w:num>
  <w:num w:numId="5">
    <w:abstractNumId w:val="23"/>
  </w:num>
  <w:num w:numId="6">
    <w:abstractNumId w:val="24"/>
  </w:num>
  <w:num w:numId="7">
    <w:abstractNumId w:val="9"/>
  </w:num>
  <w:num w:numId="8">
    <w:abstractNumId w:val="14"/>
  </w:num>
  <w:num w:numId="9">
    <w:abstractNumId w:val="8"/>
  </w:num>
  <w:num w:numId="10">
    <w:abstractNumId w:val="15"/>
  </w:num>
  <w:num w:numId="11">
    <w:abstractNumId w:val="3"/>
  </w:num>
  <w:num w:numId="12">
    <w:abstractNumId w:val="11"/>
  </w:num>
  <w:num w:numId="13">
    <w:abstractNumId w:val="12"/>
  </w:num>
  <w:num w:numId="14">
    <w:abstractNumId w:val="30"/>
  </w:num>
  <w:num w:numId="15">
    <w:abstractNumId w:val="27"/>
  </w:num>
  <w:num w:numId="16">
    <w:abstractNumId w:val="4"/>
  </w:num>
  <w:num w:numId="17">
    <w:abstractNumId w:val="18"/>
  </w:num>
  <w:num w:numId="18">
    <w:abstractNumId w:val="31"/>
  </w:num>
  <w:num w:numId="19">
    <w:abstractNumId w:val="16"/>
  </w:num>
  <w:num w:numId="20">
    <w:abstractNumId w:val="16"/>
  </w:num>
  <w:num w:numId="21">
    <w:abstractNumId w:val="26"/>
  </w:num>
  <w:num w:numId="22">
    <w:abstractNumId w:val="20"/>
  </w:num>
  <w:num w:numId="23">
    <w:abstractNumId w:val="2"/>
  </w:num>
  <w:num w:numId="24">
    <w:abstractNumId w:val="1"/>
  </w:num>
  <w:num w:numId="25">
    <w:abstractNumId w:val="22"/>
  </w:num>
  <w:num w:numId="26">
    <w:abstractNumId w:val="32"/>
  </w:num>
  <w:num w:numId="27">
    <w:abstractNumId w:val="7"/>
  </w:num>
  <w:num w:numId="28">
    <w:abstractNumId w:val="29"/>
  </w:num>
  <w:num w:numId="29">
    <w:abstractNumId w:val="25"/>
  </w:num>
  <w:num w:numId="30">
    <w:abstractNumId w:val="28"/>
  </w:num>
  <w:num w:numId="31">
    <w:abstractNumId w:val="17"/>
  </w:num>
  <w:num w:numId="32">
    <w:abstractNumId w:val="6"/>
  </w:num>
  <w:num w:numId="33">
    <w:abstractNumId w:val="21"/>
  </w:num>
  <w:num w:numId="34">
    <w:abstractNumId w:val="10"/>
  </w:num>
  <w:num w:numId="3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5F01"/>
    <w:rsid w:val="00BF61CA"/>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C17841E9-BC6E-4DAD-A76F-3454D7046B63}">
  <ds:schemaRefs>
    <ds:schemaRef ds:uri="http://schemas.openxmlformats.org/officeDocument/2006/bibliography"/>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51</TotalTime>
  <Pages>43</Pages>
  <Words>17544</Words>
  <Characters>100005</Characters>
  <Application>Microsoft Office Word</Application>
  <DocSecurity>0</DocSecurity>
  <Lines>833</Lines>
  <Paragraphs>234</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117315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Chunxuan Ye</cp:lastModifiedBy>
  <cp:revision>3</cp:revision>
  <cp:lastPrinted>2017-11-03T16:53:00Z</cp:lastPrinted>
  <dcterms:created xsi:type="dcterms:W3CDTF">2021-01-26T18:02:00Z</dcterms:created>
  <dcterms:modified xsi:type="dcterms:W3CDTF">2021-01-26T18:57:00Z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