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BE43EA">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BE43EA">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BE43EA">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BE43EA">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BE43EA">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BE43EA">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BE43EA">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BE43EA">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BE43EA">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BE43EA">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BE43EA">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BE43EA">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BE43EA">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BE43EA">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BE43EA">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BE43EA">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BE43EA">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BE43EA">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BE43EA">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BE43EA">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BE43EA">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BE43EA">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BE43EA">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BE43EA">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BE43EA">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BE43EA">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BE43EA">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BE43EA">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BE43EA">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BE43EA">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BE43EA">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BE43EA">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BE43EA">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BE43EA">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BE43EA">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BE43EA">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BE43EA">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BE43EA">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BE43EA">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BE43EA"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BE43EA"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BE43EA"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TableGrid"/>
        <w:tblW w:w="5000" w:type="pct"/>
        <w:tblLook w:val="04A0" w:firstRow="1" w:lastRow="0" w:firstColumn="1" w:lastColumn="0" w:noHBand="0" w:noVBand="1"/>
      </w:tblPr>
      <w:tblGrid>
        <w:gridCol w:w="1837"/>
        <w:gridCol w:w="8018"/>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BE43EA"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BE43EA"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TableGrid"/>
        <w:tblW w:w="5000" w:type="pct"/>
        <w:tblLook w:val="04A0" w:firstRow="1" w:lastRow="0" w:firstColumn="1" w:lastColumn="0" w:noHBand="0" w:noVBand="1"/>
      </w:tblPr>
      <w:tblGrid>
        <w:gridCol w:w="1837"/>
        <w:gridCol w:w="8018"/>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Pr>
                <w:rFonts w:eastAsia="SimSun" w:hint="eastAsia"/>
                <w:i/>
                <w:position w:val="-12"/>
              </w:rPr>
              <w:object w:dxaOrig="1196" w:dyaOrig="354" w14:anchorId="3BC54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18pt" o:ole="">
                  <v:imagedata r:id="rId13" o:title=""/>
                </v:shape>
                <o:OLEObject Type="Embed" ProgID="Equation.3" ShapeID="_x0000_i1025" DrawAspect="Content" ObjectID="_1673194322"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Pr="00686073">
              <w:rPr>
                <w:position w:val="-10"/>
              </w:rPr>
              <w:object w:dxaOrig="1160" w:dyaOrig="340" w14:anchorId="1B727FAB">
                <v:shape id="_x0000_i1026" type="#_x0000_t75" style="width:57.6pt;height:17.4pt" o:ole="">
                  <v:imagedata r:id="rId15" o:title=""/>
                </v:shape>
                <o:OLEObject Type="Embed" ProgID="Equation.3" ShapeID="_x0000_i1026" DrawAspect="Content" ObjectID="_1673194323"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lastRenderedPageBreak/>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lastRenderedPageBreak/>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89"/>
        <w:gridCol w:w="4890"/>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lastRenderedPageBreak/>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BE43EA"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C00875" w:rsidRPr="00902581" w14:paraId="0E76D1B2" w14:textId="77777777" w:rsidTr="00DD2D6A">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DD2D6A">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DD2D6A">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E44F88">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E44F88">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B22F3D">
        <w:tc>
          <w:tcPr>
            <w:tcW w:w="932" w:type="pct"/>
          </w:tcPr>
          <w:p w14:paraId="1F50A614" w14:textId="77777777" w:rsidR="00B22F3D" w:rsidRDefault="00B22F3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FD1F4C">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B22F3D">
        <w:tc>
          <w:tcPr>
            <w:tcW w:w="932" w:type="pct"/>
          </w:tcPr>
          <w:p w14:paraId="01E6FD46" w14:textId="058F641F" w:rsidR="00DA2710" w:rsidRDefault="00DA2710" w:rsidP="00FD1F4C">
            <w:pPr>
              <w:rPr>
                <w:rFonts w:eastAsiaTheme="minorEastAsia" w:hint="eastAsia"/>
                <w:bCs/>
                <w:lang w:eastAsia="zh-CN"/>
              </w:rPr>
            </w:pPr>
            <w:r>
              <w:rPr>
                <w:rFonts w:eastAsiaTheme="minorEastAsia"/>
                <w:bCs/>
                <w:lang w:eastAsia="zh-CN"/>
              </w:rPr>
              <w:t>Intel</w:t>
            </w:r>
          </w:p>
        </w:tc>
        <w:tc>
          <w:tcPr>
            <w:tcW w:w="4068" w:type="pct"/>
          </w:tcPr>
          <w:p w14:paraId="158F1B1B" w14:textId="3D87EFAA" w:rsidR="00DA2710" w:rsidRDefault="00DA2710" w:rsidP="00FD1F4C">
            <w:pPr>
              <w:rPr>
                <w:rFonts w:eastAsiaTheme="minorEastAsia" w:hint="eastAsia"/>
                <w:lang w:eastAsia="zh-CN"/>
              </w:rPr>
            </w:pPr>
            <w:r>
              <w:rPr>
                <w:rFonts w:eastAsiaTheme="minorEastAsia"/>
                <w:lang w:eastAsia="zh-CN"/>
              </w:rPr>
              <w:t>Support the proposal</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Heading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837"/>
        <w:gridCol w:w="8018"/>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xml:space="preserve">• If common timing offset indication is used to compensate propagation delay corresponding to </w:t>
            </w:r>
            <w:r>
              <w:rPr>
                <w:lang w:eastAsia="zh-CN"/>
              </w:rPr>
              <w:lastRenderedPageBreak/>
              <w:t>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lastRenderedPageBreak/>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481389B6" w14:textId="77777777" w:rsidTr="00CF2DF8">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102E9B">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ListParagraph"/>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102E9B">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E44F88">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E44F88">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lastRenderedPageBreak/>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B22F3D">
        <w:tc>
          <w:tcPr>
            <w:tcW w:w="932" w:type="pct"/>
          </w:tcPr>
          <w:p w14:paraId="0A5C9728" w14:textId="77777777" w:rsidR="00B22F3D" w:rsidRDefault="00B22F3D" w:rsidP="00FD1F4C">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3F57DBB9" w14:textId="153157B7" w:rsidR="00B22F3D" w:rsidRDefault="00B22F3D" w:rsidP="00FD1F4C">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B22F3D">
        <w:tc>
          <w:tcPr>
            <w:tcW w:w="932" w:type="pct"/>
          </w:tcPr>
          <w:p w14:paraId="40A41CAD" w14:textId="5D2646AA" w:rsidR="00833C69" w:rsidRDefault="00833C69" w:rsidP="00FD1F4C">
            <w:pPr>
              <w:rPr>
                <w:rFonts w:eastAsiaTheme="minorEastAsia" w:hint="eastAsia"/>
                <w:bCs/>
                <w:lang w:eastAsia="zh-CN"/>
              </w:rPr>
            </w:pPr>
            <w:r>
              <w:rPr>
                <w:rFonts w:eastAsiaTheme="minorEastAsia"/>
                <w:bCs/>
                <w:lang w:eastAsia="zh-CN"/>
              </w:rPr>
              <w:t>Intel</w:t>
            </w:r>
          </w:p>
        </w:tc>
        <w:tc>
          <w:tcPr>
            <w:tcW w:w="4068" w:type="pct"/>
          </w:tcPr>
          <w:p w14:paraId="72ECE366" w14:textId="4639B515" w:rsidR="00833C69" w:rsidRDefault="00833C69" w:rsidP="00FD1F4C">
            <w:pPr>
              <w:rPr>
                <w:rFonts w:eastAsiaTheme="minorEastAsia" w:hint="eastAsia"/>
                <w:lang w:eastAsia="zh-CN"/>
              </w:rPr>
            </w:pPr>
            <w:r>
              <w:rPr>
                <w:rFonts w:eastAsiaTheme="minorEastAsia"/>
                <w:lang w:eastAsia="zh-CN"/>
              </w:rPr>
              <w:t>Support the proposal.</w:t>
            </w:r>
            <w:r w:rsidR="00C578D0">
              <w:rPr>
                <w:rFonts w:eastAsiaTheme="minorEastAsia"/>
                <w:lang w:eastAsia="zh-CN"/>
              </w:rPr>
              <w:t xml:space="preserve"> </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Heading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Heading3"/>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lastRenderedPageBreak/>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Heading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BE43EA"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CC736F" w:rsidRPr="00902581" w14:paraId="0D470F53" w14:textId="77777777" w:rsidTr="006D727F">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lastRenderedPageBreak/>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6D727F">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6D727F">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E44F88">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E44F88">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851927">
        <w:tc>
          <w:tcPr>
            <w:tcW w:w="932" w:type="pct"/>
          </w:tcPr>
          <w:p w14:paraId="7AB5062B" w14:textId="77777777" w:rsidR="00851927" w:rsidRDefault="00851927"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FD1F4C">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851927">
        <w:tc>
          <w:tcPr>
            <w:tcW w:w="932" w:type="pct"/>
          </w:tcPr>
          <w:p w14:paraId="224F46F6" w14:textId="63025B30" w:rsidR="00960B72" w:rsidRDefault="00960B72" w:rsidP="00FD1F4C">
            <w:pPr>
              <w:rPr>
                <w:rFonts w:eastAsiaTheme="minorEastAsia" w:hint="eastAsia"/>
                <w:bCs/>
                <w:lang w:eastAsia="zh-CN"/>
              </w:rPr>
            </w:pPr>
            <w:r>
              <w:rPr>
                <w:rFonts w:eastAsiaTheme="minorEastAsia"/>
                <w:bCs/>
                <w:lang w:eastAsia="zh-CN"/>
              </w:rPr>
              <w:t>Intel</w:t>
            </w:r>
          </w:p>
        </w:tc>
        <w:tc>
          <w:tcPr>
            <w:tcW w:w="4068" w:type="pct"/>
          </w:tcPr>
          <w:p w14:paraId="56621638" w14:textId="4EE2CF3F" w:rsidR="00960B72" w:rsidRDefault="00960B72" w:rsidP="00FD1F4C">
            <w:pPr>
              <w:rPr>
                <w:rFonts w:eastAsiaTheme="minorEastAsia"/>
                <w:lang w:eastAsia="zh-CN"/>
              </w:rPr>
            </w:pPr>
            <w:r>
              <w:rPr>
                <w:rFonts w:eastAsiaTheme="minorEastAsia"/>
                <w:lang w:eastAsia="zh-CN"/>
              </w:rPr>
              <w:t>We share the same understanding as ZTE. TA margin indication is not needed.</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Heading3"/>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Heading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lastRenderedPageBreak/>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Heading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50A89C54" w14:textId="77777777" w:rsidTr="00FA5861">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102E9B">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102E9B">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E44F88">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E44F88">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FD1F4C">
        <w:tc>
          <w:tcPr>
            <w:tcW w:w="932" w:type="pct"/>
          </w:tcPr>
          <w:p w14:paraId="7171E2E6" w14:textId="77777777" w:rsidR="007944CF" w:rsidRDefault="007944CF"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FD1F4C">
            <w:pPr>
              <w:rPr>
                <w:rFonts w:eastAsiaTheme="minorEastAsia"/>
                <w:lang w:eastAsia="zh-CN"/>
              </w:rPr>
            </w:pPr>
            <w:r>
              <w:rPr>
                <w:rFonts w:eastAsiaTheme="minorEastAsia"/>
                <w:lang w:eastAsia="zh-CN"/>
              </w:rPr>
              <w:t xml:space="preserve">Confirmation of this Working assumption can be postponed since the discussion related to common TA and TA margin is still pending. Without such indication, additional extension may </w:t>
            </w:r>
            <w:r>
              <w:rPr>
                <w:rFonts w:eastAsiaTheme="minorEastAsia"/>
                <w:lang w:eastAsia="zh-CN"/>
              </w:rPr>
              <w:lastRenderedPageBreak/>
              <w:t>be needed.</w:t>
            </w:r>
          </w:p>
        </w:tc>
      </w:tr>
      <w:tr w:rsidR="003D1153" w14:paraId="4E7E916D" w14:textId="77777777" w:rsidTr="00FD1F4C">
        <w:tc>
          <w:tcPr>
            <w:tcW w:w="932" w:type="pct"/>
          </w:tcPr>
          <w:p w14:paraId="09264E0F" w14:textId="2C36FBFD" w:rsidR="003D1153" w:rsidRDefault="003D1153" w:rsidP="00FD1F4C">
            <w:pPr>
              <w:rPr>
                <w:rFonts w:eastAsiaTheme="minorEastAsia" w:hint="eastAsia"/>
                <w:bCs/>
                <w:lang w:eastAsia="zh-CN"/>
              </w:rPr>
            </w:pPr>
            <w:r>
              <w:rPr>
                <w:rFonts w:eastAsiaTheme="minorEastAsia"/>
                <w:bCs/>
                <w:lang w:eastAsia="zh-CN"/>
              </w:rPr>
              <w:lastRenderedPageBreak/>
              <w:t>Intel</w:t>
            </w:r>
          </w:p>
        </w:tc>
        <w:tc>
          <w:tcPr>
            <w:tcW w:w="4068" w:type="pct"/>
          </w:tcPr>
          <w:p w14:paraId="1D8D3D8A" w14:textId="38164EDC" w:rsidR="003D1153" w:rsidRDefault="003D1153" w:rsidP="00FD1F4C">
            <w:pPr>
              <w:rPr>
                <w:rFonts w:eastAsiaTheme="minorEastAsia"/>
                <w:lang w:eastAsia="zh-CN"/>
              </w:rPr>
            </w:pPr>
            <w:r>
              <w:rPr>
                <w:rFonts w:eastAsiaTheme="minorEastAsia"/>
                <w:lang w:eastAsia="zh-CN"/>
              </w:rPr>
              <w:t>Agree</w:t>
            </w:r>
          </w:p>
        </w:tc>
      </w:tr>
    </w:tbl>
    <w:p w14:paraId="468A3A7F" w14:textId="77777777" w:rsidR="00E44F88" w:rsidRDefault="00E44F88" w:rsidP="00E44F88">
      <w:pPr>
        <w:rPr>
          <w:lang w:val="en-US"/>
        </w:rPr>
      </w:pPr>
    </w:p>
    <w:p w14:paraId="16C011D7" w14:textId="27CEE093" w:rsidR="00F9597F" w:rsidRDefault="00F9597F" w:rsidP="00A26247">
      <w:pPr>
        <w:pStyle w:val="Heading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89"/>
        <w:gridCol w:w="4890"/>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837"/>
        <w:gridCol w:w="8018"/>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 xml:space="preserve">For TA update in connected mode, combination of the following timing advance (TA) </w:t>
            </w:r>
            <w:r>
              <w:lastRenderedPageBreak/>
              <w:t>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66356B" w:rsidRPr="00902581" w14:paraId="5E85AF45" w14:textId="77777777" w:rsidTr="00743F8E">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743F8E">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743F8E">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E44F88">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E44F88">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FD1F4C">
        <w:tc>
          <w:tcPr>
            <w:tcW w:w="932" w:type="pct"/>
          </w:tcPr>
          <w:p w14:paraId="731B5588" w14:textId="77777777" w:rsidR="007944CF" w:rsidRDefault="007944CF"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FD1F4C">
        <w:tc>
          <w:tcPr>
            <w:tcW w:w="932" w:type="pct"/>
          </w:tcPr>
          <w:p w14:paraId="320DF4B5" w14:textId="6F44CC93" w:rsidR="00BF5F01" w:rsidRDefault="00BF5F01" w:rsidP="00FD1F4C">
            <w:pPr>
              <w:rPr>
                <w:rFonts w:eastAsiaTheme="minorEastAsia" w:hint="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hint="eastAsia"/>
                <w:lang w:eastAsia="zh-CN"/>
              </w:rPr>
            </w:pPr>
            <w:r>
              <w:rPr>
                <w:rFonts w:eastAsiaTheme="minorEastAsia"/>
                <w:lang w:eastAsia="zh-CN"/>
              </w:rPr>
              <w:t>Support</w:t>
            </w:r>
          </w:p>
        </w:tc>
      </w:tr>
    </w:tbl>
    <w:p w14:paraId="2A829070" w14:textId="77777777" w:rsidR="00776631" w:rsidRPr="007944CF" w:rsidRDefault="00776631" w:rsidP="00776631"/>
    <w:p w14:paraId="6DEBE928" w14:textId="77777777" w:rsidR="00945397" w:rsidRDefault="00945397" w:rsidP="00945397">
      <w:pPr>
        <w:pStyle w:val="Heading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67"/>
        <w:gridCol w:w="8188"/>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091473" w:rsidP="00DD2D6A">
            <w:pPr>
              <w:pStyle w:val="ListParagraph"/>
              <w:ind w:left="420"/>
              <w:rPr>
                <w:rFonts w:eastAsia="SimSun"/>
              </w:rPr>
            </w:pPr>
            <w:r w:rsidRPr="00943F9F">
              <w:rPr>
                <w:rFonts w:eastAsia="SimSun"/>
                <w:position w:val="-36"/>
              </w:rPr>
              <w:object w:dxaOrig="8585" w:dyaOrig="842" w14:anchorId="1298903A">
                <v:shape id="_x0000_i1027" type="#_x0000_t75" style="width:359.1pt;height:35.1pt" o:ole="">
                  <v:imagedata r:id="rId17" o:title=""/>
                </v:shape>
                <o:OLEObject Type="Embed" ProgID="Equation.3" ShapeID="_x0000_i1027" DrawAspect="Content" ObjectID="_1673194324" r:id="rId18"/>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091473" w:rsidP="00DD2D6A">
            <w:pPr>
              <w:numPr>
                <w:ilvl w:val="0"/>
                <w:numId w:val="22"/>
              </w:numPr>
              <w:spacing w:after="0"/>
              <w:ind w:left="726" w:hanging="363"/>
              <w:rPr>
                <w:rFonts w:eastAsia="SimSun"/>
                <w:iCs/>
              </w:rPr>
            </w:pPr>
            <w:r w:rsidRPr="00943F9F">
              <w:rPr>
                <w:rFonts w:hint="eastAsia"/>
                <w:iCs/>
                <w:position w:val="-14"/>
              </w:rPr>
              <w:object w:dxaOrig="720" w:dyaOrig="377" w14:anchorId="01E1B107">
                <v:shape id="_x0000_i1028" type="#_x0000_t75" style="width:36.45pt;height:18.9pt" o:ole="">
                  <v:imagedata r:id="rId19" o:title=""/>
                </v:shape>
                <o:OLEObject Type="Embed" ProgID="Equation.3" ShapeID="_x0000_i1028" DrawAspect="Content" ObjectID="_1673194325" r:id="rId20"/>
              </w:object>
            </w:r>
            <w:r w:rsidRPr="00943F9F">
              <w:rPr>
                <w:rFonts w:hint="eastAsia"/>
                <w:iCs/>
              </w:rPr>
              <w:t xml:space="preserve"> is original TA, which refers to the value </w:t>
            </w:r>
            <w:r w:rsidRPr="00943F9F">
              <w:rPr>
                <w:iCs/>
              </w:rPr>
              <w:t>applied for the latest UL transmission.</w:t>
            </w:r>
          </w:p>
          <w:p w14:paraId="71DBCEF6" w14:textId="77777777" w:rsidR="00091473" w:rsidRPr="00943F9F" w:rsidRDefault="00BE43EA"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091473" w:rsidP="00DD2D6A">
            <w:pPr>
              <w:numPr>
                <w:ilvl w:val="0"/>
                <w:numId w:val="22"/>
              </w:numPr>
              <w:spacing w:after="0"/>
              <w:ind w:left="726" w:hanging="363"/>
              <w:rPr>
                <w:rFonts w:eastAsia="SimSun"/>
                <w:i/>
                <w:iCs/>
              </w:rPr>
            </w:pPr>
            <w:r w:rsidRPr="00943F9F">
              <w:rPr>
                <w:rFonts w:eastAsia="SimSun"/>
                <w:iCs/>
                <w:position w:val="-10"/>
              </w:rPr>
              <w:object w:dxaOrig="1927" w:dyaOrig="354" w14:anchorId="4A51169C">
                <v:shape id="_x0000_i1029" type="#_x0000_t75" style="width:96.9pt;height:17.55pt" o:ole="">
                  <v:imagedata r:id="rId21" o:title=""/>
                </v:shape>
                <o:OLEObject Type="Embed" ProgID="Equation.3" ShapeID="_x0000_i1029" DrawAspect="Content" ObjectID="_1673194326" r:id="rId22"/>
              </w:object>
            </w:r>
            <w:r w:rsidRPr="00943F9F">
              <w:rPr>
                <w:rFonts w:eastAsia="SimSun" w:hint="eastAsia"/>
                <w:iCs/>
              </w:rPr>
              <w:t xml:space="preserve"> is the TA command based closed-loop adjustment, where </w:t>
            </w:r>
            <w:r w:rsidRPr="00943F9F">
              <w:rPr>
                <w:rFonts w:eastAsia="SimSun" w:hint="eastAsia"/>
                <w:iCs/>
                <w:position w:val="-10"/>
              </w:rPr>
              <w:object w:dxaOrig="1495" w:dyaOrig="310" w14:anchorId="23DD39F0">
                <v:shape id="_x0000_i1030" type="#_x0000_t75" style="width:75.25pt;height:15.7pt" o:ole="">
                  <v:imagedata r:id="rId23" o:title=""/>
                </v:shape>
                <o:OLEObject Type="Embed" ProgID="Equation.3" ShapeID="_x0000_i1030" DrawAspect="Content" ObjectID="_1673194327" r:id="rId24"/>
              </w:object>
            </w:r>
            <w:r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lastRenderedPageBreak/>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BE43EA"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BE43EA"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position w:val="-12"/>
                      </w:rPr>
                      <w:object w:dxaOrig="240" w:dyaOrig="360" w14:anchorId="7953D7BA">
                        <v:shape id="_x0000_i1032" type="#_x0000_t75" style="width:11.55pt;height:18.9pt" o:ole="">
                          <v:imagedata r:id="rId25" o:title=""/>
                        </v:shape>
                        <o:OLEObject Type="Embed" ProgID="Equation.3" ShapeID="_x0000_i1032" DrawAspect="Content" ObjectID="_1673194328"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BE43EA"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BE43EA"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 xml:space="preserve">Proposal 5: For TA update in connected mode, support combined mechanism of both open and </w:t>
            </w:r>
            <w:r w:rsidRPr="0052288E">
              <w:lastRenderedPageBreak/>
              <w:t>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lastRenderedPageBreak/>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lastRenderedPageBreak/>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lastRenderedPageBreak/>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14CDF" w:rsidRPr="00902581" w14:paraId="206EAA15" w14:textId="77777777" w:rsidTr="00185E02">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185E02">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185E02">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E44F88">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E44F88">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146A93">
        <w:tc>
          <w:tcPr>
            <w:tcW w:w="932" w:type="pct"/>
          </w:tcPr>
          <w:p w14:paraId="7B0440D3"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146A93">
        <w:tc>
          <w:tcPr>
            <w:tcW w:w="932" w:type="pct"/>
          </w:tcPr>
          <w:p w14:paraId="457189B5" w14:textId="39E65D93" w:rsidR="004558C3" w:rsidRDefault="004558C3" w:rsidP="00FD1F4C">
            <w:pPr>
              <w:rPr>
                <w:rFonts w:eastAsiaTheme="minorEastAsia" w:hint="eastAsia"/>
                <w:bCs/>
                <w:lang w:eastAsia="zh-CN"/>
              </w:rPr>
            </w:pPr>
            <w:r>
              <w:rPr>
                <w:rFonts w:eastAsiaTheme="minorEastAsia"/>
                <w:bCs/>
                <w:lang w:eastAsia="zh-CN"/>
              </w:rPr>
              <w:t>Intel</w:t>
            </w:r>
          </w:p>
        </w:tc>
        <w:tc>
          <w:tcPr>
            <w:tcW w:w="4068" w:type="pct"/>
          </w:tcPr>
          <w:p w14:paraId="2FBCAD83" w14:textId="7D678571" w:rsidR="004558C3" w:rsidRDefault="004558C3" w:rsidP="00FD1F4C">
            <w:pPr>
              <w:rPr>
                <w:rFonts w:eastAsiaTheme="minorEastAsia" w:hint="eastAsia"/>
                <w:lang w:eastAsia="zh-CN"/>
              </w:rPr>
            </w:pPr>
            <w:r>
              <w:rPr>
                <w:rFonts w:eastAsiaTheme="minorEastAsia"/>
                <w:lang w:eastAsia="zh-CN"/>
              </w:rPr>
              <w:t>Support the proposal</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Heading3"/>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w:t>
      </w:r>
      <w:r w:rsidRPr="00BE3978">
        <w:rPr>
          <w:lang w:val="en-US"/>
        </w:rPr>
        <w:lastRenderedPageBreak/>
        <w:t>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BE43EA"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position w:val="-4"/>
              </w:rPr>
              <w:object w:dxaOrig="300" w:dyaOrig="300" w14:anchorId="0353CAAB">
                <v:shape id="_x0000_i1034" type="#_x0000_t75" style="width:14.75pt;height:14.75pt" o:ole="">
                  <v:imagedata r:id="rId27" o:title=""/>
                </v:shape>
                <o:OLEObject Type="Embed" ProgID="Equation.3" ShapeID="_x0000_i1034" DrawAspect="Content" ObjectID="_1673194329"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BE43EA"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837"/>
        <w:gridCol w:w="8018"/>
      </w:tblGrid>
      <w:tr w:rsidR="00EE65B2" w:rsidRPr="00902581" w14:paraId="4B3E73FA" w14:textId="77777777" w:rsidTr="00185E02">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185E02">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E44F88">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E44F88">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FD1F4C">
        <w:tc>
          <w:tcPr>
            <w:tcW w:w="932" w:type="pct"/>
          </w:tcPr>
          <w:p w14:paraId="23574D97"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FD1F4C">
        <w:tc>
          <w:tcPr>
            <w:tcW w:w="932" w:type="pct"/>
          </w:tcPr>
          <w:p w14:paraId="6200897E" w14:textId="64F767D4" w:rsidR="0057067D" w:rsidRDefault="0057067D" w:rsidP="00FD1F4C">
            <w:pPr>
              <w:rPr>
                <w:rFonts w:eastAsiaTheme="minorEastAsia" w:hint="eastAsia"/>
                <w:bCs/>
                <w:lang w:eastAsia="zh-CN"/>
              </w:rPr>
            </w:pPr>
            <w:r>
              <w:rPr>
                <w:rFonts w:eastAsiaTheme="minorEastAsia"/>
                <w:bCs/>
                <w:lang w:eastAsia="zh-CN"/>
              </w:rPr>
              <w:t>Intel</w:t>
            </w:r>
          </w:p>
        </w:tc>
        <w:tc>
          <w:tcPr>
            <w:tcW w:w="4068" w:type="pct"/>
          </w:tcPr>
          <w:p w14:paraId="49A79FC8" w14:textId="65746AEE" w:rsidR="0057067D" w:rsidRDefault="0057067D" w:rsidP="00FD1F4C">
            <w:pPr>
              <w:rPr>
                <w:rFonts w:eastAsiaTheme="minorEastAsia" w:hint="eastAsia"/>
                <w:lang w:eastAsia="zh-CN"/>
              </w:rPr>
            </w:pPr>
            <w:r>
              <w:rPr>
                <w:rFonts w:eastAsiaTheme="minorEastAsia"/>
                <w:lang w:eastAsia="zh-CN"/>
              </w:rPr>
              <w:t>OK</w:t>
            </w:r>
          </w:p>
        </w:tc>
      </w:tr>
    </w:tbl>
    <w:p w14:paraId="06532A90" w14:textId="77777777" w:rsidR="00EE65B2" w:rsidRPr="00E44F88" w:rsidRDefault="00EE65B2" w:rsidP="00EE65B2"/>
    <w:p w14:paraId="3F9499D3" w14:textId="77777777" w:rsidR="00F11381" w:rsidRPr="003632A7" w:rsidRDefault="00F11381" w:rsidP="00F11381">
      <w:pPr>
        <w:pStyle w:val="Heading3"/>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BE43EA"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BE43EA"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lastRenderedPageBreak/>
        <w:t>Where:</w:t>
      </w:r>
    </w:p>
    <w:p w14:paraId="2901686C" w14:textId="77777777" w:rsidR="006B584B" w:rsidRPr="00304FA2" w:rsidRDefault="00BE43EA"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BE43EA"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837"/>
        <w:gridCol w:w="8018"/>
      </w:tblGrid>
      <w:tr w:rsidR="00D22106" w:rsidRPr="00902581" w14:paraId="3F799D49" w14:textId="77777777" w:rsidTr="00185E02">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185E02">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E44F88">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E44F88">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146A93">
        <w:tc>
          <w:tcPr>
            <w:tcW w:w="932" w:type="pct"/>
          </w:tcPr>
          <w:p w14:paraId="36294074"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146A93">
        <w:tc>
          <w:tcPr>
            <w:tcW w:w="932" w:type="pct"/>
          </w:tcPr>
          <w:p w14:paraId="5C8437C8" w14:textId="347B1099" w:rsidR="00ED179F" w:rsidRDefault="00ED179F" w:rsidP="00FD1F4C">
            <w:pPr>
              <w:rPr>
                <w:rFonts w:eastAsiaTheme="minorEastAsia" w:hint="eastAsia"/>
                <w:bCs/>
                <w:lang w:eastAsia="zh-CN"/>
              </w:rPr>
            </w:pPr>
            <w:r>
              <w:rPr>
                <w:rFonts w:eastAsiaTheme="minorEastAsia"/>
                <w:bCs/>
                <w:lang w:eastAsia="zh-CN"/>
              </w:rPr>
              <w:t>Intel</w:t>
            </w:r>
          </w:p>
        </w:tc>
        <w:tc>
          <w:tcPr>
            <w:tcW w:w="4068" w:type="pct"/>
          </w:tcPr>
          <w:p w14:paraId="575CD0DE" w14:textId="47468E33" w:rsidR="00ED179F" w:rsidRDefault="00ED179F" w:rsidP="00FD1F4C">
            <w:pPr>
              <w:rPr>
                <w:rFonts w:eastAsiaTheme="minorEastAsia" w:hint="eastAsia"/>
                <w:lang w:eastAsia="zh-CN"/>
              </w:rPr>
            </w:pPr>
            <w:r>
              <w:rPr>
                <w:rFonts w:eastAsiaTheme="minorEastAsia"/>
                <w:lang w:eastAsia="zh-CN"/>
              </w:rPr>
              <w:t>OK</w:t>
            </w:r>
          </w:p>
        </w:tc>
      </w:tr>
    </w:tbl>
    <w:p w14:paraId="52673C22" w14:textId="77777777" w:rsidR="00D13848" w:rsidRPr="00F11381" w:rsidRDefault="00D13848" w:rsidP="00EE65B2"/>
    <w:p w14:paraId="5D7AD7D1" w14:textId="77777777" w:rsidR="00945397" w:rsidRDefault="00945397" w:rsidP="00945397">
      <w:pPr>
        <w:pStyle w:val="Heading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67"/>
        <w:gridCol w:w="8188"/>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w:t>
            </w:r>
            <w:r w:rsidRPr="00B136F4">
              <w:rPr>
                <w:rFonts w:eastAsia="SimSun"/>
                <w:iCs/>
              </w:rPr>
              <w:lastRenderedPageBreak/>
              <w:t>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4D6AB3" w:rsidRPr="00902581" w14:paraId="3A2E5C4F" w14:textId="77777777" w:rsidTr="00185E02">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185E02">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185E02">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E44F88">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E44F88">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146A93">
        <w:tc>
          <w:tcPr>
            <w:tcW w:w="932" w:type="pct"/>
          </w:tcPr>
          <w:p w14:paraId="2512523A"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FD1F4C">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146A93">
        <w:tc>
          <w:tcPr>
            <w:tcW w:w="932" w:type="pct"/>
          </w:tcPr>
          <w:p w14:paraId="0EE72182" w14:textId="4DEC4BB9" w:rsidR="0056201D" w:rsidRDefault="0056201D" w:rsidP="00FD1F4C">
            <w:pPr>
              <w:rPr>
                <w:rFonts w:eastAsiaTheme="minorEastAsia" w:hint="eastAsia"/>
                <w:bCs/>
                <w:lang w:eastAsia="zh-CN"/>
              </w:rPr>
            </w:pPr>
            <w:r>
              <w:rPr>
                <w:rFonts w:eastAsiaTheme="minorEastAsia"/>
                <w:bCs/>
                <w:lang w:eastAsia="zh-CN"/>
              </w:rPr>
              <w:t>Intel</w:t>
            </w:r>
          </w:p>
        </w:tc>
        <w:tc>
          <w:tcPr>
            <w:tcW w:w="4068" w:type="pct"/>
          </w:tcPr>
          <w:p w14:paraId="53FD3E96" w14:textId="1F6A2B3F" w:rsidR="0056201D" w:rsidRDefault="0056201D" w:rsidP="00FD1F4C">
            <w:pPr>
              <w:rPr>
                <w:rFonts w:eastAsiaTheme="minorEastAsia"/>
                <w:lang w:eastAsia="zh-CN"/>
              </w:rPr>
            </w:pPr>
            <w:r>
              <w:rPr>
                <w:rFonts w:eastAsiaTheme="minorEastAsia"/>
                <w:lang w:eastAsia="zh-CN"/>
              </w:rPr>
              <w:t>Up to RAN2</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Heading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837"/>
        <w:gridCol w:w="8018"/>
      </w:tblGrid>
      <w:tr w:rsidR="003B6B17" w:rsidRPr="00902581" w14:paraId="18BBCB60" w14:textId="77777777" w:rsidTr="00743F8E">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743F8E">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743F8E">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743F8E">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743F8E">
        <w:tc>
          <w:tcPr>
            <w:tcW w:w="932" w:type="pct"/>
          </w:tcPr>
          <w:p w14:paraId="29F9FEEF" w14:textId="77777777" w:rsidR="003B6B17" w:rsidRDefault="003B6B17" w:rsidP="00743F8E">
            <w:pPr>
              <w:rPr>
                <w:bCs/>
              </w:rPr>
            </w:pPr>
            <w:r>
              <w:rPr>
                <w:bCs/>
              </w:rPr>
              <w:lastRenderedPageBreak/>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743F8E">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743F8E">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bl>
    <w:p w14:paraId="16696A92" w14:textId="77777777" w:rsidR="003B6B17" w:rsidRDefault="003B6B17" w:rsidP="003B6B17"/>
    <w:p w14:paraId="652A2EB7" w14:textId="77777777" w:rsidR="003B6B17" w:rsidRPr="00902581" w:rsidRDefault="003B6B17" w:rsidP="003B6B17">
      <w:pPr>
        <w:pStyle w:val="Heading3"/>
      </w:pPr>
      <w:bookmarkStart w:id="23" w:name="_Toc62466233"/>
      <w:r w:rsidRPr="00902581">
        <w:t>Companies views</w:t>
      </w:r>
      <w:bookmarkEnd w:id="23"/>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FD1F4C">
            <w:pPr>
              <w:rPr>
                <w:rFonts w:eastAsiaTheme="minorEastAsia" w:hint="eastAsia"/>
                <w:bCs/>
                <w:lang w:eastAsia="zh-CN"/>
              </w:rPr>
            </w:pPr>
            <w:r>
              <w:rPr>
                <w:rFonts w:eastAsiaTheme="minorEastAsia"/>
                <w:bCs/>
                <w:lang w:eastAsia="zh-CN"/>
              </w:rPr>
              <w:t>Intel</w:t>
            </w:r>
          </w:p>
        </w:tc>
        <w:tc>
          <w:tcPr>
            <w:tcW w:w="4068" w:type="pct"/>
          </w:tcPr>
          <w:p w14:paraId="428EEA12" w14:textId="2139F018" w:rsidR="008E3C75" w:rsidRDefault="008E3C75" w:rsidP="00FD1F4C">
            <w:pPr>
              <w:rPr>
                <w:rFonts w:eastAsiaTheme="minorEastAsia" w:hint="eastAsia"/>
                <w:lang w:eastAsia="zh-CN"/>
              </w:rPr>
            </w:pPr>
            <w:r>
              <w:rPr>
                <w:rFonts w:eastAsiaTheme="minorEastAsia"/>
                <w:lang w:eastAsia="zh-CN"/>
              </w:rPr>
              <w:t>Agree</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4" w:name="_Toc62466234"/>
      <w:r w:rsidRPr="00902581">
        <w:rPr>
          <w:sz w:val="32"/>
        </w:rPr>
        <w:t>Issue#</w:t>
      </w:r>
      <w:r>
        <w:rPr>
          <w:sz w:val="32"/>
        </w:rPr>
        <w:t>3-2</w:t>
      </w:r>
      <w:r w:rsidRPr="00902581">
        <w:rPr>
          <w:sz w:val="32"/>
        </w:rPr>
        <w:t xml:space="preserve">: </w:t>
      </w:r>
      <w:r>
        <w:rPr>
          <w:sz w:val="32"/>
        </w:rPr>
        <w:t>Indication of frequency precompensation offset on DL</w:t>
      </w:r>
      <w:bookmarkEnd w:id="24"/>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837"/>
        <w:gridCol w:w="8018"/>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Default="003B6B17" w:rsidP="00743F8E">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 xml:space="preserve">Observation 14: The supported cell diameter depends on the distance for which the UE-specific </w:t>
            </w:r>
            <w:r w:rsidRPr="0001119B">
              <w:lastRenderedPageBreak/>
              <w:t>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lastRenderedPageBreak/>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Indication of the reference point location w.r.t. which the Doppler DL precompensation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837"/>
        <w:gridCol w:w="8018"/>
      </w:tblGrid>
      <w:tr w:rsidR="003B6B17" w:rsidRPr="00902581" w14:paraId="4701416E" w14:textId="77777777" w:rsidTr="00743F8E">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743F8E">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743F8E">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743F8E">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743F8E">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743F8E">
        <w:tc>
          <w:tcPr>
            <w:tcW w:w="932" w:type="pct"/>
          </w:tcPr>
          <w:p w14:paraId="52AF7A2A" w14:textId="77777777" w:rsidR="003B6B17" w:rsidRDefault="003B6B17" w:rsidP="00743F8E">
            <w:pPr>
              <w:rPr>
                <w:bCs/>
              </w:rPr>
            </w:pPr>
            <w:r>
              <w:rPr>
                <w:bCs/>
              </w:rPr>
              <w:lastRenderedPageBreak/>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743F8E">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743F8E">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743F8E">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743F8E">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bl>
    <w:p w14:paraId="2F1806B6" w14:textId="77777777" w:rsidR="003B6B17" w:rsidRDefault="003B6B17" w:rsidP="003B6B17"/>
    <w:p w14:paraId="47C63322" w14:textId="77777777" w:rsidR="003B6B17" w:rsidRPr="00902581" w:rsidRDefault="003B6B17" w:rsidP="003B6B17">
      <w:pPr>
        <w:pStyle w:val="Heading3"/>
      </w:pPr>
      <w:bookmarkStart w:id="25" w:name="_Toc62466235"/>
      <w:r w:rsidRPr="00902581">
        <w:t>Companies views</w:t>
      </w:r>
      <w:bookmarkEnd w:id="25"/>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837"/>
        <w:gridCol w:w="8018"/>
      </w:tblGrid>
      <w:tr w:rsidR="003B6B17" w:rsidRPr="00902581" w14:paraId="2ED75B09" w14:textId="77777777" w:rsidTr="00743F8E">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743F8E">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E44F88">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E44F88">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9E75DD">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9E75DD">
        <w:tc>
          <w:tcPr>
            <w:tcW w:w="932" w:type="pct"/>
          </w:tcPr>
          <w:p w14:paraId="1FE1A56E" w14:textId="15D870D3" w:rsidR="009F0A9D" w:rsidRDefault="006B7314" w:rsidP="009E75DD">
            <w:pPr>
              <w:rPr>
                <w:rFonts w:eastAsiaTheme="minorEastAsia" w:hint="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26" w:name="_Toc62466236"/>
      <w:r w:rsidRPr="00902581">
        <w:rPr>
          <w:sz w:val="32"/>
        </w:rPr>
        <w:lastRenderedPageBreak/>
        <w:t>Issue#</w:t>
      </w:r>
      <w:r>
        <w:rPr>
          <w:sz w:val="32"/>
        </w:rPr>
        <w:t>3-3</w:t>
      </w:r>
      <w:r w:rsidRPr="00902581">
        <w:rPr>
          <w:sz w:val="32"/>
        </w:rPr>
        <w:t xml:space="preserve">: </w:t>
      </w:r>
      <w:r>
        <w:rPr>
          <w:sz w:val="32"/>
        </w:rPr>
        <w:t>Indication of precompensation frequency offset on UL</w:t>
      </w:r>
      <w:bookmarkEnd w:id="26"/>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837"/>
        <w:gridCol w:w="8018"/>
      </w:tblGrid>
      <w:tr w:rsidR="003B6B17" w:rsidRPr="00902581" w14:paraId="07F8710B" w14:textId="77777777" w:rsidTr="00743F8E">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743F8E">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743F8E">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743F8E">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743F8E">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743F8E">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743F8E">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w:t>
            </w:r>
            <w:r w:rsidRPr="00EB7E47">
              <w:lastRenderedPageBreak/>
              <w:t>Doppler shift on service link w.r.t a gNB’s uplink nominal frequency.</w:t>
            </w:r>
          </w:p>
        </w:tc>
      </w:tr>
      <w:tr w:rsidR="003B6B17" w:rsidRPr="00902581" w14:paraId="0D619A46" w14:textId="77777777" w:rsidTr="00743F8E">
        <w:tc>
          <w:tcPr>
            <w:tcW w:w="932" w:type="pct"/>
          </w:tcPr>
          <w:p w14:paraId="7AFA799E" w14:textId="77777777" w:rsidR="003B6B17" w:rsidRDefault="003B6B17" w:rsidP="00743F8E">
            <w:pPr>
              <w:rPr>
                <w:bCs/>
              </w:rPr>
            </w:pPr>
            <w:r>
              <w:rPr>
                <w:bCs/>
              </w:rPr>
              <w:lastRenderedPageBreak/>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743F8E">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bl>
    <w:p w14:paraId="67F3E6A0" w14:textId="77777777" w:rsidR="003B6B17" w:rsidRDefault="003B6B17" w:rsidP="003B6B17"/>
    <w:p w14:paraId="12E383FC" w14:textId="77777777" w:rsidR="003B6B17" w:rsidRPr="00902581" w:rsidRDefault="003B6B17" w:rsidP="003B6B17">
      <w:pPr>
        <w:pStyle w:val="Heading3"/>
      </w:pPr>
      <w:bookmarkStart w:id="27" w:name="_Toc62466237"/>
      <w:r w:rsidRPr="00902581">
        <w:t>Companies views</w:t>
      </w:r>
      <w:bookmarkEnd w:id="27"/>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837"/>
        <w:gridCol w:w="8018"/>
      </w:tblGrid>
      <w:tr w:rsidR="003B6B17" w:rsidRPr="00902581" w14:paraId="2EF9721E" w14:textId="77777777" w:rsidTr="00743F8E">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98100B">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E44F88">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E44F88">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FD1F4C">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FD1F4C">
        <w:tc>
          <w:tcPr>
            <w:tcW w:w="932" w:type="pct"/>
          </w:tcPr>
          <w:p w14:paraId="434DECDC" w14:textId="73504CBB" w:rsidR="0069227B" w:rsidRDefault="0069227B" w:rsidP="00445655">
            <w:pPr>
              <w:rPr>
                <w:rFonts w:eastAsiaTheme="minorEastAsia" w:hint="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hint="eastAsia"/>
                <w:lang w:eastAsia="zh-CN"/>
              </w:rPr>
            </w:pPr>
            <w:r>
              <w:rPr>
                <w:rFonts w:eastAsiaTheme="minorEastAsia"/>
                <w:lang w:eastAsia="zh-CN"/>
              </w:rPr>
              <w:t>We are OK with this proposal if it is applied to compensate for feeder link Doppler.</w:t>
            </w:r>
          </w:p>
        </w:tc>
      </w:tr>
    </w:tbl>
    <w:p w14:paraId="5FFDA580" w14:textId="77777777" w:rsidR="003B6B17" w:rsidRPr="003B6B17" w:rsidRDefault="003B6B17" w:rsidP="0098100B"/>
    <w:p w14:paraId="20C30D59" w14:textId="77777777" w:rsidR="007F1B4A" w:rsidRDefault="007F1B4A" w:rsidP="00DE5015">
      <w:pPr>
        <w:pStyle w:val="Heading1"/>
      </w:pPr>
      <w:bookmarkStart w:id="28" w:name="_Toc62466238"/>
      <w:r w:rsidRPr="00902581">
        <w:lastRenderedPageBreak/>
        <w:t>Issue#</w:t>
      </w:r>
      <w:r w:rsidR="00DE5015">
        <w:t>4</w:t>
      </w:r>
      <w:r w:rsidRPr="00902581">
        <w:t xml:space="preserve">: </w:t>
      </w:r>
      <w:r>
        <w:t>Close control loop for UL frequency alignment</w:t>
      </w:r>
      <w:bookmarkEnd w:id="28"/>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837"/>
        <w:gridCol w:w="8018"/>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29" w:name="_Toc62466239"/>
      <w:r w:rsidRPr="00902581">
        <w:t>Companies views</w:t>
      </w:r>
      <w:bookmarkEnd w:id="29"/>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836"/>
        <w:gridCol w:w="7246"/>
      </w:tblGrid>
      <w:tr w:rsidR="007F1B4A" w:rsidRPr="00902581" w14:paraId="729A0F04" w14:textId="77777777" w:rsidTr="0044565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44565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44565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44565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445655">
        <w:tc>
          <w:tcPr>
            <w:tcW w:w="1011" w:type="pct"/>
          </w:tcPr>
          <w:p w14:paraId="00ED0F58" w14:textId="77777777" w:rsidR="00445655" w:rsidRPr="00A342C5" w:rsidRDefault="00445655" w:rsidP="00FD1F4C">
            <w:pPr>
              <w:rPr>
                <w:rFonts w:eastAsiaTheme="minorEastAsia"/>
                <w:bCs/>
                <w:lang w:eastAsia="zh-CN"/>
              </w:rPr>
            </w:pPr>
            <w:bookmarkStart w:id="30" w:name="_Toc62466240"/>
            <w:r>
              <w:rPr>
                <w:rFonts w:eastAsiaTheme="minorEastAsia"/>
                <w:bCs/>
                <w:lang w:eastAsia="zh-CN"/>
              </w:rPr>
              <w:t>ZTE</w:t>
            </w:r>
          </w:p>
        </w:tc>
        <w:tc>
          <w:tcPr>
            <w:tcW w:w="3989" w:type="pct"/>
          </w:tcPr>
          <w:p w14:paraId="21724D75" w14:textId="77777777" w:rsidR="00445655" w:rsidRPr="00A342C5" w:rsidRDefault="00445655" w:rsidP="00FD1F4C">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445655">
        <w:tc>
          <w:tcPr>
            <w:tcW w:w="1011" w:type="pct"/>
          </w:tcPr>
          <w:p w14:paraId="684CAA9E" w14:textId="6549BCBA" w:rsidR="00471FED" w:rsidRDefault="00471FED" w:rsidP="00FD1F4C">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FD1F4C">
            <w:pPr>
              <w:tabs>
                <w:tab w:val="left" w:pos="720"/>
              </w:tabs>
              <w:rPr>
                <w:rFonts w:eastAsiaTheme="minorEastAsia" w:hint="eastAsia"/>
                <w:lang w:eastAsia="zh-CN"/>
              </w:rPr>
            </w:pPr>
            <w:r>
              <w:rPr>
                <w:rFonts w:eastAsiaTheme="minorEastAsia"/>
                <w:lang w:eastAsia="zh-CN"/>
              </w:rPr>
              <w:t>Same view as Huawei</w:t>
            </w:r>
          </w:p>
        </w:tc>
      </w:tr>
    </w:tbl>
    <w:p w14:paraId="4142C060" w14:textId="77777777" w:rsidR="00391B44" w:rsidRPr="00EE1E7F" w:rsidRDefault="00391B44" w:rsidP="00EB427D">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0"/>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lastRenderedPageBreak/>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837"/>
        <w:gridCol w:w="8018"/>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31" w:name="_Toc62466241"/>
      <w:r w:rsidRPr="00902581">
        <w:t>Companies views</w:t>
      </w:r>
      <w:bookmarkEnd w:id="31"/>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lastRenderedPageBreak/>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837"/>
        <w:gridCol w:w="8018"/>
      </w:tblGrid>
      <w:tr w:rsidR="00E74EC6" w:rsidRPr="00902581" w14:paraId="3BC23A2E" w14:textId="77777777" w:rsidTr="00185E02">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185E02">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E44F88">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E44F88">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E44F88">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E44F88">
        <w:tc>
          <w:tcPr>
            <w:tcW w:w="932" w:type="pct"/>
          </w:tcPr>
          <w:p w14:paraId="5325EF61" w14:textId="257CFD5C" w:rsidR="0065064B" w:rsidRDefault="0065064B" w:rsidP="00615EA9">
            <w:pPr>
              <w:rPr>
                <w:rFonts w:eastAsiaTheme="minorEastAsia" w:hint="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837"/>
        <w:gridCol w:w="8018"/>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837"/>
        <w:gridCol w:w="8018"/>
      </w:tblGrid>
      <w:tr w:rsidR="00E44F88" w:rsidRPr="00902581" w14:paraId="065CD7AF" w14:textId="77777777" w:rsidTr="000934D8">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0934D8">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FD1F4C">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FD1F4C">
        <w:tc>
          <w:tcPr>
            <w:tcW w:w="932" w:type="pct"/>
          </w:tcPr>
          <w:p w14:paraId="042E3CB4" w14:textId="06296E89" w:rsidR="00842BC3" w:rsidRDefault="00842BC3" w:rsidP="00842BC3">
            <w:pPr>
              <w:rPr>
                <w:rFonts w:eastAsiaTheme="minorEastAsia" w:hint="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hint="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bl>
    <w:p w14:paraId="73D73835" w14:textId="77777777" w:rsidR="00391B44" w:rsidRPr="00E44F88" w:rsidRDefault="00391B44" w:rsidP="00391B44">
      <w:pPr>
        <w:rPr>
          <w:b/>
          <w:bCs/>
        </w:rPr>
      </w:pPr>
    </w:p>
    <w:p w14:paraId="2294341B" w14:textId="77777777" w:rsidR="004E2835" w:rsidRDefault="003E6C72" w:rsidP="00A26247">
      <w:pPr>
        <w:pStyle w:val="Heading1"/>
      </w:pPr>
      <w:bookmarkStart w:id="32" w:name="_Toc62466242"/>
      <w:r>
        <w:t>Issue#6</w:t>
      </w:r>
      <w:r w:rsidR="00CF499D" w:rsidRPr="00902581">
        <w:t xml:space="preserve">: </w:t>
      </w:r>
      <w:r w:rsidR="004E2835" w:rsidRPr="00902581">
        <w:t>Serving satellite ephemeris format</w:t>
      </w:r>
      <w:bookmarkEnd w:id="32"/>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lastRenderedPageBreak/>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837"/>
        <w:gridCol w:w="8018"/>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lastRenderedPageBreak/>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 xml:space="preserve">Observation 13: Satellite position error &lt; 120 m requirement and satellite velocity 1.5 m/s </w:t>
            </w:r>
            <w:r>
              <w:lastRenderedPageBreak/>
              <w:t>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33" w:name="_Toc62466243"/>
      <w:r w:rsidRPr="00902581">
        <w:t>Company views</w:t>
      </w:r>
      <w:bookmarkEnd w:id="33"/>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 xml:space="preserve">such that the quantization noise impact on orbit </w:t>
            </w:r>
            <w:r w:rsidRPr="00DF2FBA">
              <w:rPr>
                <w:rFonts w:eastAsia="PMingLiU"/>
                <w:sz w:val="20"/>
                <w:lang w:val="en-GB"/>
              </w:rPr>
              <w:lastRenderedPageBreak/>
              <w:t>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lastRenderedPageBreak/>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837"/>
        <w:gridCol w:w="8018"/>
      </w:tblGrid>
      <w:tr w:rsidR="00E63E37" w:rsidRPr="00902581" w14:paraId="08B4B1CC" w14:textId="77777777" w:rsidTr="00185E02">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185E02">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E44F88">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E44F88">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FD1F4C">
        <w:tc>
          <w:tcPr>
            <w:tcW w:w="932" w:type="pct"/>
          </w:tcPr>
          <w:p w14:paraId="4E0D50D5" w14:textId="77777777" w:rsidR="00615EA9" w:rsidRPr="002A44A0" w:rsidRDefault="00615EA9"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FD1F4C">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FD1F4C">
        <w:tc>
          <w:tcPr>
            <w:tcW w:w="932" w:type="pct"/>
          </w:tcPr>
          <w:p w14:paraId="72664117" w14:textId="5461705C" w:rsidR="00EB520A" w:rsidRDefault="00EB520A" w:rsidP="00FD1F4C">
            <w:pPr>
              <w:rPr>
                <w:rFonts w:eastAsiaTheme="minorEastAsia" w:hint="eastAsia"/>
                <w:bCs/>
                <w:lang w:eastAsia="zh-CN"/>
              </w:rPr>
            </w:pPr>
            <w:r>
              <w:rPr>
                <w:rFonts w:eastAsiaTheme="minorEastAsia"/>
                <w:bCs/>
                <w:lang w:eastAsia="zh-CN"/>
              </w:rPr>
              <w:t>Intel</w:t>
            </w:r>
          </w:p>
        </w:tc>
        <w:tc>
          <w:tcPr>
            <w:tcW w:w="4068" w:type="pct"/>
          </w:tcPr>
          <w:p w14:paraId="57DC07EA" w14:textId="0397D340" w:rsidR="00EB520A" w:rsidRDefault="00EB520A" w:rsidP="00FD1F4C">
            <w:pPr>
              <w:rPr>
                <w:rFonts w:eastAsiaTheme="minorEastAsia"/>
                <w:lang w:eastAsia="zh-CN"/>
              </w:rPr>
            </w:pPr>
            <w:r>
              <w:rPr>
                <w:rFonts w:eastAsiaTheme="minorEastAsia"/>
                <w:lang w:eastAsia="zh-CN"/>
              </w:rPr>
              <w:t>Support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837"/>
        <w:gridCol w:w="8018"/>
      </w:tblGrid>
      <w:tr w:rsidR="003E6C72" w:rsidRPr="00902581" w14:paraId="36331611" w14:textId="77777777" w:rsidTr="00743F8E">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743F8E">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E44F88">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E44F88">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FD1F4C">
        <w:tc>
          <w:tcPr>
            <w:tcW w:w="932" w:type="pct"/>
          </w:tcPr>
          <w:p w14:paraId="5BF9C256" w14:textId="77777777" w:rsidR="00131D9D" w:rsidRPr="00260AB3" w:rsidRDefault="00131D9D" w:rsidP="00FD1F4C">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17A139DB" w14:textId="77777777" w:rsidR="00131D9D" w:rsidRPr="00260AB3" w:rsidRDefault="00131D9D" w:rsidP="00FD1F4C">
            <w:pPr>
              <w:rPr>
                <w:rFonts w:eastAsiaTheme="minorEastAsia"/>
                <w:lang w:eastAsia="zh-CN"/>
              </w:rPr>
            </w:pPr>
            <w:r>
              <w:rPr>
                <w:rFonts w:eastAsiaTheme="minorEastAsia"/>
                <w:lang w:eastAsia="zh-CN"/>
              </w:rPr>
              <w:t>Supportive</w:t>
            </w:r>
          </w:p>
        </w:tc>
      </w:tr>
      <w:tr w:rsidR="00AC0636" w:rsidRPr="00260AB3" w14:paraId="79737BDF" w14:textId="77777777" w:rsidTr="00FD1F4C">
        <w:tc>
          <w:tcPr>
            <w:tcW w:w="932" w:type="pct"/>
          </w:tcPr>
          <w:p w14:paraId="77913F16" w14:textId="2682B2D8" w:rsidR="00AC0636" w:rsidRDefault="00AC0636" w:rsidP="00FD1F4C">
            <w:pPr>
              <w:rPr>
                <w:rFonts w:eastAsiaTheme="minorEastAsia" w:hint="eastAsia"/>
                <w:bCs/>
                <w:lang w:eastAsia="zh-CN"/>
              </w:rPr>
            </w:pPr>
            <w:r>
              <w:rPr>
                <w:rFonts w:eastAsiaTheme="minorEastAsia"/>
                <w:bCs/>
                <w:lang w:eastAsia="zh-CN"/>
              </w:rPr>
              <w:t>Intel</w:t>
            </w:r>
          </w:p>
        </w:tc>
        <w:tc>
          <w:tcPr>
            <w:tcW w:w="4068" w:type="pct"/>
          </w:tcPr>
          <w:p w14:paraId="1A2E3351" w14:textId="6D7FBB7F" w:rsidR="00AC0636" w:rsidRDefault="00AC0636" w:rsidP="00FD1F4C">
            <w:pPr>
              <w:rPr>
                <w:rFonts w:eastAsiaTheme="minorEastAsia"/>
                <w:lang w:eastAsia="zh-CN"/>
              </w:rPr>
            </w:pPr>
            <w:r>
              <w:rPr>
                <w:rFonts w:eastAsiaTheme="minorEastAsia"/>
                <w:lang w:eastAsia="zh-CN"/>
              </w:rPr>
              <w:t>Support</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837"/>
        <w:gridCol w:w="8018"/>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FD1F4C">
        <w:tc>
          <w:tcPr>
            <w:tcW w:w="932" w:type="pct"/>
          </w:tcPr>
          <w:p w14:paraId="731B1C96" w14:textId="77777777" w:rsidR="00131D9D" w:rsidRPr="000352AC" w:rsidRDefault="00131D9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FD1F4C">
            <w:pPr>
              <w:rPr>
                <w:rFonts w:eastAsiaTheme="minorEastAsia"/>
                <w:lang w:eastAsia="zh-CN"/>
              </w:rPr>
            </w:pPr>
            <w:r>
              <w:rPr>
                <w:rFonts w:eastAsiaTheme="minorEastAsia"/>
                <w:lang w:eastAsia="zh-CN"/>
              </w:rPr>
              <w:t xml:space="preserve">This proposal seems to be overlapped with 6-2. </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Heading1"/>
      </w:pPr>
      <w:bookmarkStart w:id="34" w:name="_Ref55135364"/>
      <w:bookmarkStart w:id="35"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837"/>
        <w:gridCol w:w="8018"/>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w:t>
            </w:r>
            <w:r w:rsidRPr="004E3384">
              <w:lastRenderedPageBreak/>
              <w:t>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lastRenderedPageBreak/>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36" w:name="_Toc62466245"/>
      <w:r w:rsidRPr="00902581">
        <w:t>Company views</w:t>
      </w:r>
      <w:bookmarkEnd w:id="36"/>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5947E77C" w14:textId="77777777" w:rsidTr="00E83ABC">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8853FA">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E44F88">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E44F88">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1F176D">
        <w:tc>
          <w:tcPr>
            <w:tcW w:w="932" w:type="pct"/>
          </w:tcPr>
          <w:p w14:paraId="71019E3E" w14:textId="77777777" w:rsidR="001F176D" w:rsidRPr="00F62DB1" w:rsidRDefault="001F176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FD1F4C">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1F176D">
        <w:tc>
          <w:tcPr>
            <w:tcW w:w="932" w:type="pct"/>
          </w:tcPr>
          <w:p w14:paraId="138B1C3E" w14:textId="57D64279" w:rsidR="00AC0636" w:rsidRDefault="00AC0636" w:rsidP="00FD1F4C">
            <w:pPr>
              <w:rPr>
                <w:rFonts w:eastAsiaTheme="minorEastAsia" w:hint="eastAsia"/>
                <w:bCs/>
                <w:lang w:eastAsia="zh-CN"/>
              </w:rPr>
            </w:pPr>
            <w:r>
              <w:rPr>
                <w:rFonts w:eastAsiaTheme="minorEastAsia"/>
                <w:bCs/>
                <w:lang w:eastAsia="zh-CN"/>
              </w:rPr>
              <w:t>Intel</w:t>
            </w:r>
          </w:p>
        </w:tc>
        <w:tc>
          <w:tcPr>
            <w:tcW w:w="4068" w:type="pct"/>
          </w:tcPr>
          <w:p w14:paraId="5AC72128" w14:textId="744611E6" w:rsidR="00AC0636" w:rsidRDefault="00AC0636" w:rsidP="00FD1F4C">
            <w:pPr>
              <w:rPr>
                <w:rFonts w:eastAsiaTheme="minorEastAsia" w:hint="eastAsia"/>
                <w:lang w:eastAsia="zh-CN"/>
              </w:rPr>
            </w:pPr>
            <w:r>
              <w:rPr>
                <w:rFonts w:eastAsiaTheme="minorEastAsia"/>
                <w:lang w:eastAsia="zh-CN"/>
              </w:rPr>
              <w:t>OK</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Heading1"/>
      </w:pPr>
      <w:bookmarkStart w:id="37" w:name="_Ref54965867"/>
      <w:bookmarkStart w:id="38"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37"/>
      <w:bookmarkEnd w:id="38"/>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lastRenderedPageBreak/>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lastRenderedPageBreak/>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39" w:name="_Toc62466247"/>
      <w:r w:rsidRPr="00902581">
        <w:t>Company views</w:t>
      </w:r>
      <w:bookmarkEnd w:id="39"/>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TableGrid"/>
        <w:tblW w:w="5000" w:type="pct"/>
        <w:tblLook w:val="04A0" w:firstRow="1" w:lastRow="0" w:firstColumn="1" w:lastColumn="0" w:noHBand="0" w:noVBand="1"/>
      </w:tblPr>
      <w:tblGrid>
        <w:gridCol w:w="1837"/>
        <w:gridCol w:w="8018"/>
      </w:tblGrid>
      <w:tr w:rsidR="00320571" w:rsidRPr="00902581" w14:paraId="1A07356F" w14:textId="77777777" w:rsidTr="00E83ABC">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102E9B">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E44F88">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E44F88">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FD1F4C">
        <w:tc>
          <w:tcPr>
            <w:tcW w:w="932" w:type="pct"/>
          </w:tcPr>
          <w:p w14:paraId="7E7F27AD" w14:textId="77777777" w:rsidR="001F176D" w:rsidRPr="00372FC7" w:rsidRDefault="001F176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FD1F4C">
            <w:pPr>
              <w:rPr>
                <w:rFonts w:eastAsiaTheme="minorEastAsia"/>
                <w:lang w:eastAsia="zh-CN"/>
              </w:rPr>
            </w:pPr>
            <w:r>
              <w:rPr>
                <w:rFonts w:eastAsiaTheme="minorEastAsia"/>
                <w:lang w:eastAsia="zh-CN"/>
              </w:rPr>
              <w:t xml:space="preserve">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w:t>
            </w:r>
            <w:r>
              <w:rPr>
                <w:rFonts w:eastAsiaTheme="minorEastAsia"/>
                <w:lang w:eastAsia="zh-CN"/>
              </w:rPr>
              <w:lastRenderedPageBreak/>
              <w:t>velocity seems to be more RAN1/2 issue, e.g., frequency for updating, etc.</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40" w:name="_Toc62466248"/>
      <w:r w:rsidRPr="00F75096">
        <w:t>Issue#</w:t>
      </w:r>
      <w:r w:rsidR="00614166">
        <w:t>9</w:t>
      </w:r>
      <w:r w:rsidRPr="00F75096">
        <w:t>: UE centric precompensation</w:t>
      </w:r>
      <w:bookmarkEnd w:id="40"/>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837"/>
        <w:gridCol w:w="8018"/>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41" w:name="_Toc62466249"/>
      <w:r w:rsidRPr="00902581">
        <w:t>Company views</w:t>
      </w:r>
      <w:bookmarkEnd w:id="41"/>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TableGrid"/>
        <w:tblW w:w="5000" w:type="pct"/>
        <w:tblLook w:val="04A0" w:firstRow="1" w:lastRow="0" w:firstColumn="1" w:lastColumn="0" w:noHBand="0" w:noVBand="1"/>
      </w:tblPr>
      <w:tblGrid>
        <w:gridCol w:w="1837"/>
        <w:gridCol w:w="8018"/>
      </w:tblGrid>
      <w:tr w:rsidR="004D090A" w:rsidRPr="00902581" w14:paraId="5260EEAE" w14:textId="77777777" w:rsidTr="00185E02">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185E02">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E44F88">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E44F88">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FD1F4C">
        <w:tc>
          <w:tcPr>
            <w:tcW w:w="932" w:type="pct"/>
          </w:tcPr>
          <w:p w14:paraId="63B113D2" w14:textId="77777777" w:rsidR="001F176D" w:rsidRPr="001A7E4A" w:rsidRDefault="001F176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FD1F4C">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FD1F4C">
        <w:tc>
          <w:tcPr>
            <w:tcW w:w="932" w:type="pct"/>
          </w:tcPr>
          <w:p w14:paraId="1535131F" w14:textId="0AC82EAE" w:rsidR="00AF07BE" w:rsidRDefault="00AF07BE" w:rsidP="00FD1F4C">
            <w:pPr>
              <w:rPr>
                <w:rFonts w:eastAsiaTheme="minorEastAsia" w:hint="eastAsia"/>
                <w:bCs/>
                <w:lang w:eastAsia="zh-CN"/>
              </w:rPr>
            </w:pPr>
            <w:r>
              <w:rPr>
                <w:rFonts w:eastAsiaTheme="minorEastAsia"/>
                <w:bCs/>
                <w:lang w:eastAsia="zh-CN"/>
              </w:rPr>
              <w:t>Intel</w:t>
            </w:r>
          </w:p>
        </w:tc>
        <w:tc>
          <w:tcPr>
            <w:tcW w:w="4068" w:type="pct"/>
          </w:tcPr>
          <w:p w14:paraId="302B48A8" w14:textId="6D8DF8A4" w:rsidR="00AF07BE" w:rsidRDefault="00AF07BE" w:rsidP="00FD1F4C">
            <w:pPr>
              <w:rPr>
                <w:rFonts w:eastAsiaTheme="minorEastAsia"/>
                <w:lang w:eastAsia="zh-CN"/>
              </w:rPr>
            </w:pPr>
            <w:r>
              <w:rPr>
                <w:rFonts w:eastAsiaTheme="minorEastAsia"/>
                <w:lang w:eastAsia="zh-CN"/>
              </w:rPr>
              <w:t>Support the proposal</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Heading1"/>
        <w:rPr>
          <w:rFonts w:ascii="Times New Roman" w:hAnsi="Times New Roman"/>
        </w:rPr>
      </w:pPr>
      <w:bookmarkStart w:id="42" w:name="_Toc62466250"/>
      <w:r>
        <w:rPr>
          <w:rFonts w:ascii="Times New Roman" w:hAnsi="Times New Roman"/>
        </w:rPr>
        <w:lastRenderedPageBreak/>
        <w:t>Conclusion</w:t>
      </w:r>
      <w:bookmarkEnd w:id="42"/>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3"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3"/>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AD97A" w14:textId="77777777" w:rsidR="00BE43EA" w:rsidRDefault="00BE43EA">
      <w:r>
        <w:separator/>
      </w:r>
    </w:p>
  </w:endnote>
  <w:endnote w:type="continuationSeparator" w:id="0">
    <w:p w14:paraId="7C1C5784" w14:textId="77777777" w:rsidR="00BE43EA" w:rsidRDefault="00BE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ECD79" w14:textId="77777777" w:rsidR="00DA2710" w:rsidRDefault="00DA2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77777777" w:rsidR="000934D8" w:rsidRDefault="000934D8"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1F176D">
      <w:rPr>
        <w:rStyle w:val="PageNumber"/>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F176D">
      <w:rPr>
        <w:rStyle w:val="PageNumber"/>
      </w:rPr>
      <w:t>40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B8DB9" w14:textId="77777777" w:rsidR="00DA2710" w:rsidRDefault="00DA2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EFB7F" w14:textId="77777777" w:rsidR="00BE43EA" w:rsidRDefault="00BE43EA">
      <w:r>
        <w:separator/>
      </w:r>
    </w:p>
  </w:footnote>
  <w:footnote w:type="continuationSeparator" w:id="0">
    <w:p w14:paraId="577072AC" w14:textId="77777777" w:rsidR="00BE43EA" w:rsidRDefault="00BE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0934D8" w:rsidRDefault="000934D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7DC00" w14:textId="77777777" w:rsidR="00DA2710" w:rsidRDefault="00DA2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4151" w14:textId="77777777" w:rsidR="00DA2710" w:rsidRDefault="00DA2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8"/>
  </w:num>
  <w:num w:numId="4">
    <w:abstractNumId w:val="0"/>
  </w:num>
  <w:num w:numId="5">
    <w:abstractNumId w:val="22"/>
  </w:num>
  <w:num w:numId="6">
    <w:abstractNumId w:val="23"/>
  </w:num>
  <w:num w:numId="7">
    <w:abstractNumId w:val="8"/>
  </w:num>
  <w:num w:numId="8">
    <w:abstractNumId w:val="13"/>
  </w:num>
  <w:num w:numId="9">
    <w:abstractNumId w:val="7"/>
  </w:num>
  <w:num w:numId="10">
    <w:abstractNumId w:val="14"/>
  </w:num>
  <w:num w:numId="11">
    <w:abstractNumId w:val="3"/>
  </w:num>
  <w:num w:numId="12">
    <w:abstractNumId w:val="10"/>
  </w:num>
  <w:num w:numId="13">
    <w:abstractNumId w:val="11"/>
  </w:num>
  <w:num w:numId="14">
    <w:abstractNumId w:val="29"/>
  </w:num>
  <w:num w:numId="15">
    <w:abstractNumId w:val="26"/>
  </w:num>
  <w:num w:numId="16">
    <w:abstractNumId w:val="4"/>
  </w:num>
  <w:num w:numId="17">
    <w:abstractNumId w:val="17"/>
  </w:num>
  <w:num w:numId="18">
    <w:abstractNumId w:val="30"/>
  </w:num>
  <w:num w:numId="19">
    <w:abstractNumId w:val="15"/>
  </w:num>
  <w:num w:numId="20">
    <w:abstractNumId w:val="15"/>
  </w:num>
  <w:num w:numId="21">
    <w:abstractNumId w:val="25"/>
  </w:num>
  <w:num w:numId="22">
    <w:abstractNumId w:val="19"/>
  </w:num>
  <w:num w:numId="23">
    <w:abstractNumId w:val="2"/>
  </w:num>
  <w:num w:numId="24">
    <w:abstractNumId w:val="1"/>
  </w:num>
  <w:num w:numId="25">
    <w:abstractNumId w:val="21"/>
  </w:num>
  <w:num w:numId="26">
    <w:abstractNumId w:val="31"/>
  </w:num>
  <w:num w:numId="27">
    <w:abstractNumId w:val="6"/>
  </w:num>
  <w:num w:numId="28">
    <w:abstractNumId w:val="28"/>
  </w:num>
  <w:num w:numId="29">
    <w:abstractNumId w:val="24"/>
  </w:num>
  <w:num w:numId="30">
    <w:abstractNumId w:val="27"/>
  </w:num>
  <w:num w:numId="31">
    <w:abstractNumId w:val="16"/>
  </w:num>
  <w:num w:numId="32">
    <w:abstractNumId w:val="5"/>
  </w:num>
  <w:num w:numId="33">
    <w:abstractNumId w:val="20"/>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90041"/>
    <w:rsid w:val="004904D4"/>
    <w:rsid w:val="00490C92"/>
    <w:rsid w:val="00491966"/>
    <w:rsid w:val="00491B2B"/>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3172"/>
    <w:rsid w:val="005449D7"/>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4356"/>
    <w:rsid w:val="00BF4799"/>
    <w:rsid w:val="00BF4C33"/>
    <w:rsid w:val="00BF5D84"/>
    <w:rsid w:val="00BF5E69"/>
    <w:rsid w:val="00BF5F01"/>
    <w:rsid w:val="00BF61CA"/>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11"/>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77DF6"/>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C17841E9-BC6E-4DAD-A76F-3454D7046B63}">
  <ds:schemaRefs>
    <ds:schemaRef ds:uri="http://schemas.openxmlformats.org/officeDocument/2006/bibliography"/>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40</Pages>
  <Words>16782</Words>
  <Characters>95663</Characters>
  <Application>Microsoft Office Word</Application>
  <DocSecurity>0</DocSecurity>
  <Lines>797</Lines>
  <Paragraphs>224</Paragraphs>
  <ScaleCrop>false</ScaleCrop>
  <HeadingPairs>
    <vt:vector size="10" baseType="variant">
      <vt:variant>
        <vt:lpstr>Titre</vt:lpstr>
      </vt:variant>
      <vt:variant>
        <vt:i4>1</vt:i4>
      </vt: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Victor</cp:lastModifiedBy>
  <cp:revision>45</cp:revision>
  <cp:lastPrinted>2017-11-03T16:53:00Z</cp:lastPrinted>
  <dcterms:created xsi:type="dcterms:W3CDTF">2021-01-26T12:33:00Z</dcterms:created>
  <dcterms:modified xsi:type="dcterms:W3CDTF">2021-01-26T16:23:00Z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