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970E9" w14:textId="77777777" w:rsidR="00526256" w:rsidRDefault="00064B3A">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af7"/>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aff0"/>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2"/>
      </w:pPr>
      <w:r>
        <w:lastRenderedPageBreak/>
        <w:t>Topic A1: Blind Decoding Capability, Multi-slot span monitoring</w:t>
      </w:r>
    </w:p>
    <w:p w14:paraId="74CA0E8B" w14:textId="77777777" w:rsidR="00526256" w:rsidRDefault="00064B3A">
      <w:pPr>
        <w:pStyle w:val="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ＭＳ 明朝" w:hint="eastAsia"/>
                <w:lang w:eastAsia="ja-JP"/>
              </w:rPr>
              <w:t>NTT DOCOMO</w:t>
            </w:r>
          </w:p>
        </w:tc>
        <w:tc>
          <w:tcPr>
            <w:tcW w:w="12176" w:type="dxa"/>
          </w:tcPr>
          <w:p w14:paraId="1EEAB19F" w14:textId="77777777" w:rsidR="00526256" w:rsidRDefault="00064B3A">
            <w:pPr>
              <w:rPr>
                <w:lang w:eastAsia="zh-CN"/>
              </w:rPr>
            </w:pPr>
            <w:r>
              <w:rPr>
                <w:rFonts w:eastAsia="ＭＳ 明朝"/>
                <w:lang w:eastAsia="ja-JP"/>
              </w:rPr>
              <w:t>Yes. We think single-slot span monitoring can</w:t>
            </w:r>
            <w:r>
              <w:rPr>
                <w:rFonts w:eastAsia="ＭＳ 明朝" w:hint="eastAsia"/>
                <w:lang w:eastAsia="ja-JP"/>
              </w:rPr>
              <w:t xml:space="preserve"> </w:t>
            </w:r>
            <w:r>
              <w:rPr>
                <w:rFonts w:eastAsia="ＭＳ 明朝"/>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ＭＳ 明朝"/>
                <w:lang w:eastAsia="ja-JP"/>
              </w:rPr>
            </w:pPr>
            <w:r>
              <w:rPr>
                <w:rFonts w:eastAsia="ＭＳ 明朝"/>
                <w:lang w:eastAsia="ja-JP"/>
              </w:rPr>
              <w:t>Sony</w:t>
            </w:r>
          </w:p>
        </w:tc>
        <w:tc>
          <w:tcPr>
            <w:tcW w:w="12176" w:type="dxa"/>
          </w:tcPr>
          <w:p w14:paraId="414C6A90" w14:textId="77777777" w:rsidR="00526256" w:rsidRDefault="00064B3A">
            <w:pPr>
              <w:rPr>
                <w:rFonts w:eastAsia="ＭＳ 明朝"/>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ＭＳ 明朝"/>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ja-JP"/>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ja-JP"/>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f0"/>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ＭＳ 明朝" w:hint="eastAsia"/>
                <w:lang w:eastAsia="ja-JP"/>
              </w:rPr>
              <w:t>NTT DOCOMO</w:t>
            </w:r>
          </w:p>
        </w:tc>
        <w:tc>
          <w:tcPr>
            <w:tcW w:w="12176" w:type="dxa"/>
          </w:tcPr>
          <w:p w14:paraId="7556D9E8" w14:textId="77777777" w:rsidR="00526256" w:rsidRDefault="00064B3A">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share the same view as Qualcomm.</w:t>
            </w:r>
          </w:p>
        </w:tc>
      </w:tr>
      <w:tr w:rsidR="00526256" w14:paraId="5B9823ED" w14:textId="77777777">
        <w:tc>
          <w:tcPr>
            <w:tcW w:w="2405" w:type="dxa"/>
          </w:tcPr>
          <w:p w14:paraId="3892603F" w14:textId="77777777" w:rsidR="00526256" w:rsidRDefault="00064B3A">
            <w:pPr>
              <w:rPr>
                <w:rFonts w:eastAsia="ＭＳ 明朝"/>
                <w:lang w:eastAsia="ja-JP"/>
              </w:rPr>
            </w:pPr>
            <w:r>
              <w:rPr>
                <w:lang w:eastAsia="zh-CN"/>
              </w:rPr>
              <w:t>Lenovo, Motorola Mobility</w:t>
            </w:r>
          </w:p>
        </w:tc>
        <w:tc>
          <w:tcPr>
            <w:tcW w:w="12176" w:type="dxa"/>
          </w:tcPr>
          <w:p w14:paraId="6283210F" w14:textId="77777777" w:rsidR="00526256" w:rsidRDefault="00064B3A">
            <w:pPr>
              <w:rPr>
                <w:rFonts w:eastAsia="ＭＳ 明朝"/>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ＭＳ 明朝" w:hint="eastAsia"/>
                <w:lang w:eastAsia="ja-JP"/>
              </w:rPr>
              <w:t>NTT DOCOMO</w:t>
            </w:r>
          </w:p>
        </w:tc>
        <w:tc>
          <w:tcPr>
            <w:tcW w:w="12176" w:type="dxa"/>
          </w:tcPr>
          <w:p w14:paraId="75873AD1" w14:textId="77777777" w:rsidR="00526256" w:rsidRDefault="00064B3A">
            <w:pPr>
              <w:rPr>
                <w:lang w:eastAsia="zh-CN"/>
              </w:rPr>
            </w:pPr>
            <w:r>
              <w:rPr>
                <w:rFonts w:eastAsia="ＭＳ 明朝"/>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ＭＳ 明朝"/>
                <w:lang w:eastAsia="ja-JP"/>
              </w:rPr>
            </w:pPr>
            <w:r>
              <w:rPr>
                <w:rFonts w:eastAsia="ＭＳ 明朝"/>
                <w:lang w:eastAsia="ja-JP"/>
              </w:rPr>
              <w:t>Sony</w:t>
            </w:r>
          </w:p>
        </w:tc>
        <w:tc>
          <w:tcPr>
            <w:tcW w:w="12176" w:type="dxa"/>
          </w:tcPr>
          <w:p w14:paraId="7565242E" w14:textId="77777777" w:rsidR="00526256" w:rsidRDefault="00064B3A">
            <w:pPr>
              <w:rPr>
                <w:rFonts w:eastAsia="ＭＳ 明朝"/>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ＭＳ 明朝"/>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aff7"/>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aff7"/>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aff7"/>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aff7"/>
              <w:numPr>
                <w:ilvl w:val="1"/>
                <w:numId w:val="15"/>
              </w:numPr>
              <w:snapToGrid/>
              <w:jc w:val="both"/>
            </w:pPr>
            <w:r>
              <w:t xml:space="preserve">X : Number of OFDM symbols within which the monitoring occasion occurs, </w:t>
            </w:r>
          </w:p>
          <w:p w14:paraId="59623E21" w14:textId="77777777" w:rsidR="00526256" w:rsidRDefault="00064B3A">
            <w:pPr>
              <w:pStyle w:val="aff7"/>
              <w:numPr>
                <w:ilvl w:val="1"/>
                <w:numId w:val="15"/>
              </w:numPr>
              <w:snapToGrid/>
              <w:jc w:val="both"/>
            </w:pPr>
            <w:r>
              <w:t>Y: minimum number of OFDM symbols between the start of different PDCCH Mos</w:t>
            </w:r>
          </w:p>
          <w:p w14:paraId="28F66D2E" w14:textId="77777777" w:rsidR="00526256" w:rsidRDefault="00064B3A">
            <w:pPr>
              <w:pStyle w:val="aff7"/>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aff7"/>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aff7"/>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ＭＳ 明朝" w:hint="eastAsia"/>
                <w:lang w:eastAsia="ja-JP"/>
              </w:rPr>
              <w:t>NTT</w:t>
            </w:r>
            <w:r>
              <w:rPr>
                <w:rFonts w:eastAsia="ＭＳ 明朝"/>
                <w:lang w:eastAsia="ja-JP"/>
              </w:rPr>
              <w:t xml:space="preserve"> DOCOMO</w:t>
            </w:r>
          </w:p>
        </w:tc>
        <w:tc>
          <w:tcPr>
            <w:tcW w:w="12176" w:type="dxa"/>
          </w:tcPr>
          <w:p w14:paraId="07BF538F" w14:textId="77777777" w:rsidR="00526256" w:rsidRDefault="00064B3A">
            <w:pPr>
              <w:rPr>
                <w:lang w:eastAsia="zh-CN"/>
              </w:rPr>
            </w:pPr>
            <w:r>
              <w:rPr>
                <w:rFonts w:eastAsia="ＭＳ 明朝"/>
                <w:lang w:eastAsia="ja-JP"/>
              </w:rPr>
              <w:t>We think at least m</w:t>
            </w:r>
            <w:r>
              <w:rPr>
                <w:rFonts w:eastAsia="ＭＳ 明朝" w:hint="eastAsia"/>
                <w:lang w:eastAsia="ja-JP"/>
              </w:rPr>
              <w:t xml:space="preserve">onitoring </w:t>
            </w:r>
            <w:r>
              <w:rPr>
                <w:rFonts w:eastAsia="ＭＳ 明朝"/>
                <w:lang w:eastAsia="ja-JP"/>
              </w:rPr>
              <w:t>periodicity per more than 1 slot should be supported.</w:t>
            </w:r>
            <w:r>
              <w:rPr>
                <w:rFonts w:eastAsia="ＭＳ 明朝" w:hint="eastAsia"/>
                <w:lang w:eastAsia="ja-JP"/>
              </w:rPr>
              <w:t xml:space="preserve"> </w:t>
            </w:r>
            <w:r>
              <w:rPr>
                <w:rFonts w:eastAsia="ＭＳ 明朝"/>
                <w:lang w:eastAsia="ja-JP"/>
              </w:rPr>
              <w:t>The number of OFDM symbols for a CORESET should not be larger than 3 unless there is any clear motivation to increase the PDCCH monitoring OFDM symbols.</w:t>
            </w:r>
            <w:r>
              <w:rPr>
                <w:rFonts w:eastAsia="ＭＳ 明朝" w:hint="eastAsia"/>
                <w:lang w:eastAsia="ja-JP"/>
              </w:rPr>
              <w:t xml:space="preserve"> </w:t>
            </w:r>
            <w:r>
              <w:rPr>
                <w:rFonts w:eastAsia="ＭＳ 明朝"/>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ＭＳ 明朝"/>
                <w:lang w:eastAsia="ja-JP"/>
              </w:rPr>
            </w:pPr>
            <w:r>
              <w:rPr>
                <w:lang w:eastAsia="zh-CN"/>
              </w:rPr>
              <w:t>Lenovo, Motorola Mobility</w:t>
            </w:r>
          </w:p>
        </w:tc>
        <w:tc>
          <w:tcPr>
            <w:tcW w:w="12176" w:type="dxa"/>
          </w:tcPr>
          <w:p w14:paraId="2768A6F5" w14:textId="77777777" w:rsidR="00526256" w:rsidRDefault="00064B3A">
            <w:pPr>
              <w:rPr>
                <w:rFonts w:eastAsia="ＭＳ 明朝"/>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3"/>
        <w:rPr>
          <w:lang w:val="en-GB" w:eastAsia="zh-CN"/>
        </w:rPr>
      </w:pPr>
      <w:bookmarkStart w:id="1" w:name="_GoBack"/>
      <w:bookmarkEnd w:id="1"/>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aff7"/>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aff7"/>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f0"/>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aff7"/>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aff7"/>
              <w:numPr>
                <w:ilvl w:val="1"/>
                <w:numId w:val="18"/>
              </w:numPr>
              <w:spacing w:line="254" w:lineRule="auto"/>
            </w:pPr>
            <w:r>
              <w:t>X=4 slots for 480 kHz SCS</w:t>
            </w:r>
          </w:p>
          <w:p w14:paraId="450417CF" w14:textId="77777777" w:rsidR="00526256" w:rsidRDefault="00064B3A">
            <w:pPr>
              <w:pStyle w:val="aff7"/>
              <w:numPr>
                <w:ilvl w:val="1"/>
                <w:numId w:val="18"/>
              </w:numPr>
              <w:spacing w:line="254" w:lineRule="auto"/>
            </w:pPr>
            <w:r>
              <w:t>X=8 slots for 960 kHz SCS</w:t>
            </w:r>
          </w:p>
          <w:p w14:paraId="491227D5" w14:textId="77777777" w:rsidR="00526256" w:rsidRDefault="00064B3A">
            <w:pPr>
              <w:pStyle w:val="aff7"/>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aff7"/>
              <w:numPr>
                <w:ilvl w:val="1"/>
                <w:numId w:val="18"/>
              </w:numPr>
              <w:spacing w:line="254" w:lineRule="auto"/>
            </w:pPr>
            <w:r>
              <w:t>X=2 slots for 480 kHz SCS</w:t>
            </w:r>
          </w:p>
          <w:p w14:paraId="7C9CFD4A" w14:textId="77777777" w:rsidR="00526256" w:rsidRDefault="00064B3A">
            <w:pPr>
              <w:pStyle w:val="aff7"/>
              <w:numPr>
                <w:ilvl w:val="1"/>
                <w:numId w:val="18"/>
              </w:numPr>
              <w:spacing w:line="254" w:lineRule="auto"/>
            </w:pPr>
            <w:r>
              <w:t>X=[4 2] slots for 960 kHz SCS.</w:t>
            </w:r>
          </w:p>
          <w:p w14:paraId="2DAE0C86" w14:textId="77777777" w:rsidR="00526256" w:rsidRDefault="00064B3A">
            <w:pPr>
              <w:pStyle w:val="aff7"/>
              <w:numPr>
                <w:ilvl w:val="0"/>
                <w:numId w:val="18"/>
              </w:numPr>
              <w:spacing w:line="254" w:lineRule="auto"/>
            </w:pPr>
            <w:r>
              <w:t>Finally, it’s preferable to support also slot-based operation. This can be determined as</w:t>
            </w:r>
          </w:p>
          <w:p w14:paraId="09234846" w14:textId="77777777" w:rsidR="00526256" w:rsidRDefault="00064B3A">
            <w:pPr>
              <w:pStyle w:val="aff7"/>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ja-JP"/>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ja-JP"/>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A3A71">
            <w:pPr>
              <w:rPr>
                <w:lang w:eastAsia="zh-CN"/>
              </w:rPr>
            </w:pPr>
            <w:r>
              <w:rPr>
                <w:lang w:eastAsia="zh-CN"/>
              </w:rPr>
              <w:lastRenderedPageBreak/>
              <w:t>CATT</w:t>
            </w:r>
          </w:p>
        </w:tc>
        <w:tc>
          <w:tcPr>
            <w:tcW w:w="12176" w:type="dxa"/>
          </w:tcPr>
          <w:p w14:paraId="01FAE94C" w14:textId="77777777" w:rsidR="004C537C" w:rsidRDefault="004C537C" w:rsidP="00CA3A71">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A3A71">
            <w:pPr>
              <w:rPr>
                <w:rFonts w:eastAsia="ＭＳ 明朝"/>
                <w:lang w:eastAsia="ja-JP"/>
              </w:rPr>
            </w:pPr>
            <w:r>
              <w:rPr>
                <w:rFonts w:eastAsia="ＭＳ 明朝" w:hint="eastAsia"/>
                <w:lang w:eastAsia="ja-JP"/>
              </w:rPr>
              <w:t>NTT</w:t>
            </w:r>
            <w:r>
              <w:rPr>
                <w:rFonts w:eastAsia="ＭＳ 明朝"/>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游ゴシック"/>
                <w:lang w:eastAsia="ja-JP"/>
              </w:rPr>
            </w:pPr>
            <w:r w:rsidRPr="00282C7E">
              <w:rPr>
                <w:rFonts w:eastAsia="游ゴシック"/>
                <w:lang w:eastAsia="ja-JP"/>
              </w:rPr>
              <w:t>We think both Case MSM-1-1 and MSM-1-2 should be supported. In addition, Case MSM-2 such as Apple mentioned in the 1</w:t>
            </w:r>
            <w:r w:rsidRPr="00282C7E">
              <w:rPr>
                <w:rFonts w:eastAsia="游ゴシック"/>
                <w:vertAlign w:val="superscript"/>
                <w:lang w:eastAsia="ja-JP"/>
              </w:rPr>
              <w:t>st</w:t>
            </w:r>
            <w:r w:rsidRPr="00282C7E">
              <w:rPr>
                <w:rFonts w:eastAsia="游ゴシック"/>
                <w:lang w:eastAsia="ja-JP"/>
              </w:rPr>
              <w:t xml:space="preserve"> round discussion can be farther studied, if it is necessary. </w:t>
            </w:r>
          </w:p>
        </w:tc>
      </w:tr>
    </w:tbl>
    <w:p w14:paraId="11455D50" w14:textId="77777777" w:rsidR="00526256" w:rsidRDefault="00526256">
      <w:pPr>
        <w:rPr>
          <w:lang w:eastAsia="zh-CN"/>
        </w:rPr>
      </w:pPr>
    </w:p>
    <w:p w14:paraId="2D1977BE" w14:textId="77777777" w:rsidR="00526256" w:rsidRDefault="00064B3A">
      <w:pPr>
        <w:pStyle w:val="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aff0"/>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w:t>
            </w:r>
            <w:r>
              <w:rPr>
                <w:lang w:eastAsia="zh-CN"/>
              </w:rPr>
              <w:lastRenderedPageBreak/>
              <w:t xml:space="preserve">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lastRenderedPageBreak/>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A3A71">
            <w:pPr>
              <w:rPr>
                <w:lang w:eastAsia="zh"/>
              </w:rPr>
            </w:pPr>
            <w:r>
              <w:rPr>
                <w:lang w:eastAsia="zh"/>
              </w:rPr>
              <w:t>CATT</w:t>
            </w:r>
          </w:p>
        </w:tc>
        <w:tc>
          <w:tcPr>
            <w:tcW w:w="12176" w:type="dxa"/>
          </w:tcPr>
          <w:p w14:paraId="2D8A9557" w14:textId="77777777" w:rsidR="004C537C" w:rsidRDefault="004C537C" w:rsidP="00CA3A71">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A3A71">
            <w:pPr>
              <w:rPr>
                <w:rFonts w:eastAsia="ＭＳ 明朝"/>
                <w:lang w:eastAsia="ja-JP"/>
              </w:rPr>
            </w:pPr>
            <w:r>
              <w:rPr>
                <w:rFonts w:eastAsia="ＭＳ 明朝" w:hint="eastAsia"/>
                <w:lang w:eastAsia="ja-JP"/>
              </w:rPr>
              <w:t>NTT DOCOMO</w:t>
            </w:r>
          </w:p>
        </w:tc>
        <w:tc>
          <w:tcPr>
            <w:tcW w:w="12176" w:type="dxa"/>
          </w:tcPr>
          <w:p w14:paraId="0A47BD10" w14:textId="7027F17F" w:rsidR="00282C7E" w:rsidRDefault="00282C7E" w:rsidP="00CA3A71">
            <w:pPr>
              <w:rPr>
                <w:lang w:eastAsia="zh-CN"/>
              </w:rPr>
            </w:pPr>
            <w:r>
              <w:rPr>
                <w:rFonts w:eastAsia="游ゴシック"/>
              </w:rPr>
              <w:t>We don</w:t>
            </w:r>
            <w:r>
              <w:rPr>
                <w:rFonts w:ascii="游ゴシック" w:eastAsia="游ゴシック" w:hAnsi="游ゴシック" w:hint="eastAsia"/>
              </w:rPr>
              <w:t>’</w:t>
            </w:r>
            <w:r>
              <w:rPr>
                <w:rFonts w:eastAsia="游ゴシック"/>
              </w:rPr>
              <w:t>t see any necessity to extend the duration at this time.</w:t>
            </w:r>
          </w:p>
        </w:tc>
      </w:tr>
    </w:tbl>
    <w:p w14:paraId="2E79DDB5" w14:textId="77777777" w:rsidR="00526256" w:rsidRDefault="00526256">
      <w:pPr>
        <w:rPr>
          <w:lang w:eastAsia="zh-CN"/>
        </w:rPr>
      </w:pPr>
    </w:p>
    <w:p w14:paraId="143B4272" w14:textId="77777777" w:rsidR="00526256" w:rsidRDefault="00064B3A">
      <w:pPr>
        <w:pStyle w:val="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ＭＳ 明朝" w:hint="eastAsia"/>
                <w:lang w:eastAsia="ja-JP"/>
              </w:rPr>
              <w:t>NTT DOCOMO</w:t>
            </w:r>
          </w:p>
        </w:tc>
        <w:tc>
          <w:tcPr>
            <w:tcW w:w="12176" w:type="dxa"/>
          </w:tcPr>
          <w:p w14:paraId="5EF293A1" w14:textId="77777777" w:rsidR="00526256" w:rsidRDefault="00064B3A">
            <w:pPr>
              <w:rPr>
                <w:lang w:eastAsia="zh-CN"/>
              </w:rPr>
            </w:pPr>
            <w:r>
              <w:rPr>
                <w:rFonts w:eastAsia="ＭＳ 明朝"/>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ＭＳ 明朝"/>
                <w:lang w:eastAsia="ja-JP"/>
              </w:rPr>
            </w:pPr>
            <w:r>
              <w:rPr>
                <w:rFonts w:eastAsia="ＭＳ 明朝"/>
                <w:lang w:eastAsia="ja-JP"/>
              </w:rPr>
              <w:t>Sony</w:t>
            </w:r>
          </w:p>
        </w:tc>
        <w:tc>
          <w:tcPr>
            <w:tcW w:w="12176" w:type="dxa"/>
          </w:tcPr>
          <w:p w14:paraId="7F4F2488" w14:textId="77777777" w:rsidR="00526256" w:rsidRDefault="00064B3A">
            <w:pPr>
              <w:rPr>
                <w:rFonts w:eastAsia="ＭＳ 明朝"/>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ＭＳ 明朝"/>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aff7"/>
              <w:numPr>
                <w:ilvl w:val="0"/>
                <w:numId w:val="19"/>
              </w:numPr>
              <w:spacing w:line="240" w:lineRule="auto"/>
            </w:pPr>
            <w:r>
              <w:lastRenderedPageBreak/>
              <w:t xml:space="preserve">480 kHz SCS: [2] slots </w:t>
            </w:r>
          </w:p>
          <w:p w14:paraId="0C353FF8" w14:textId="77777777" w:rsidR="00526256" w:rsidRDefault="00064B3A">
            <w:pPr>
              <w:pStyle w:val="aff7"/>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lastRenderedPageBreak/>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aff7"/>
        <w:numPr>
          <w:ilvl w:val="0"/>
          <w:numId w:val="20"/>
        </w:numPr>
        <w:rPr>
          <w:lang w:eastAsia="zh-CN"/>
        </w:rPr>
      </w:pPr>
      <w:r>
        <w:rPr>
          <w:lang w:eastAsia="zh-CN"/>
        </w:rPr>
        <w:t>For 480 kHz: 4 slots, for 960 kHz: 8 slots.</w:t>
      </w:r>
    </w:p>
    <w:p w14:paraId="0C6877AD" w14:textId="77777777" w:rsidR="00526256" w:rsidRDefault="00064B3A">
      <w:pPr>
        <w:pStyle w:val="aff7"/>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aff0"/>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lastRenderedPageBreak/>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lastRenderedPageBreak/>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18729D">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18729D">
        <w:tc>
          <w:tcPr>
            <w:tcW w:w="2405" w:type="dxa"/>
            <w:vAlign w:val="top"/>
          </w:tcPr>
          <w:p w14:paraId="6974C0C8" w14:textId="09602149" w:rsidR="00282C7E" w:rsidRPr="00282C7E" w:rsidRDefault="00282C7E" w:rsidP="004C537C">
            <w:pPr>
              <w:rPr>
                <w:rFonts w:eastAsia="ＭＳ 明朝"/>
                <w:lang w:eastAsia="ja-JP"/>
              </w:rPr>
            </w:pPr>
            <w:r>
              <w:rPr>
                <w:rFonts w:eastAsia="ＭＳ 明朝" w:hint="eastAsia"/>
                <w:lang w:eastAsia="ja-JP"/>
              </w:rPr>
              <w:t>NTT DOCOMO</w:t>
            </w:r>
          </w:p>
        </w:tc>
        <w:tc>
          <w:tcPr>
            <w:tcW w:w="12176" w:type="dxa"/>
            <w:vAlign w:val="top"/>
          </w:tcPr>
          <w:p w14:paraId="3F149EA2" w14:textId="34052E67" w:rsidR="00282C7E" w:rsidRPr="00335730" w:rsidRDefault="00282C7E" w:rsidP="004C537C">
            <w:r>
              <w:rPr>
                <w:rFonts w:eastAsia="游ゴシック"/>
              </w:rPr>
              <w:t>We support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f0"/>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lastRenderedPageBreak/>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ＭＳ 明朝"/>
                <w:lang w:eastAsia="ja-JP"/>
              </w:rPr>
            </w:pPr>
            <w:r>
              <w:rPr>
                <w:rFonts w:eastAsia="ＭＳ 明朝" w:hint="eastAsia"/>
                <w:lang w:eastAsia="ja-JP"/>
              </w:rPr>
              <w:t>NTT</w:t>
            </w:r>
            <w:r>
              <w:rPr>
                <w:rFonts w:eastAsia="ＭＳ 明朝"/>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游ゴシック"/>
                <w:lang w:eastAsia="ja-JP"/>
              </w:rPr>
            </w:pPr>
            <w:r w:rsidRPr="00282C7E">
              <w:rPr>
                <w:rFonts w:eastAsia="游ゴシック"/>
                <w:lang w:eastAsia="ja-JP"/>
              </w:rPr>
              <w:t>We think other values than 4/8 slots for 480/960 kHz SCS should be supported and the suggested values can be the candidates.</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w:t>
            </w:r>
            <w:r>
              <w:lastRenderedPageBreak/>
              <w:t xml:space="preserve">monitoring in back-to-back slots. </w:t>
            </w:r>
          </w:p>
        </w:tc>
      </w:tr>
      <w:tr w:rsidR="00526256" w14:paraId="44E382D5" w14:textId="77777777">
        <w:tc>
          <w:tcPr>
            <w:tcW w:w="2405" w:type="dxa"/>
          </w:tcPr>
          <w:p w14:paraId="68CE0D50" w14:textId="77777777" w:rsidR="00526256" w:rsidRDefault="00064B3A">
            <w:r>
              <w:lastRenderedPageBreak/>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064B3A">
            <w: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75pt" o:ole="">
                  <v:imagedata r:id="rId11" o:title=""/>
                </v:shape>
                <o:OLEObject Type="Embed" ProgID="Visio.Drawing.15" ShapeID="_x0000_i1025" DrawAspect="Content" ObjectID="_1673700144" r:id="rId12"/>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lastRenderedPageBreak/>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ja-JP"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ja-JP"/>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w:t>
            </w:r>
            <w:r>
              <w:rPr>
                <w:lang w:eastAsia="zh-CN"/>
              </w:rPr>
              <w:lastRenderedPageBreak/>
              <w:t xml:space="preserve">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ＭＳ 明朝" w:hint="eastAsia"/>
                <w:lang w:eastAsia="ja-JP"/>
              </w:rPr>
              <w:lastRenderedPageBreak/>
              <w:t>NTT DOCOMO</w:t>
            </w:r>
          </w:p>
        </w:tc>
        <w:tc>
          <w:tcPr>
            <w:tcW w:w="12176" w:type="dxa"/>
          </w:tcPr>
          <w:p w14:paraId="2A763739" w14:textId="77777777" w:rsidR="00526256" w:rsidRDefault="00064B3A">
            <w:pPr>
              <w:rPr>
                <w:lang w:eastAsia="zh-CN"/>
              </w:rPr>
            </w:pPr>
            <w:r>
              <w:rPr>
                <w:rFonts w:eastAsia="ＭＳ 明朝"/>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ＭＳ 明朝"/>
                <w:lang w:eastAsia="ja-JP"/>
              </w:rPr>
            </w:pPr>
            <w:r>
              <w:rPr>
                <w:rFonts w:eastAsia="ＭＳ 明朝"/>
                <w:lang w:eastAsia="ja-JP"/>
              </w:rPr>
              <w:t>Sony</w:t>
            </w:r>
          </w:p>
        </w:tc>
        <w:tc>
          <w:tcPr>
            <w:tcW w:w="12176" w:type="dxa"/>
          </w:tcPr>
          <w:p w14:paraId="0255F974" w14:textId="77777777" w:rsidR="00526256" w:rsidRDefault="00064B3A">
            <w:pPr>
              <w:rPr>
                <w:rFonts w:eastAsia="ＭＳ 明朝"/>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ＭＳ 明朝"/>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 xml:space="preserve">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w:t>
            </w:r>
            <w:r>
              <w:rPr>
                <w:rFonts w:eastAsia="Malgun Gothic"/>
                <w:lang w:eastAsia="ko-KR"/>
              </w:rPr>
              <w:lastRenderedPageBreak/>
              <w:t>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lastRenderedPageBreak/>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aff7"/>
        <w:numPr>
          <w:ilvl w:val="0"/>
          <w:numId w:val="21"/>
        </w:numPr>
      </w:pPr>
      <w:r>
        <w:t>Alt A1-2d.1: Starting point for defining the multi-slot PDCCH monitoring capability is a fixed pattern of N slots</w:t>
      </w:r>
    </w:p>
    <w:p w14:paraId="240A6A6A" w14:textId="77777777" w:rsidR="00526256" w:rsidRDefault="00064B3A">
      <w:pPr>
        <w:pStyle w:val="aff7"/>
        <w:numPr>
          <w:ilvl w:val="1"/>
          <w:numId w:val="21"/>
        </w:numPr>
      </w:pPr>
      <w:r>
        <w:t>N=[4] for 480 kHz SCS</w:t>
      </w:r>
    </w:p>
    <w:p w14:paraId="3EA138CD" w14:textId="77777777" w:rsidR="00526256" w:rsidRDefault="00064B3A">
      <w:pPr>
        <w:pStyle w:val="aff7"/>
        <w:numPr>
          <w:ilvl w:val="1"/>
          <w:numId w:val="21"/>
        </w:numPr>
      </w:pPr>
      <w:r>
        <w:t>N=[8] for 960 kHz SCS</w:t>
      </w:r>
    </w:p>
    <w:p w14:paraId="4A0CF793" w14:textId="77777777" w:rsidR="00526256" w:rsidRDefault="00064B3A">
      <w:pPr>
        <w:pStyle w:val="aff7"/>
        <w:numPr>
          <w:ilvl w:val="1"/>
          <w:numId w:val="21"/>
        </w:numPr>
      </w:pPr>
      <w:r>
        <w:t>FFS: Additional constraints on PDCCH monitoring in back-to-back slots</w:t>
      </w:r>
    </w:p>
    <w:p w14:paraId="6E8299D7" w14:textId="77777777" w:rsidR="00526256" w:rsidRDefault="00064B3A">
      <w:pPr>
        <w:pStyle w:val="aff7"/>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aff7"/>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aff0"/>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w:t>
            </w:r>
            <w:r>
              <w:rPr>
                <w:lang w:eastAsia="zh-CN"/>
              </w:rPr>
              <w:lastRenderedPageBreak/>
              <w:t xml:space="preserve">all potential solutions for the further investigations by the companies. </w:t>
            </w:r>
          </w:p>
          <w:p w14:paraId="73BDEEAD" w14:textId="77777777" w:rsidR="00526256" w:rsidRDefault="00064B3A">
            <w:pPr>
              <w:pStyle w:val="aff7"/>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aff7"/>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aff7"/>
            </w:pPr>
            <w:r>
              <w:t xml:space="preserve">Alt A1-2d.3: A sliding window of N slots for defining multi-slot PDCCH monitoring capability. </w:t>
            </w:r>
          </w:p>
          <w:p w14:paraId="4F5B2435" w14:textId="77777777" w:rsidR="00526256" w:rsidRDefault="00064B3A">
            <w:pPr>
              <w:pStyle w:val="aff7"/>
              <w:numPr>
                <w:ilvl w:val="1"/>
                <w:numId w:val="21"/>
              </w:numPr>
            </w:pPr>
            <w:r>
              <w:t>N=[4] for 480 kHz SCS</w:t>
            </w:r>
          </w:p>
          <w:p w14:paraId="7688DECA" w14:textId="77777777" w:rsidR="00526256" w:rsidRDefault="00064B3A">
            <w:pPr>
              <w:pStyle w:val="aff7"/>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A3A71">
            <w:pPr>
              <w:rPr>
                <w:lang w:eastAsia="zh-CN"/>
              </w:rPr>
            </w:pPr>
            <w:r>
              <w:rPr>
                <w:lang w:eastAsia="zh-CN"/>
              </w:rPr>
              <w:t>CATT</w:t>
            </w:r>
          </w:p>
        </w:tc>
        <w:tc>
          <w:tcPr>
            <w:tcW w:w="12176" w:type="dxa"/>
          </w:tcPr>
          <w:p w14:paraId="61780E3D" w14:textId="77777777" w:rsidR="004C537C" w:rsidRDefault="004C537C" w:rsidP="00CA3A71">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aff7"/>
        <w:numPr>
          <w:ilvl w:val="0"/>
          <w:numId w:val="21"/>
        </w:numPr>
      </w:pPr>
      <w:r>
        <w:t xml:space="preserve">Alt 1: A fixed pattern of N slots. </w:t>
      </w:r>
    </w:p>
    <w:p w14:paraId="63C6A82C" w14:textId="77777777" w:rsidR="00526256" w:rsidRDefault="00064B3A">
      <w:pPr>
        <w:pStyle w:val="aff7"/>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aff7"/>
        <w:numPr>
          <w:ilvl w:val="1"/>
          <w:numId w:val="21"/>
        </w:numPr>
      </w:pPr>
      <w:r>
        <w:t xml:space="preserve">FFS: Values of X and Y and units in which they are defined </w:t>
      </w:r>
    </w:p>
    <w:p w14:paraId="30D5B95B" w14:textId="77777777" w:rsidR="00526256" w:rsidRDefault="00064B3A">
      <w:pPr>
        <w:pStyle w:val="aff7"/>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aff7"/>
        <w:numPr>
          <w:ilvl w:val="0"/>
          <w:numId w:val="21"/>
        </w:numPr>
      </w:pPr>
      <w:r>
        <w:t xml:space="preserve">Alt 3: A sliding window of N slots for defining multi-slot PDCCH monitoring capability. </w:t>
      </w:r>
    </w:p>
    <w:p w14:paraId="0785F9AA" w14:textId="77777777" w:rsidR="00526256" w:rsidRDefault="00064B3A">
      <w:pPr>
        <w:pStyle w:val="aff7"/>
        <w:numPr>
          <w:ilvl w:val="1"/>
          <w:numId w:val="21"/>
        </w:numPr>
      </w:pPr>
      <w:r>
        <w:t>FFS: Increments in which sliding occurs</w:t>
      </w:r>
    </w:p>
    <w:p w14:paraId="39C7B26B" w14:textId="77777777" w:rsidR="00526256" w:rsidRDefault="00064B3A">
      <w:pPr>
        <w:pStyle w:val="aff7"/>
        <w:numPr>
          <w:ilvl w:val="0"/>
          <w:numId w:val="21"/>
        </w:numPr>
      </w:pPr>
      <w:r>
        <w:t>Specific numbers for X, Y and N may depend on UE capability and gNB configuration</w:t>
      </w:r>
    </w:p>
    <w:p w14:paraId="3D148D89" w14:textId="77777777" w:rsidR="00526256" w:rsidRDefault="00064B3A">
      <w:pPr>
        <w:pStyle w:val="aff7"/>
        <w:numPr>
          <w:ilvl w:val="1"/>
          <w:numId w:val="21"/>
        </w:numPr>
      </w:pPr>
      <w:r>
        <w:t xml:space="preserve">Examples: </w:t>
      </w:r>
    </w:p>
    <w:p w14:paraId="5886925E" w14:textId="77777777" w:rsidR="00526256" w:rsidRDefault="00064B3A">
      <w:pPr>
        <w:pStyle w:val="aff7"/>
        <w:numPr>
          <w:ilvl w:val="2"/>
          <w:numId w:val="21"/>
        </w:numPr>
      </w:pPr>
      <w:r>
        <w:t>N = [4] slots for 480 kHz SCS and N = [8] slots for 960 kHz SCS</w:t>
      </w:r>
    </w:p>
    <w:p w14:paraId="3DA9F292" w14:textId="77777777" w:rsidR="00526256" w:rsidRDefault="00064B3A">
      <w:pPr>
        <w:pStyle w:val="aff7"/>
        <w:numPr>
          <w:ilvl w:val="2"/>
          <w:numId w:val="21"/>
        </w:numPr>
      </w:pPr>
      <w:r>
        <w:lastRenderedPageBreak/>
        <w:t>X = [4] slots for 480 kHz SCS and X = [8] slots for 960 kHz SCS</w:t>
      </w:r>
    </w:p>
    <w:p w14:paraId="3BCB9D63"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aff7"/>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aff7"/>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aff7"/>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w:t>
            </w:r>
            <w:r>
              <w:rPr>
                <w:lang w:eastAsia="zh-CN"/>
              </w:rPr>
              <w:lastRenderedPageBreak/>
              <w:t xml:space="preserve">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lastRenderedPageBreak/>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aff7"/>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aff7"/>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aff7"/>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 xml:space="preserve">It seems that Alt-3 simultaneously achieves flexibility on the network side (like Alt-1, but in contrast to Alt-2) and assurances on the UE side that the </w:t>
            </w:r>
            <w:r>
              <w:rPr>
                <w:sz w:val="20"/>
                <w:lang w:eastAsia="zh-CN"/>
              </w:rPr>
              <w:lastRenderedPageBreak/>
              <w:t>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ＭＳ 明朝"/>
                <w:sz w:val="20"/>
                <w:lang w:eastAsia="ja-JP"/>
              </w:rPr>
            </w:pPr>
            <w:r>
              <w:rPr>
                <w:rFonts w:eastAsia="ＭＳ 明朝" w:hint="eastAsia"/>
                <w:sz w:val="20"/>
                <w:lang w:eastAsia="ja-JP"/>
              </w:rPr>
              <w:lastRenderedPageBreak/>
              <w:t>NTT DOCOMO</w:t>
            </w:r>
          </w:p>
        </w:tc>
        <w:tc>
          <w:tcPr>
            <w:tcW w:w="12176" w:type="dxa"/>
          </w:tcPr>
          <w:p w14:paraId="5CA78341" w14:textId="77777777" w:rsidR="009F75BF" w:rsidRPr="009F75BF" w:rsidRDefault="009F75BF" w:rsidP="009F75BF">
            <w:pPr>
              <w:rPr>
                <w:rFonts w:eastAsia="ＭＳ 明朝"/>
                <w:sz w:val="20"/>
                <w:lang w:eastAsia="ja-JP"/>
              </w:rPr>
            </w:pPr>
            <w:r w:rsidRPr="009F75BF">
              <w:rPr>
                <w:rFonts w:eastAsia="ＭＳ 明朝"/>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ＭＳ 明朝"/>
                <w:sz w:val="20"/>
                <w:lang w:eastAsia="ja-JP"/>
              </w:rPr>
            </w:pPr>
            <w:r w:rsidRPr="009F75BF">
              <w:rPr>
                <w:rFonts w:eastAsia="ＭＳ 明朝"/>
                <w:sz w:val="20"/>
                <w:lang w:eastAsia="ja-JP"/>
              </w:rPr>
              <w:t>Our second preference is Alt 3. We do not support Alt 1 since BD/CCE budget should not be exceeded in any of N slots. On the other hand, Alt 3 may have some issues, e.g. what Qualcomm mentioned above.</w:t>
            </w:r>
          </w:p>
        </w:tc>
      </w:tr>
    </w:tbl>
    <w:p w14:paraId="74665D0A" w14:textId="77777777" w:rsidR="00526256" w:rsidRDefault="00526256">
      <w:pPr>
        <w:rPr>
          <w:lang w:eastAsia="zh-CN"/>
        </w:rPr>
      </w:pPr>
    </w:p>
    <w:p w14:paraId="160C48C3" w14:textId="77777777" w:rsidR="00526256" w:rsidRDefault="00064B3A">
      <w:pPr>
        <w:pStyle w:val="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 xml:space="preserve">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w:t>
            </w:r>
            <w:r>
              <w:lastRenderedPageBreak/>
              <w:t>kHz SCS may be limited to cells outside FR1.</w:t>
            </w:r>
          </w:p>
        </w:tc>
      </w:tr>
      <w:tr w:rsidR="00526256" w14:paraId="59C8D6B2" w14:textId="77777777">
        <w:tc>
          <w:tcPr>
            <w:tcW w:w="2405" w:type="dxa"/>
          </w:tcPr>
          <w:p w14:paraId="3F2D367A" w14:textId="77777777" w:rsidR="00526256" w:rsidRDefault="00064B3A">
            <w:r>
              <w:lastRenderedPageBreak/>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ＭＳ 明朝" w:hint="eastAsia"/>
                <w:lang w:eastAsia="ja-JP"/>
              </w:rPr>
              <w:t>NTT DOCOMO</w:t>
            </w:r>
          </w:p>
        </w:tc>
        <w:tc>
          <w:tcPr>
            <w:tcW w:w="12176" w:type="dxa"/>
          </w:tcPr>
          <w:p w14:paraId="1FC8C30E" w14:textId="77777777" w:rsidR="00526256" w:rsidRDefault="00064B3A">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support the moderator’s proposal.</w:t>
            </w:r>
          </w:p>
        </w:tc>
      </w:tr>
      <w:tr w:rsidR="00526256" w14:paraId="4BC8D852" w14:textId="77777777">
        <w:tc>
          <w:tcPr>
            <w:tcW w:w="2405" w:type="dxa"/>
          </w:tcPr>
          <w:p w14:paraId="4B34AA8E" w14:textId="77777777" w:rsidR="00526256" w:rsidRDefault="00064B3A">
            <w:pPr>
              <w:rPr>
                <w:rFonts w:eastAsia="ＭＳ 明朝"/>
                <w:lang w:eastAsia="ja-JP"/>
              </w:rPr>
            </w:pPr>
            <w:r>
              <w:rPr>
                <w:rFonts w:eastAsia="ＭＳ 明朝"/>
                <w:lang w:eastAsia="ja-JP"/>
              </w:rPr>
              <w:t>Sony</w:t>
            </w:r>
          </w:p>
        </w:tc>
        <w:tc>
          <w:tcPr>
            <w:tcW w:w="12176" w:type="dxa"/>
          </w:tcPr>
          <w:p w14:paraId="3E7FE6DF" w14:textId="77777777" w:rsidR="00526256" w:rsidRDefault="00064B3A">
            <w:pPr>
              <w:rPr>
                <w:rFonts w:eastAsia="ＭＳ 明朝"/>
                <w:lang w:eastAsia="ja-JP"/>
              </w:rPr>
            </w:pPr>
            <w:r>
              <w:t>Support</w:t>
            </w:r>
          </w:p>
        </w:tc>
      </w:tr>
      <w:tr w:rsidR="00526256" w14:paraId="284488D0" w14:textId="77777777">
        <w:tc>
          <w:tcPr>
            <w:tcW w:w="2405" w:type="dxa"/>
          </w:tcPr>
          <w:p w14:paraId="731F9D6C" w14:textId="77777777" w:rsidR="00526256" w:rsidRDefault="00064B3A">
            <w:pPr>
              <w:rPr>
                <w:rFonts w:eastAsia="ＭＳ 明朝"/>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lastRenderedPageBreak/>
        <w:t>First Round FL Proposal A1-3.1:</w:t>
      </w:r>
      <w:r>
        <w:rPr>
          <w:u w:val="single"/>
          <w:lang w:eastAsia="zh-CN"/>
        </w:rPr>
        <w:t xml:space="preserve"> </w:t>
      </w:r>
    </w:p>
    <w:p w14:paraId="4272AF1C" w14:textId="77777777" w:rsidR="00526256" w:rsidRDefault="00064B3A">
      <w:pPr>
        <w:pStyle w:val="aff7"/>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aff7"/>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2"/>
      </w:pPr>
      <w:r>
        <w:t>Topic A2: PDCCH Extensions for e.g. Coverage, Reliability</w:t>
      </w:r>
    </w:p>
    <w:p w14:paraId="2C5F8212" w14:textId="77777777" w:rsidR="00526256" w:rsidRDefault="00064B3A">
      <w:pPr>
        <w:pStyle w:val="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aff0"/>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 xml:space="preserve">Coverage or reliability enhancement is not in the scope of current WID. For a small cell in high frequency, it is enough to rely on high </w:t>
            </w:r>
            <w:r>
              <w:lastRenderedPageBreak/>
              <w:t>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lastRenderedPageBreak/>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ＭＳ 明朝" w:hint="eastAsia"/>
                <w:lang w:eastAsia="ja-JP"/>
              </w:rPr>
              <w:t>NTT DOCOMO</w:t>
            </w:r>
          </w:p>
        </w:tc>
        <w:tc>
          <w:tcPr>
            <w:tcW w:w="12176" w:type="dxa"/>
          </w:tcPr>
          <w:p w14:paraId="58CB415B" w14:textId="77777777" w:rsidR="00526256" w:rsidRDefault="00064B3A">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ＭＳ 明朝"/>
                <w:lang w:eastAsia="ja-JP"/>
              </w:rPr>
            </w:pPr>
            <w:r>
              <w:rPr>
                <w:lang w:eastAsia="zh-CN"/>
              </w:rPr>
              <w:t>Lenovo, Motorola Mobility</w:t>
            </w:r>
          </w:p>
        </w:tc>
        <w:tc>
          <w:tcPr>
            <w:tcW w:w="12176" w:type="dxa"/>
          </w:tcPr>
          <w:p w14:paraId="70EC7513" w14:textId="77777777" w:rsidR="00526256" w:rsidRDefault="00064B3A">
            <w:pPr>
              <w:rPr>
                <w:rFonts w:eastAsia="ＭＳ 明朝"/>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lastRenderedPageBreak/>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lastRenderedPageBreak/>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ＭＳ 明朝" w:hint="eastAsia"/>
                <w:lang w:eastAsia="ja-JP"/>
              </w:rPr>
              <w:t>NTT DOCOMO</w:t>
            </w:r>
          </w:p>
        </w:tc>
        <w:tc>
          <w:tcPr>
            <w:tcW w:w="12176" w:type="dxa"/>
          </w:tcPr>
          <w:p w14:paraId="484AE2EC" w14:textId="77777777" w:rsidR="00526256" w:rsidRDefault="00064B3A">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ＭＳ 明朝"/>
                <w:lang w:eastAsia="ja-JP"/>
              </w:rPr>
            </w:pPr>
            <w:r>
              <w:rPr>
                <w:lang w:eastAsia="zh-CN"/>
              </w:rPr>
              <w:t>Lenovo, Motorola Mobility</w:t>
            </w:r>
          </w:p>
        </w:tc>
        <w:tc>
          <w:tcPr>
            <w:tcW w:w="12176" w:type="dxa"/>
          </w:tcPr>
          <w:p w14:paraId="418553A2" w14:textId="77777777" w:rsidR="00526256" w:rsidRDefault="00064B3A">
            <w:pPr>
              <w:rPr>
                <w:rFonts w:eastAsia="ＭＳ 明朝"/>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lastRenderedPageBreak/>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2"/>
      </w:pPr>
      <w:r>
        <w:t>Topic C: Multi-Beam Aspects</w:t>
      </w:r>
    </w:p>
    <w:p w14:paraId="4FE99D28" w14:textId="77777777" w:rsidR="00526256" w:rsidRDefault="00526256"/>
    <w:p w14:paraId="503ED5D5" w14:textId="77777777" w:rsidR="00526256" w:rsidRDefault="00064B3A">
      <w:pPr>
        <w:pStyle w:val="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ＭＳ 明朝" w:hint="eastAsia"/>
                <w:lang w:eastAsia="ja-JP"/>
              </w:rPr>
              <w:t>NTT DOCOMO</w:t>
            </w:r>
          </w:p>
        </w:tc>
        <w:tc>
          <w:tcPr>
            <w:tcW w:w="12176" w:type="dxa"/>
          </w:tcPr>
          <w:p w14:paraId="5E4C2480" w14:textId="77777777" w:rsidR="00526256" w:rsidRDefault="00064B3A">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ＭＳ 明朝"/>
                <w:lang w:eastAsia="ja-JP"/>
              </w:rPr>
            </w:pPr>
            <w:r>
              <w:rPr>
                <w:rFonts w:eastAsia="ＭＳ 明朝"/>
                <w:lang w:eastAsia="ja-JP"/>
              </w:rPr>
              <w:lastRenderedPageBreak/>
              <w:t>Sony</w:t>
            </w:r>
          </w:p>
        </w:tc>
        <w:tc>
          <w:tcPr>
            <w:tcW w:w="12176" w:type="dxa"/>
          </w:tcPr>
          <w:p w14:paraId="7A512667" w14:textId="77777777" w:rsidR="00526256" w:rsidRDefault="00064B3A">
            <w:pPr>
              <w:rPr>
                <w:rFonts w:eastAsia="ＭＳ 明朝"/>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ＭＳ 明朝"/>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2"/>
      </w:pPr>
      <w:r>
        <w:lastRenderedPageBreak/>
        <w:t>Topic D: Cross-carrier scheduling</w:t>
      </w:r>
    </w:p>
    <w:p w14:paraId="50016CD2" w14:textId="77777777" w:rsidR="00526256" w:rsidRDefault="00526256"/>
    <w:p w14:paraId="61B89326" w14:textId="77777777" w:rsidR="00526256" w:rsidRDefault="00064B3A">
      <w:pPr>
        <w:pStyle w:val="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lastRenderedPageBreak/>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2"/>
      </w:pPr>
      <w:r>
        <w:t>Topic E: Other</w:t>
      </w:r>
    </w:p>
    <w:p w14:paraId="1D21B36B" w14:textId="77777777" w:rsidR="00526256" w:rsidRDefault="00526256"/>
    <w:p w14:paraId="30ECCD9D" w14:textId="77777777" w:rsidR="00526256" w:rsidRDefault="00064B3A">
      <w:pPr>
        <w:pStyle w:val="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aff0"/>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lastRenderedPageBreak/>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 xml:space="preserve">For supporting NR between 52.6 GHz and 71 GHz with high subcarrier spacing values including 480kHz and 960kHz, if multi-slot PDCCH </w:t>
            </w:r>
            <w:r>
              <w:rPr>
                <w:b/>
                <w:i/>
                <w:iCs/>
              </w:rPr>
              <w:lastRenderedPageBreak/>
              <w:t>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aff7"/>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aff7"/>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aff7"/>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aff7"/>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aff7"/>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3"/>
        <w:jc w:val="both"/>
        <w:rPr>
          <w:lang w:val="en-GB" w:eastAsia="zh-CN"/>
        </w:rPr>
      </w:pPr>
      <w:r>
        <w:rPr>
          <w:lang w:val="en-GB" w:eastAsia="zh-CN"/>
        </w:rPr>
        <w:lastRenderedPageBreak/>
        <w:t>R1-2100074 (ZTE, Sanechips)</w:t>
      </w:r>
    </w:p>
    <w:tbl>
      <w:tblPr>
        <w:tblStyle w:val="aff0"/>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ja-JP"/>
              </w:rPr>
              <w:lastRenderedPageBreak/>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ja-JP"/>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3"/>
        <w:jc w:val="both"/>
        <w:rPr>
          <w:lang w:val="en-GB" w:eastAsia="zh-CN"/>
        </w:rPr>
      </w:pPr>
      <w:r>
        <w:rPr>
          <w:lang w:val="en-GB" w:eastAsia="zh-CN"/>
        </w:rPr>
        <w:t>R1-2100150 (OPPO)</w:t>
      </w:r>
    </w:p>
    <w:tbl>
      <w:tblPr>
        <w:tblStyle w:val="aff0"/>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ad"/>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ad"/>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ad"/>
              <w:rPr>
                <w:rFonts w:eastAsia="SimSun"/>
                <w:lang w:eastAsia="zh-CN"/>
              </w:rPr>
            </w:pPr>
          </w:p>
          <w:p w14:paraId="79994D55" w14:textId="77777777" w:rsidR="00526256" w:rsidRDefault="00064B3A">
            <w:pPr>
              <w:pStyle w:val="ad"/>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ad"/>
              <w:rPr>
                <w:rFonts w:eastAsia="SimSun"/>
                <w:lang w:eastAsia="zh-CN"/>
              </w:rPr>
            </w:pPr>
          </w:p>
          <w:p w14:paraId="1ED4FEE4" w14:textId="77777777" w:rsidR="00526256" w:rsidRDefault="00064B3A">
            <w:pPr>
              <w:pStyle w:val="ad"/>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ad"/>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064B3A">
            <w:pPr>
              <w:pStyle w:val="ad"/>
              <w:jc w:val="center"/>
              <w:rPr>
                <w:rFonts w:eastAsia="SimSun"/>
                <w:b/>
                <w:sz w:val="18"/>
                <w:szCs w:val="18"/>
                <w:lang w:eastAsia="zh-CN"/>
              </w:rPr>
            </w:pPr>
            <w:r>
              <w:object w:dxaOrig="4143" w:dyaOrig="7333" w14:anchorId="61BE428C">
                <v:shape id="_x0000_i1026" type="#_x0000_t75" style="width:206.25pt;height:366.75pt" o:ole="">
                  <v:imagedata r:id="rId15" o:title=""/>
                </v:shape>
                <o:OLEObject Type="Embed" ProgID="Visio.Drawing.15" ShapeID="_x0000_i1026" DrawAspect="Content" ObjectID="_1673700145" r:id="rId16"/>
              </w:object>
            </w:r>
          </w:p>
          <w:p w14:paraId="5B067475" w14:textId="77777777" w:rsidR="00526256" w:rsidRDefault="00064B3A">
            <w:pPr>
              <w:pStyle w:val="ad"/>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ad"/>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ad"/>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3"/>
        <w:jc w:val="both"/>
        <w:rPr>
          <w:lang w:val="en-GB" w:eastAsia="zh-CN"/>
        </w:rPr>
      </w:pPr>
      <w:r>
        <w:rPr>
          <w:lang w:val="en-GB" w:eastAsia="zh-CN"/>
        </w:rPr>
        <w:t>R1-2100241 (Huawei, HiSilicon)</w:t>
      </w:r>
    </w:p>
    <w:tbl>
      <w:tblPr>
        <w:tblStyle w:val="aff0"/>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aff7"/>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aff7"/>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aff7"/>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aff7"/>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aff7"/>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aff7"/>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aff7"/>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aff7"/>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aff7"/>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aff7"/>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aff7"/>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aff7"/>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aff7"/>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aff7"/>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aff7"/>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3"/>
        <w:jc w:val="both"/>
        <w:rPr>
          <w:lang w:val="en-GB" w:eastAsia="zh-CN"/>
        </w:rPr>
      </w:pPr>
      <w:r>
        <w:rPr>
          <w:lang w:val="en-GB" w:eastAsia="zh-CN"/>
        </w:rPr>
        <w:t>R1-2100258 (Nokia, Nokia Shanghai Bell)</w:t>
      </w:r>
    </w:p>
    <w:tbl>
      <w:tblPr>
        <w:tblStyle w:val="aff0"/>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lastRenderedPageBreak/>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aff0"/>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a7"/>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a7"/>
            </w:pPr>
          </w:p>
          <w:p w14:paraId="5409448D" w14:textId="77777777" w:rsidR="00526256" w:rsidRDefault="00064B3A">
            <w:pPr>
              <w:pStyle w:val="a7"/>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f0"/>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3"/>
        <w:jc w:val="both"/>
        <w:rPr>
          <w:lang w:val="en-GB" w:eastAsia="zh-CN"/>
        </w:rPr>
      </w:pPr>
      <w:r>
        <w:rPr>
          <w:lang w:val="en-GB" w:eastAsia="zh-CN"/>
        </w:rPr>
        <w:t>R1-2100371 (CATT)</w:t>
      </w:r>
    </w:p>
    <w:tbl>
      <w:tblPr>
        <w:tblStyle w:val="aff0"/>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3"/>
        <w:jc w:val="both"/>
        <w:rPr>
          <w:lang w:val="en-GB" w:eastAsia="zh-CN"/>
        </w:rPr>
      </w:pPr>
      <w:r>
        <w:rPr>
          <w:lang w:val="en-GB" w:eastAsia="zh-CN"/>
        </w:rPr>
        <w:t>R1-2100430 (vivo)</w:t>
      </w:r>
    </w:p>
    <w:tbl>
      <w:tblPr>
        <w:tblStyle w:val="aff0"/>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aff7"/>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aff7"/>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34A09FF7" w14:textId="77777777" w:rsidR="00526256" w:rsidRDefault="00064B3A">
            <w:pPr>
              <w:pStyle w:val="aff7"/>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aff7"/>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aff7"/>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0EE31118" w14:textId="77777777" w:rsidR="00526256" w:rsidRDefault="00526256">
            <w:pPr>
              <w:spacing w:beforeLines="50" w:before="120"/>
              <w:jc w:val="both"/>
              <w:rPr>
                <w:lang w:eastAsia="zh-CN"/>
              </w:rPr>
            </w:pPr>
          </w:p>
        </w:tc>
      </w:tr>
      <w:bookmarkEnd w:id="4"/>
    </w:tbl>
    <w:p w14:paraId="5DB5C97D" w14:textId="77777777" w:rsidR="00526256" w:rsidRDefault="00526256">
      <w:pPr>
        <w:rPr>
          <w:lang w:eastAsia="zh-CN"/>
        </w:rPr>
      </w:pPr>
    </w:p>
    <w:p w14:paraId="21FFBB12" w14:textId="77777777" w:rsidR="00526256" w:rsidRDefault="00064B3A">
      <w:pPr>
        <w:pStyle w:val="3"/>
        <w:jc w:val="both"/>
        <w:rPr>
          <w:lang w:val="en-GB" w:eastAsia="zh-CN"/>
        </w:rPr>
      </w:pPr>
      <w:r>
        <w:rPr>
          <w:lang w:val="en-GB" w:eastAsia="zh-CN"/>
        </w:rPr>
        <w:t>R1-2100608 (MediaTek)</w:t>
      </w:r>
    </w:p>
    <w:tbl>
      <w:tblPr>
        <w:tblStyle w:val="aff0"/>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a7"/>
              <w:jc w:val="left"/>
            </w:pPr>
            <w:bookmarkStart w:id="12"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aff7"/>
              <w:spacing w:beforeLines="50" w:before="120" w:afterLines="50" w:after="120"/>
              <w:ind w:left="0"/>
              <w:jc w:val="center"/>
              <w:outlineLvl w:val="0"/>
            </w:pPr>
            <w:r>
              <w:rPr>
                <w:noProof/>
                <w:lang w:eastAsia="ja-JP"/>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a7"/>
            </w:pPr>
            <w:bookmarkStart w:id="13" w:name="_Ref61525739"/>
            <w:r>
              <w:t xml:space="preserve">Figure </w:t>
            </w:r>
            <w:r>
              <w:fldChar w:fldCharType="begin"/>
            </w:r>
            <w:r>
              <w:instrText>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a7"/>
              <w:jc w:val="left"/>
            </w:pPr>
            <w:bookmarkStart w:id="14"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a7"/>
              <w:ind w:firstLine="240"/>
            </w:pPr>
          </w:p>
          <w:p w14:paraId="32CF1EF9" w14:textId="77777777" w:rsidR="00526256" w:rsidRDefault="00064B3A">
            <w:pPr>
              <w:pStyle w:val="a7"/>
              <w:jc w:val="left"/>
            </w:pPr>
            <w:bookmarkStart w:id="15"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3"/>
        <w:jc w:val="both"/>
        <w:rPr>
          <w:lang w:val="en-GB" w:eastAsia="zh-CN"/>
        </w:rPr>
      </w:pPr>
      <w:r>
        <w:rPr>
          <w:lang w:val="en-GB" w:eastAsia="zh-CN"/>
        </w:rPr>
        <w:lastRenderedPageBreak/>
        <w:t>R1-2100644 (Intel)</w:t>
      </w:r>
    </w:p>
    <w:tbl>
      <w:tblPr>
        <w:tblStyle w:val="aff0"/>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aff7"/>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aff7"/>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aff7"/>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a7"/>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aff7"/>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3"/>
        <w:jc w:val="both"/>
        <w:rPr>
          <w:lang w:val="en-GB" w:eastAsia="zh-CN"/>
        </w:rPr>
      </w:pPr>
      <w:r>
        <w:rPr>
          <w:lang w:val="en-GB" w:eastAsia="zh-CN"/>
        </w:rPr>
        <w:lastRenderedPageBreak/>
        <w:t>R1-2100817 (Spreadtrum)</w:t>
      </w:r>
    </w:p>
    <w:tbl>
      <w:tblPr>
        <w:tblStyle w:val="aff0"/>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3"/>
        <w:jc w:val="both"/>
        <w:rPr>
          <w:lang w:val="en-GB" w:eastAsia="zh-CN"/>
        </w:rPr>
      </w:pPr>
      <w:r>
        <w:rPr>
          <w:lang w:val="en-GB" w:eastAsia="zh-CN"/>
        </w:rPr>
        <w:t>R1-2100837 (InterDigital)</w:t>
      </w:r>
    </w:p>
    <w:tbl>
      <w:tblPr>
        <w:tblStyle w:val="aff0"/>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3"/>
        <w:jc w:val="both"/>
        <w:rPr>
          <w:lang w:val="en-GB" w:eastAsia="zh-CN"/>
        </w:rPr>
      </w:pPr>
      <w:r>
        <w:rPr>
          <w:lang w:val="en-GB" w:eastAsia="zh-CN"/>
        </w:rPr>
        <w:lastRenderedPageBreak/>
        <w:t>R1-2100851 (Sony)</w:t>
      </w:r>
    </w:p>
    <w:tbl>
      <w:tblPr>
        <w:tblStyle w:val="aff0"/>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aff7"/>
              <w:numPr>
                <w:ilvl w:val="0"/>
                <w:numId w:val="39"/>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aff7"/>
              <w:numPr>
                <w:ilvl w:val="0"/>
                <w:numId w:val="39"/>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aff7"/>
              <w:numPr>
                <w:ilvl w:val="0"/>
                <w:numId w:val="39"/>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aff7"/>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3"/>
        <w:jc w:val="both"/>
        <w:rPr>
          <w:lang w:val="en-GB" w:eastAsia="zh-CN"/>
        </w:rPr>
      </w:pPr>
      <w:r>
        <w:rPr>
          <w:lang w:val="en-GB" w:eastAsia="zh-CN"/>
        </w:rPr>
        <w:t>R1-2101110 (Xiaomi)</w:t>
      </w:r>
    </w:p>
    <w:tbl>
      <w:tblPr>
        <w:tblStyle w:val="aff0"/>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3"/>
        <w:jc w:val="both"/>
        <w:rPr>
          <w:lang w:val="en-GB" w:eastAsia="zh-CN"/>
        </w:rPr>
      </w:pPr>
      <w:r>
        <w:rPr>
          <w:lang w:val="en-GB" w:eastAsia="zh-CN"/>
        </w:rPr>
        <w:lastRenderedPageBreak/>
        <w:t>R1-2101195 (Samsung)</w:t>
      </w:r>
    </w:p>
    <w:tbl>
      <w:tblPr>
        <w:tblStyle w:val="aff0"/>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ＭＳ 明朝" w:cs="Arial"/>
                <w:kern w:val="2"/>
                <w:szCs w:val="20"/>
                <w:lang w:eastAsia="ja-JP"/>
              </w:rPr>
            </w:pPr>
            <w:r>
              <w:rPr>
                <w:rFonts w:eastAsia="ＭＳ 明朝"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ＭＳ 明朝"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ＭＳ 明朝" w:cs="Arial"/>
                <w:kern w:val="2"/>
                <w:szCs w:val="20"/>
                <w:lang w:eastAsia="ja-JP"/>
              </w:rPr>
            </w:pPr>
            <w:r>
              <w:rPr>
                <w:rFonts w:eastAsia="ＭＳ 明朝"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ＭＳ 明朝" w:cs="Arial"/>
                <w:kern w:val="2"/>
                <w:szCs w:val="20"/>
                <w:lang w:eastAsia="ja-JP"/>
              </w:rPr>
            </w:pPr>
            <w:r>
              <w:rPr>
                <w:rFonts w:eastAsia="ＭＳ 明朝"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ＭＳ 明朝" w:cs="Arial"/>
                <w:kern w:val="2"/>
                <w:szCs w:val="20"/>
                <w:lang w:eastAsia="ja-JP"/>
              </w:rPr>
            </w:pPr>
            <w:r>
              <w:rPr>
                <w:rFonts w:eastAsia="ＭＳ 明朝"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ＭＳ 明朝" w:cs="Arial"/>
                <w:kern w:val="2"/>
                <w:szCs w:val="20"/>
                <w:lang w:eastAsia="ja-JP"/>
              </w:rPr>
            </w:pPr>
            <w:r>
              <w:rPr>
                <w:rFonts w:eastAsia="ＭＳ 明朝" w:cs="Arial"/>
                <w:kern w:val="2"/>
                <w:szCs w:val="20"/>
                <w:lang w:eastAsia="ja-JP"/>
              </w:rPr>
              <w:t xml:space="preserve">As </w:t>
            </w:r>
            <m:oMath>
              <m:sSubSup>
                <m:sSubSupPr>
                  <m:ctrlPr>
                    <w:rPr>
                      <w:rFonts w:ascii="Cambria Math" w:eastAsia="ＭＳ 明朝" w:hAnsi="Cambria Math" w:cs="Arial"/>
                      <w:kern w:val="2"/>
                      <w:szCs w:val="20"/>
                      <w:lang w:eastAsia="ja-JP"/>
                    </w:rPr>
                  </m:ctrlPr>
                </m:sSubSupPr>
                <m:e>
                  <m:r>
                    <w:rPr>
                      <w:rFonts w:ascii="Cambria Math" w:eastAsia="ＭＳ 明朝" w:hAnsi="Cambria Math" w:cs="Arial"/>
                      <w:kern w:val="2"/>
                      <w:szCs w:val="20"/>
                      <w:lang w:eastAsia="ja-JP"/>
                    </w:rPr>
                    <m:t>M</m:t>
                  </m:r>
                </m:e>
                <m:sub>
                  <m:r>
                    <w:rPr>
                      <w:rFonts w:ascii="Cambria Math" w:eastAsia="ＭＳ 明朝" w:hAnsi="Cambria Math" w:cs="Arial"/>
                      <w:kern w:val="2"/>
                      <w:szCs w:val="20"/>
                      <w:lang w:eastAsia="ja-JP"/>
                    </w:rPr>
                    <m:t>PDCCH</m:t>
                  </m:r>
                </m:sub>
                <m:sup>
                  <m:r>
                    <w:rPr>
                      <w:rFonts w:ascii="Cambria Math" w:eastAsia="ＭＳ 明朝" w:hAnsi="Cambria Math" w:cs="Arial"/>
                      <w:kern w:val="2"/>
                      <w:szCs w:val="20"/>
                      <w:lang w:eastAsia="ja-JP"/>
                    </w:rPr>
                    <m:t>max</m:t>
                  </m:r>
                  <m:r>
                    <m:rPr>
                      <m:sty m:val="p"/>
                    </m:rPr>
                    <w:rPr>
                      <w:rFonts w:ascii="Cambria Math" w:eastAsia="ＭＳ 明朝" w:hAnsi="Cambria Math" w:cs="Arial"/>
                      <w:kern w:val="2"/>
                      <w:szCs w:val="20"/>
                      <w:lang w:eastAsia="ja-JP"/>
                    </w:rPr>
                    <m:t>,</m:t>
                  </m:r>
                  <m:r>
                    <w:rPr>
                      <w:rFonts w:ascii="Cambria Math" w:eastAsia="ＭＳ 明朝" w:hAnsi="Cambria Math" w:cs="Arial"/>
                      <w:kern w:val="2"/>
                      <w:szCs w:val="20"/>
                      <w:lang w:eastAsia="ja-JP"/>
                    </w:rPr>
                    <m:t>slot</m:t>
                  </m:r>
                  <m:r>
                    <m:rPr>
                      <m:sty m:val="p"/>
                    </m:rPr>
                    <w:rPr>
                      <w:rFonts w:ascii="Cambria Math" w:eastAsia="ＭＳ 明朝" w:hAnsi="Cambria Math" w:cs="Arial"/>
                      <w:kern w:val="2"/>
                      <w:szCs w:val="20"/>
                      <w:lang w:eastAsia="ja-JP"/>
                    </w:rPr>
                    <m:t>, </m:t>
                  </m:r>
                  <m:r>
                    <w:rPr>
                      <w:rFonts w:ascii="Cambria Math" w:eastAsia="ＭＳ 明朝" w:hAnsi="Cambria Math" w:cs="Arial"/>
                      <w:kern w:val="2"/>
                      <w:szCs w:val="20"/>
                      <w:lang w:eastAsia="ja-JP"/>
                    </w:rPr>
                    <m:t>μ</m:t>
                  </m:r>
                </m:sup>
              </m:sSubSup>
            </m:oMath>
            <w:r>
              <w:rPr>
                <w:rFonts w:eastAsia="ＭＳ 明朝" w:cs="Arial"/>
                <w:kern w:val="2"/>
                <w:szCs w:val="20"/>
                <w:lang w:eastAsia="ja-JP"/>
              </w:rPr>
              <w:t xml:space="preserve"> and </w:t>
            </w:r>
            <m:oMath>
              <m:sSubSup>
                <m:sSubSupPr>
                  <m:ctrlPr>
                    <w:rPr>
                      <w:rFonts w:ascii="Cambria Math" w:eastAsia="ＭＳ 明朝" w:hAnsi="Cambria Math" w:cs="Arial"/>
                      <w:kern w:val="2"/>
                      <w:szCs w:val="20"/>
                      <w:lang w:eastAsia="ja-JP"/>
                    </w:rPr>
                  </m:ctrlPr>
                </m:sSubSupPr>
                <m:e>
                  <m:r>
                    <w:rPr>
                      <w:rFonts w:ascii="Cambria Math" w:eastAsia="ＭＳ 明朝" w:hAnsi="Cambria Math" w:cs="Arial"/>
                      <w:kern w:val="2"/>
                      <w:szCs w:val="20"/>
                      <w:lang w:eastAsia="ja-JP"/>
                    </w:rPr>
                    <m:t>C</m:t>
                  </m:r>
                </m:e>
                <m:sub>
                  <m:r>
                    <w:rPr>
                      <w:rFonts w:ascii="Cambria Math" w:eastAsia="ＭＳ 明朝" w:hAnsi="Cambria Math" w:cs="Arial"/>
                      <w:kern w:val="2"/>
                      <w:szCs w:val="20"/>
                      <w:lang w:eastAsia="ja-JP"/>
                    </w:rPr>
                    <m:t>PDCCH</m:t>
                  </m:r>
                </m:sub>
                <m:sup>
                  <m:r>
                    <w:rPr>
                      <w:rFonts w:ascii="Cambria Math" w:eastAsia="ＭＳ 明朝" w:hAnsi="Cambria Math" w:cs="Arial"/>
                      <w:kern w:val="2"/>
                      <w:szCs w:val="20"/>
                      <w:lang w:eastAsia="ja-JP"/>
                    </w:rPr>
                    <m:t>max</m:t>
                  </m:r>
                  <m:r>
                    <m:rPr>
                      <m:sty m:val="p"/>
                    </m:rPr>
                    <w:rPr>
                      <w:rFonts w:ascii="Cambria Math" w:eastAsia="ＭＳ 明朝" w:hAnsi="Cambria Math" w:cs="Arial"/>
                      <w:kern w:val="2"/>
                      <w:szCs w:val="20"/>
                      <w:lang w:eastAsia="ja-JP"/>
                    </w:rPr>
                    <m:t>,</m:t>
                  </m:r>
                  <m:r>
                    <w:rPr>
                      <w:rFonts w:ascii="Cambria Math" w:eastAsia="ＭＳ 明朝" w:hAnsi="Cambria Math" w:cs="Arial"/>
                      <w:kern w:val="2"/>
                      <w:szCs w:val="20"/>
                      <w:lang w:eastAsia="ja-JP"/>
                    </w:rPr>
                    <m:t>slot</m:t>
                  </m:r>
                  <m:r>
                    <m:rPr>
                      <m:sty m:val="p"/>
                    </m:rPr>
                    <w:rPr>
                      <w:rFonts w:ascii="Cambria Math" w:eastAsia="ＭＳ 明朝" w:hAnsi="Cambria Math" w:cs="Arial"/>
                      <w:kern w:val="2"/>
                      <w:szCs w:val="20"/>
                      <w:lang w:eastAsia="ja-JP"/>
                    </w:rPr>
                    <m:t>, </m:t>
                  </m:r>
                  <m:r>
                    <w:rPr>
                      <w:rFonts w:ascii="Cambria Math" w:eastAsia="ＭＳ 明朝" w:hAnsi="Cambria Math" w:cs="Arial"/>
                      <w:kern w:val="2"/>
                      <w:szCs w:val="20"/>
                      <w:lang w:eastAsia="ja-JP"/>
                    </w:rPr>
                    <m:t>μ</m:t>
                  </m:r>
                </m:sup>
              </m:sSubSup>
            </m:oMath>
            <w:r>
              <w:rPr>
                <w:rFonts w:eastAsia="ＭＳ 明朝"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ＭＳ 明朝" w:hAnsi="Cambria Math" w:cs="Arial"/>
                  <w:kern w:val="2"/>
                  <w:szCs w:val="20"/>
                  <w:lang w:eastAsia="ja-JP"/>
                </w:rPr>
                <m:t>μ</m:t>
              </m:r>
              <m:r>
                <m:rPr>
                  <m:sty m:val="p"/>
                </m:rPr>
                <w:rPr>
                  <w:rFonts w:ascii="Cambria Math" w:eastAsia="ＭＳ 明朝" w:hAnsi="Cambria Math" w:cs="Arial"/>
                  <w:kern w:val="2"/>
                  <w:szCs w:val="20"/>
                  <w:lang w:eastAsia="ja-JP"/>
                </w:rPr>
                <m:t xml:space="preserve">=5, </m:t>
              </m:r>
              <m:r>
                <w:rPr>
                  <w:rFonts w:ascii="Cambria Math" w:eastAsia="ＭＳ 明朝" w:hAnsi="Cambria Math" w:cs="Arial"/>
                  <w:kern w:val="2"/>
                  <w:szCs w:val="20"/>
                  <w:lang w:eastAsia="ja-JP"/>
                </w:rPr>
                <m:t>or</m:t>
              </m:r>
              <m:r>
                <m:rPr>
                  <m:sty m:val="p"/>
                </m:rPr>
                <w:rPr>
                  <w:rFonts w:ascii="Cambria Math" w:eastAsia="ＭＳ 明朝" w:hAnsi="Cambria Math" w:cs="Arial"/>
                  <w:kern w:val="2"/>
                  <w:szCs w:val="20"/>
                  <w:lang w:eastAsia="ja-JP"/>
                </w:rPr>
                <m:t xml:space="preserve"> 6</m:t>
              </m:r>
            </m:oMath>
            <w:r>
              <w:rPr>
                <w:rFonts w:eastAsia="ＭＳ 明朝"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aff7"/>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aff7"/>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3"/>
        <w:jc w:val="both"/>
        <w:rPr>
          <w:lang w:val="en-GB" w:eastAsia="zh-CN"/>
        </w:rPr>
      </w:pPr>
      <w:r>
        <w:rPr>
          <w:lang w:val="en-GB" w:eastAsia="zh-CN"/>
        </w:rPr>
        <w:t>R1-2101307 (Ericsson)</w:t>
      </w:r>
    </w:p>
    <w:tbl>
      <w:tblPr>
        <w:tblStyle w:val="aff0"/>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ad"/>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ad"/>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ad"/>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2815FE06" w14:textId="77777777" w:rsidR="00526256" w:rsidRDefault="00064B3A">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825E74">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825E74">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ad"/>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5E4CDEB4" w14:textId="77777777" w:rsidR="00526256" w:rsidRDefault="00064B3A">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ad"/>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394B867A" w14:textId="77777777" w:rsidR="00526256" w:rsidRDefault="00064B3A">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825E74">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825E74">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ad"/>
            </w:pPr>
            <w:r>
              <w:t>Similarly, the UE PDCCH processing capabilities per 8-slot monitoring bundle for 960 kHz SCS can then be defined as</w:t>
            </w:r>
          </w:p>
          <w:p w14:paraId="7E94BA68" w14:textId="77777777" w:rsidR="00526256" w:rsidRDefault="00825E74">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825E74">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ad"/>
            </w:pPr>
            <w:r>
              <w:t>In other words, the UE capability for BD/CCE per B-slot bundle for a larger SCS (480 or 960 kHz) is the same as the per-slot capability for 120 kHz.</w:t>
            </w:r>
          </w:p>
          <w:p w14:paraId="094BDFF3" w14:textId="77777777" w:rsidR="00526256" w:rsidRDefault="00526256">
            <w:pPr>
              <w:pStyle w:val="ad"/>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3"/>
        <w:jc w:val="both"/>
        <w:rPr>
          <w:lang w:val="en-GB" w:eastAsia="zh-CN"/>
        </w:rPr>
      </w:pPr>
      <w:r>
        <w:rPr>
          <w:lang w:val="en-GB" w:eastAsia="zh-CN"/>
        </w:rPr>
        <w:t>R1-2101321 (CEWiT)</w:t>
      </w:r>
    </w:p>
    <w:tbl>
      <w:tblPr>
        <w:tblStyle w:val="aff0"/>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3"/>
        <w:jc w:val="both"/>
        <w:rPr>
          <w:lang w:val="en-GB" w:eastAsia="zh-CN"/>
        </w:rPr>
      </w:pPr>
      <w:r>
        <w:rPr>
          <w:lang w:val="en-GB" w:eastAsia="zh-CN"/>
        </w:rPr>
        <w:t>R1-2101373 (Apple)</w:t>
      </w:r>
    </w:p>
    <w:tbl>
      <w:tblPr>
        <w:tblStyle w:val="aff0"/>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aff7"/>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aff7"/>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aff7"/>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aff7"/>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aff7"/>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aff7"/>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3"/>
        <w:jc w:val="both"/>
        <w:rPr>
          <w:lang w:val="en-GB" w:eastAsia="zh-CN"/>
        </w:rPr>
      </w:pPr>
      <w:r>
        <w:rPr>
          <w:lang w:val="en-GB" w:eastAsia="zh-CN"/>
        </w:rPr>
        <w:t>R1-2101418 (Convida Wireless)</w:t>
      </w:r>
    </w:p>
    <w:tbl>
      <w:tblPr>
        <w:tblStyle w:val="aff0"/>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064B3A">
            <w:pPr>
              <w:spacing w:line="360" w:lineRule="auto"/>
              <w:jc w:val="center"/>
            </w:pPr>
            <w:r>
              <w:object w:dxaOrig="8130" w:dyaOrig="2370" w14:anchorId="5713AF2F">
                <v:shape id="_x0000_i1027" type="#_x0000_t75" style="width:406.5pt;height:118.5pt" o:ole="">
                  <v:imagedata r:id="rId18" o:title=""/>
                </v:shape>
                <o:OLEObject Type="Embed" ProgID="Visio.Drawing.15" ShapeID="_x0000_i1027" DrawAspect="Content" ObjectID="_1673700146" r:id="rId19"/>
              </w:object>
            </w:r>
          </w:p>
          <w:p w14:paraId="69D3847D" w14:textId="77777777" w:rsidR="00526256" w:rsidRDefault="00064B3A">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a7"/>
              <w:jc w:val="left"/>
            </w:pPr>
            <w:bookmarkStart w:id="24" w:name="_Toc61547195"/>
            <w:bookmarkStart w:id="25" w:name="_Toc61822876"/>
            <w:bookmarkStart w:id="26" w:name="_Toc61859755"/>
            <w:bookmarkStart w:id="27" w:name="_Toc61547161"/>
            <w:bookmarkStart w:id="28" w:name="_Toc61869390"/>
            <w:bookmarkStart w:id="29" w:name="_Toc61547146"/>
            <w:bookmarkStart w:id="30" w:name="_Toc61546060"/>
            <w:bookmarkStart w:id="31"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a7"/>
            </w:pPr>
            <w:bookmarkStart w:id="32" w:name="_Ref60926036"/>
            <w:r>
              <w:t xml:space="preserve">Table </w:t>
            </w:r>
            <w:r>
              <w:fldChar w:fldCharType="begin"/>
            </w:r>
            <w:r>
              <w:instrText>SEQ Table \* ARABIC</w:instrText>
            </w:r>
            <w:r>
              <w:fldChar w:fldCharType="separate"/>
            </w:r>
            <w:r>
              <w:t>1</w:t>
            </w:r>
            <w: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a7"/>
              <w:jc w:val="left"/>
            </w:pPr>
            <w:bookmarkStart w:id="33" w:name="_Toc61859756"/>
            <w:bookmarkStart w:id="34" w:name="_Toc61547162"/>
            <w:bookmarkStart w:id="35" w:name="_Toc61547147"/>
            <w:bookmarkStart w:id="36" w:name="_Toc61822877"/>
            <w:bookmarkStart w:id="37" w:name="_Toc61547196"/>
            <w:bookmarkStart w:id="38" w:name="_Toc61546061"/>
            <w:bookmarkStart w:id="39" w:name="_Toc61293887"/>
            <w:bookmarkStart w:id="40" w:name="_Toc61869391"/>
            <w:bookmarkStart w:id="41" w:name="_Toc61859945"/>
            <w:bookmarkStart w:id="42"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a7"/>
              <w:jc w:val="left"/>
            </w:pPr>
            <w:bookmarkStart w:id="43" w:name="_Toc61547163"/>
            <w:bookmarkStart w:id="44" w:name="_Toc61859946"/>
            <w:bookmarkStart w:id="45" w:name="_Toc61859757"/>
            <w:bookmarkStart w:id="46" w:name="_Toc61869392"/>
            <w:bookmarkStart w:id="47" w:name="_Toc61547197"/>
            <w:bookmarkStart w:id="48" w:name="_Toc61293888"/>
            <w:bookmarkStart w:id="49" w:name="_Toc61547148"/>
            <w:bookmarkStart w:id="50" w:name="_Toc61822878"/>
            <w:bookmarkStart w:id="51" w:name="_Toc61546062"/>
            <w:bookmarkStart w:id="52"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346547E2" w14:textId="77777777" w:rsidR="00526256" w:rsidRDefault="00526256"/>
          <w:p w14:paraId="2C838591" w14:textId="77777777" w:rsidR="00526256" w:rsidRDefault="00064B3A">
            <w:pPr>
              <w:pStyle w:val="a7"/>
            </w:pPr>
            <w:bookmarkStart w:id="53" w:name="_Ref53568688"/>
            <w:r>
              <w:t xml:space="preserve">Table </w:t>
            </w:r>
            <w:r>
              <w:fldChar w:fldCharType="begin"/>
            </w:r>
            <w:r>
              <w:instrText>SEQ Table \* ARABIC</w:instrText>
            </w:r>
            <w:r>
              <w:fldChar w:fldCharType="separate"/>
            </w:r>
            <w:r>
              <w:t>2</w:t>
            </w:r>
            <w:r>
              <w:fldChar w:fldCharType="end"/>
            </w:r>
            <w:bookmarkEnd w:id="53"/>
            <w:r>
              <w:t>. Example of per-span PDCCH monitoring capability for SCS 480kHz and 960kHz.</w:t>
            </w:r>
          </w:p>
          <w:tbl>
            <w:tblPr>
              <w:tblStyle w:val="aff0"/>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a7"/>
              <w:jc w:val="left"/>
            </w:pPr>
            <w:bookmarkStart w:id="54" w:name="_Toc61822879"/>
            <w:bookmarkStart w:id="55" w:name="_Toc61859758"/>
            <w:bookmarkStart w:id="56" w:name="_Toc61859947"/>
            <w:bookmarkStart w:id="57"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a7"/>
              <w:jc w:val="left"/>
            </w:pPr>
            <w:bookmarkStart w:id="58" w:name="_Toc61547198"/>
            <w:bookmarkStart w:id="59" w:name="_Toc61293889"/>
            <w:bookmarkStart w:id="60" w:name="_Toc61547149"/>
            <w:bookmarkStart w:id="61" w:name="_Toc61547164"/>
            <w:bookmarkStart w:id="62" w:name="_Toc61869394"/>
            <w:bookmarkStart w:id="63" w:name="_Toc61822880"/>
            <w:bookmarkStart w:id="64" w:name="_Toc61859948"/>
            <w:bookmarkStart w:id="65" w:name="_Toc61859759"/>
            <w:bookmarkStart w:id="66"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4EE96EFD" w14:textId="77777777" w:rsidR="00526256" w:rsidRDefault="00064B3A">
            <w:pPr>
              <w:pStyle w:val="a7"/>
              <w:jc w:val="left"/>
            </w:pPr>
            <w:bookmarkStart w:id="67" w:name="_Toc61546065"/>
            <w:bookmarkStart w:id="68" w:name="_Toc61547166"/>
            <w:bookmarkStart w:id="69" w:name="_Toc61869396"/>
            <w:bookmarkStart w:id="70" w:name="_Toc61859761"/>
            <w:bookmarkStart w:id="71" w:name="_Toc61547200"/>
            <w:bookmarkStart w:id="72" w:name="_Toc61822882"/>
            <w:bookmarkStart w:id="73" w:name="_Toc61547151"/>
            <w:bookmarkStart w:id="74" w:name="_Toc61293932"/>
            <w:bookmarkStart w:id="75"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3"/>
        <w:jc w:val="both"/>
        <w:rPr>
          <w:lang w:val="en-GB" w:eastAsia="zh-CN"/>
        </w:rPr>
      </w:pPr>
      <w:r>
        <w:rPr>
          <w:lang w:val="en-GB" w:eastAsia="zh-CN"/>
        </w:rPr>
        <w:t>R1-210606 (NTT DOCOMO)</w:t>
      </w:r>
    </w:p>
    <w:tbl>
      <w:tblPr>
        <w:tblStyle w:val="aff0"/>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aff7"/>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aff7"/>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2"/>
      </w:pPr>
      <w:r>
        <w:t>Topic A2: PDCCH Extensions for e.g. Coverage, Reliability</w:t>
      </w:r>
    </w:p>
    <w:p w14:paraId="4AA564AC" w14:textId="77777777" w:rsidR="00526256" w:rsidRDefault="00064B3A">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aff7"/>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aff7"/>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aff7"/>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aff7"/>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aff7"/>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3"/>
        <w:jc w:val="both"/>
        <w:rPr>
          <w:lang w:val="en-GB" w:eastAsia="zh-CN"/>
        </w:rPr>
      </w:pPr>
      <w:r>
        <w:rPr>
          <w:lang w:val="en-GB" w:eastAsia="zh-CN"/>
        </w:rPr>
        <w:t>R1-2100058 (Nokia, Nokia Shanghai Bell)</w:t>
      </w:r>
    </w:p>
    <w:tbl>
      <w:tblPr>
        <w:tblStyle w:val="aff0"/>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ja-JP"/>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a7"/>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3"/>
        <w:jc w:val="both"/>
        <w:rPr>
          <w:lang w:val="en-GB" w:eastAsia="zh-CN"/>
        </w:rPr>
      </w:pPr>
      <w:r>
        <w:rPr>
          <w:lang w:val="en-GB" w:eastAsia="zh-CN"/>
        </w:rPr>
        <w:t>R1-2101418 (Convida Wireless)</w:t>
      </w:r>
    </w:p>
    <w:tbl>
      <w:tblPr>
        <w:tblStyle w:val="aff0"/>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a7"/>
              <w:jc w:val="left"/>
            </w:pPr>
          </w:p>
        </w:tc>
      </w:tr>
    </w:tbl>
    <w:p w14:paraId="394C068A" w14:textId="77777777" w:rsidR="00526256" w:rsidRDefault="00526256">
      <w:pPr>
        <w:rPr>
          <w:lang w:eastAsia="zh-CN"/>
        </w:rPr>
      </w:pPr>
    </w:p>
    <w:p w14:paraId="34A3A424" w14:textId="77777777" w:rsidR="00526256" w:rsidRDefault="00064B3A">
      <w:pPr>
        <w:pStyle w:val="2"/>
      </w:pPr>
      <w:r>
        <w:t xml:space="preserve">Topic B: </w:t>
      </w:r>
      <w:r>
        <w:rPr>
          <w:lang w:val="en-US" w:eastAsia="ja-JP"/>
        </w:rPr>
        <w:t>Multiple PDSCH/PUSCH by a single DCI</w:t>
      </w:r>
    </w:p>
    <w:p w14:paraId="04DCC1EA" w14:textId="77777777" w:rsidR="00526256" w:rsidRDefault="00064B3A">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3"/>
        <w:jc w:val="both"/>
        <w:rPr>
          <w:lang w:val="en-GB" w:eastAsia="zh-CN"/>
        </w:rPr>
      </w:pPr>
      <w:r>
        <w:rPr>
          <w:lang w:val="en-GB" w:eastAsia="zh-CN"/>
        </w:rPr>
        <w:t>R1-2100608 (MediaTek)</w:t>
      </w:r>
    </w:p>
    <w:tbl>
      <w:tblPr>
        <w:tblStyle w:val="aff0"/>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a7"/>
              <w:jc w:val="left"/>
            </w:pPr>
            <w:bookmarkStart w:id="76"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14:paraId="33CFCC21" w14:textId="77777777" w:rsidR="00526256" w:rsidRDefault="00526256">
      <w:pPr>
        <w:rPr>
          <w:lang w:eastAsia="zh-CN"/>
        </w:rPr>
      </w:pPr>
    </w:p>
    <w:p w14:paraId="45D6E761" w14:textId="77777777" w:rsidR="00526256" w:rsidRDefault="00064B3A">
      <w:pPr>
        <w:pStyle w:val="3"/>
        <w:jc w:val="both"/>
        <w:rPr>
          <w:lang w:val="en-GB" w:eastAsia="zh-CN"/>
        </w:rPr>
      </w:pPr>
      <w:r>
        <w:rPr>
          <w:lang w:val="en-GB" w:eastAsia="zh-CN"/>
        </w:rPr>
        <w:t>R1-2100644 (Intel)</w:t>
      </w:r>
    </w:p>
    <w:tbl>
      <w:tblPr>
        <w:tblStyle w:val="aff0"/>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aff7"/>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aff7"/>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a7"/>
              <w:jc w:val="left"/>
            </w:pPr>
          </w:p>
        </w:tc>
      </w:tr>
    </w:tbl>
    <w:p w14:paraId="13A89C58" w14:textId="77777777" w:rsidR="00526256" w:rsidRDefault="00526256">
      <w:pPr>
        <w:rPr>
          <w:lang w:eastAsia="zh-CN"/>
        </w:rPr>
      </w:pPr>
    </w:p>
    <w:p w14:paraId="46829DC1" w14:textId="77777777" w:rsidR="00526256" w:rsidRDefault="00064B3A">
      <w:pPr>
        <w:pStyle w:val="3"/>
        <w:jc w:val="both"/>
        <w:rPr>
          <w:lang w:val="en-GB" w:eastAsia="zh-CN"/>
        </w:rPr>
      </w:pPr>
      <w:r>
        <w:rPr>
          <w:lang w:val="en-GB" w:eastAsia="zh-CN"/>
        </w:rPr>
        <w:t>R1-2101321 (CEWiT)</w:t>
      </w:r>
    </w:p>
    <w:tbl>
      <w:tblPr>
        <w:tblStyle w:val="aff0"/>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a7"/>
              <w:jc w:val="left"/>
            </w:pPr>
          </w:p>
        </w:tc>
      </w:tr>
    </w:tbl>
    <w:p w14:paraId="7B5A64AC" w14:textId="77777777" w:rsidR="00526256" w:rsidRDefault="00526256">
      <w:pPr>
        <w:rPr>
          <w:lang w:eastAsia="zh-CN"/>
        </w:rPr>
      </w:pPr>
    </w:p>
    <w:p w14:paraId="55D507E2" w14:textId="77777777" w:rsidR="00526256" w:rsidRDefault="00064B3A">
      <w:pPr>
        <w:pStyle w:val="3"/>
        <w:jc w:val="both"/>
        <w:rPr>
          <w:lang w:val="en-GB" w:eastAsia="zh-CN"/>
        </w:rPr>
      </w:pPr>
      <w:r>
        <w:rPr>
          <w:lang w:val="en-GB" w:eastAsia="zh-CN"/>
        </w:rPr>
        <w:lastRenderedPageBreak/>
        <w:t>R1-2101321 (Convida Wireless)</w:t>
      </w:r>
    </w:p>
    <w:tbl>
      <w:tblPr>
        <w:tblStyle w:val="aff0"/>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object w:dxaOrig="6990" w:dyaOrig="2847" w14:anchorId="5E971631">
                <v:shape id="_x0000_i1028" type="#_x0000_t75" style="width:349.5pt;height:141.75pt" o:ole="">
                  <v:imagedata r:id="rId21" o:title=""/>
                </v:shape>
                <o:OLEObject Type="Embed" ProgID="Visio.Drawing.15" ShapeID="_x0000_i1028" DrawAspect="Content" ObjectID="_1673700147" r:id="rId22"/>
              </w:object>
            </w:r>
          </w:p>
          <w:p w14:paraId="30250478" w14:textId="77777777" w:rsidR="00526256" w:rsidRDefault="00064B3A">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a7"/>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064B3A">
            <w:pPr>
              <w:spacing w:after="0" w:line="360" w:lineRule="auto"/>
              <w:jc w:val="center"/>
            </w:pPr>
            <w:r>
              <w:object w:dxaOrig="6846" w:dyaOrig="4132" w14:anchorId="653B3AA7">
                <v:shape id="_x0000_i1029" type="#_x0000_t75" style="width:342.75pt;height:206.25pt" o:ole="">
                  <v:imagedata r:id="rId23" o:title=""/>
                </v:shape>
                <o:OLEObject Type="Embed" ProgID="Visio.Drawing.15" ShapeID="_x0000_i1029" DrawAspect="Content" ObjectID="_1673700148" r:id="rId24"/>
              </w:object>
            </w:r>
          </w:p>
          <w:p w14:paraId="3A8BCA2C" w14:textId="77777777" w:rsidR="00526256" w:rsidRDefault="00064B3A">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2"/>
      </w:pPr>
      <w:r>
        <w:t>Topic C: Multi-Beam Aspects</w:t>
      </w:r>
    </w:p>
    <w:p w14:paraId="0A7D1A5E" w14:textId="77777777" w:rsidR="00526256" w:rsidRDefault="00064B3A">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3"/>
        <w:jc w:val="both"/>
        <w:rPr>
          <w:lang w:val="en-GB" w:eastAsia="zh-CN"/>
        </w:rPr>
      </w:pPr>
      <w:r>
        <w:rPr>
          <w:lang w:val="en-GB" w:eastAsia="zh-CN"/>
        </w:rPr>
        <w:lastRenderedPageBreak/>
        <w:t>R1-2100258 (Nokia, Nokia Shanghai Bell)</w:t>
      </w:r>
    </w:p>
    <w:tbl>
      <w:tblPr>
        <w:tblStyle w:val="aff0"/>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2"/>
      </w:pPr>
      <w:r>
        <w:t>Topic D: Cross-carrier scheduling</w:t>
      </w:r>
    </w:p>
    <w:p w14:paraId="490A2746" w14:textId="77777777" w:rsidR="00526256" w:rsidRDefault="00064B3A">
      <w:pPr>
        <w:pStyle w:val="3"/>
        <w:jc w:val="both"/>
        <w:rPr>
          <w:lang w:val="en-GB" w:eastAsia="zh-CN"/>
        </w:rPr>
      </w:pPr>
      <w:r>
        <w:rPr>
          <w:lang w:val="en-GB" w:eastAsia="zh-CN"/>
        </w:rPr>
        <w:t>R1-2100644 (Intel)</w:t>
      </w:r>
    </w:p>
    <w:tbl>
      <w:tblPr>
        <w:tblStyle w:val="aff0"/>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3"/>
        <w:jc w:val="both"/>
        <w:rPr>
          <w:lang w:val="en-GB" w:eastAsia="zh-CN"/>
        </w:rPr>
      </w:pPr>
      <w:r>
        <w:rPr>
          <w:lang w:val="en-GB" w:eastAsia="zh-CN"/>
        </w:rPr>
        <w:t>R1-2101321 (Convida Wireless)</w:t>
      </w:r>
    </w:p>
    <w:tbl>
      <w:tblPr>
        <w:tblStyle w:val="aff0"/>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064B3A">
            <w:pPr>
              <w:spacing w:after="0" w:line="360" w:lineRule="auto"/>
              <w:jc w:val="center"/>
            </w:pPr>
            <w:r>
              <w:object w:dxaOrig="6846" w:dyaOrig="4132" w14:anchorId="2C46053E">
                <v:shape id="_x0000_i1030" type="#_x0000_t75" style="width:342.75pt;height:206.25pt" o:ole="">
                  <v:imagedata r:id="rId23" o:title=""/>
                </v:shape>
                <o:OLEObject Type="Embed" ProgID="Visio.Drawing.15" ShapeID="_x0000_i1030" DrawAspect="Content" ObjectID="_1673700149" r:id="rId25"/>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aff7"/>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aff7"/>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a7"/>
              <w:jc w:val="left"/>
            </w:pPr>
            <w:bookmarkStart w:id="79" w:name="_Toc61859949"/>
            <w:bookmarkStart w:id="80" w:name="_Toc61547165"/>
            <w:bookmarkStart w:id="81" w:name="_Toc61869395"/>
            <w:bookmarkStart w:id="82" w:name="_Toc61293890"/>
            <w:bookmarkStart w:id="83" w:name="_Toc61822881"/>
            <w:bookmarkStart w:id="84" w:name="_Toc61859760"/>
            <w:bookmarkStart w:id="85" w:name="_Toc61547199"/>
            <w:bookmarkStart w:id="86" w:name="_Toc61547150"/>
            <w:bookmarkStart w:id="87"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6B6D42A" w14:textId="77777777" w:rsidR="00526256" w:rsidRDefault="00526256">
      <w:pPr>
        <w:rPr>
          <w:lang w:eastAsia="zh-CN"/>
        </w:rPr>
      </w:pPr>
    </w:p>
    <w:p w14:paraId="0EF64772" w14:textId="77777777" w:rsidR="00526256" w:rsidRDefault="00064B3A">
      <w:pPr>
        <w:pStyle w:val="2"/>
      </w:pPr>
      <w:r>
        <w:t>Topic E: Other</w:t>
      </w:r>
    </w:p>
    <w:p w14:paraId="191FA161" w14:textId="77777777" w:rsidR="00526256" w:rsidRDefault="00064B3A">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3"/>
        <w:jc w:val="both"/>
        <w:rPr>
          <w:lang w:val="en-GB" w:eastAsia="zh-CN"/>
        </w:rPr>
      </w:pPr>
      <w:r>
        <w:rPr>
          <w:lang w:val="en-GB" w:eastAsia="zh-CN"/>
        </w:rPr>
        <w:lastRenderedPageBreak/>
        <w:t>R1-2101110 (Xiaomi)</w:t>
      </w:r>
    </w:p>
    <w:tbl>
      <w:tblPr>
        <w:tblStyle w:val="aff0"/>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a7"/>
              <w:jc w:val="left"/>
            </w:pPr>
            <w:bookmarkStart w:id="88" w:name="_Toc61547152"/>
            <w:bookmarkStart w:id="89" w:name="_Toc61869397"/>
            <w:bookmarkStart w:id="90" w:name="_Toc61546066"/>
            <w:bookmarkStart w:id="91" w:name="_Toc61547167"/>
            <w:bookmarkStart w:id="92" w:name="_Toc61547201"/>
            <w:bookmarkStart w:id="93" w:name="_Toc61859762"/>
            <w:bookmarkStart w:id="94" w:name="_Toc61822883"/>
            <w:bookmarkStart w:id="95"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0E1ADCB2" w14:textId="77777777" w:rsidR="00526256" w:rsidRDefault="00526256"/>
          <w:p w14:paraId="37914FE3" w14:textId="77777777" w:rsidR="00526256" w:rsidRDefault="00064B3A">
            <w:pPr>
              <w:jc w:val="center"/>
            </w:pPr>
            <w:r>
              <w:object w:dxaOrig="8806" w:dyaOrig="2725" w14:anchorId="1543D692">
                <v:shape id="_x0000_i1031" type="#_x0000_t75" style="width:439.5pt;height:136.5pt" o:ole="">
                  <v:imagedata r:id="rId26" o:title=""/>
                </v:shape>
                <o:OLEObject Type="Embed" ProgID="Visio.Drawing.15" ShapeID="_x0000_i1031" DrawAspect="Content" ObjectID="_1673700150" r:id="rId27"/>
              </w:object>
            </w:r>
          </w:p>
          <w:p w14:paraId="5CB28C48" w14:textId="77777777" w:rsidR="00526256" w:rsidRDefault="00064B3A">
            <w:pPr>
              <w:pStyle w:val="a7"/>
              <w:rPr>
                <w:lang w:val="en-GB"/>
              </w:rPr>
            </w:pPr>
            <w:bookmarkStart w:id="96" w:name="_Ref61547006"/>
            <w:r>
              <w:t xml:space="preserve">Figure </w:t>
            </w:r>
            <w:r>
              <w:fldChar w:fldCharType="begin"/>
            </w:r>
            <w:r>
              <w:instrText>SEQ Figure \* ARABIC</w:instrText>
            </w:r>
            <w:r>
              <w:fldChar w:fldCharType="separate"/>
            </w:r>
            <w:r>
              <w:t>1</w:t>
            </w:r>
            <w:r>
              <w:fldChar w:fldCharType="end"/>
            </w:r>
            <w:bookmarkEnd w:id="96"/>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72DD4" w14:textId="77777777" w:rsidR="00825E74" w:rsidRDefault="00825E74" w:rsidP="00206CE8">
      <w:pPr>
        <w:spacing w:after="0" w:line="240" w:lineRule="auto"/>
      </w:pPr>
      <w:r>
        <w:separator/>
      </w:r>
    </w:p>
  </w:endnote>
  <w:endnote w:type="continuationSeparator" w:id="0">
    <w:p w14:paraId="07E44118" w14:textId="77777777" w:rsidR="00825E74" w:rsidRDefault="00825E74"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0FFAB" w14:textId="77777777" w:rsidR="00825E74" w:rsidRDefault="00825E74" w:rsidP="00206CE8">
      <w:pPr>
        <w:spacing w:after="0" w:line="240" w:lineRule="auto"/>
      </w:pPr>
      <w:r>
        <w:separator/>
      </w:r>
    </w:p>
  </w:footnote>
  <w:footnote w:type="continuationSeparator" w:id="0">
    <w:p w14:paraId="0550FA23" w14:textId="77777777" w:rsidR="00825E74" w:rsidRDefault="00825E74"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Web">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c">
    <w:name w:val="Title"/>
    <w:basedOn w:val="a"/>
    <w:next w:val="a"/>
    <w:link w:val="afd"/>
    <w:qFormat/>
    <w:pPr>
      <w:spacing w:before="240" w:after="60"/>
      <w:jc w:val="center"/>
      <w:outlineLvl w:val="0"/>
    </w:pPr>
    <w:rPr>
      <w:rFonts w:ascii="Cambria" w:hAnsi="Cambria"/>
      <w:b/>
      <w:bCs/>
      <w:sz w:val="32"/>
      <w:szCs w:val="32"/>
    </w:rPr>
  </w:style>
  <w:style w:type="paragraph" w:styleId="afe">
    <w:name w:val="annotation subject"/>
    <w:basedOn w:val="ab"/>
    <w:next w:val="ab"/>
    <w:link w:val="aff"/>
    <w:uiPriority w:val="99"/>
    <w:qFormat/>
    <w:rPr>
      <w:b/>
      <w:bCs/>
    </w:rPr>
  </w:style>
  <w:style w:type="table" w:styleId="af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1">
    <w:name w:val="Strong"/>
    <w:qFormat/>
    <w:rPr>
      <w:b/>
      <w:bCs/>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qFormat/>
    <w:rPr>
      <w:sz w:val="16"/>
      <w:szCs w:val="16"/>
    </w:rPr>
  </w:style>
  <w:style w:type="character" w:styleId="aff6">
    <w:name w:val="footnote reference"/>
    <w:qFormat/>
    <w:rPr>
      <w:vertAlign w:val="superscript"/>
    </w:rPr>
  </w:style>
  <w:style w:type="character" w:customStyle="1" w:styleId="af4">
    <w:name w:val="吹き出し (文字)"/>
    <w:link w:val="af3"/>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8">
    <w:name w:val="図表番号 (文字)"/>
    <w:link w:val="a7"/>
    <w:uiPriority w:val="35"/>
    <w:qFormat/>
    <w:rPr>
      <w:b/>
      <w:bCs/>
      <w:lang w:eastAsia="en-US"/>
    </w:rPr>
  </w:style>
  <w:style w:type="character" w:customStyle="1" w:styleId="af8">
    <w:name w:val="ヘッダー (文字)"/>
    <w:link w:val="af7"/>
    <w:qFormat/>
    <w:rPr>
      <w:sz w:val="22"/>
      <w:szCs w:val="22"/>
    </w:rPr>
  </w:style>
  <w:style w:type="character" w:customStyle="1" w:styleId="af6">
    <w:name w:val="フッター (文字)"/>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7">
    <w:name w:val="List Paragraph"/>
    <w:basedOn w:val="a"/>
    <w:link w:val="aff8"/>
    <w:uiPriority w:val="34"/>
    <w:qFormat/>
    <w:pPr>
      <w:autoSpaceDE/>
      <w:autoSpaceDN/>
      <w:adjustRightInd/>
      <w:spacing w:after="0"/>
      <w:ind w:left="720"/>
    </w:pPr>
    <w:rPr>
      <w:rFonts w:ascii="Calibri" w:hAnsi="Calibri"/>
    </w:rPr>
  </w:style>
  <w:style w:type="character" w:customStyle="1" w:styleId="aa">
    <w:name w:val="見出しマップ (文字)"/>
    <w:link w:val="a9"/>
    <w:uiPriority w:val="99"/>
    <w:qFormat/>
    <w:rPr>
      <w:rFonts w:ascii="Tahoma" w:hAnsi="Tahoma" w:cs="Tahoma"/>
      <w:sz w:val="16"/>
      <w:szCs w:val="16"/>
    </w:rPr>
  </w:style>
  <w:style w:type="character" w:customStyle="1" w:styleId="ac">
    <w:name w:val="コメント文字列 (文字)"/>
    <w:basedOn w:val="a0"/>
    <w:link w:val="ab"/>
    <w:uiPriority w:val="99"/>
    <w:qFormat/>
  </w:style>
  <w:style w:type="character" w:customStyle="1" w:styleId="aff">
    <w:name w:val="コメント内容 (文字)"/>
    <w:link w:val="afe"/>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d">
    <w:name w:val="表題 (文字)"/>
    <w:link w:val="afc"/>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9">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書式なし (文字)"/>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ＭＳ 明朝"/>
      <w:szCs w:val="16"/>
      <w:lang w:val="en-US" w:eastAsia="en-US"/>
    </w:rPr>
  </w:style>
  <w:style w:type="paragraph" w:styleId="affa">
    <w:name w:val="No Spacing"/>
    <w:uiPriority w:val="1"/>
    <w:qFormat/>
    <w:rPr>
      <w:rFonts w:eastAsia="ＭＳ 明朝"/>
      <w:lang w:val="en-US" w:eastAsia="en-US"/>
    </w:rPr>
  </w:style>
  <w:style w:type="character" w:customStyle="1" w:styleId="10">
    <w:name w:val="見出し 1 (文字)"/>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本文 (文字)"/>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インデント 2 (文字)"/>
    <w:basedOn w:val="a0"/>
    <w:link w:val="26"/>
    <w:qFormat/>
    <w:rPr>
      <w:rFonts w:eastAsia="Times New Roman"/>
      <w:kern w:val="2"/>
      <w:lang w:eastAsia="ja-JP"/>
    </w:rPr>
  </w:style>
  <w:style w:type="character" w:customStyle="1" w:styleId="36">
    <w:name w:val="本文インデント 3 (文字)"/>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ＭＳ 明朝"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ＭＳ 明朝"/>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ＭＳ 明朝"/>
      <w:sz w:val="20"/>
      <w:szCs w:val="20"/>
      <w:lang w:eastAsia="en-GB"/>
    </w:rPr>
  </w:style>
  <w:style w:type="paragraph" w:customStyle="1" w:styleId="HE">
    <w:name w:val="HE"/>
    <w:basedOn w:val="a"/>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ＭＳ 明朝"/>
      <w:lang w:val="en-US"/>
    </w:rPr>
  </w:style>
  <w:style w:type="paragraph" w:customStyle="1" w:styleId="textintend2">
    <w:name w:val="text intend 2"/>
    <w:basedOn w:val="text"/>
    <w:qForma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付 (文字)"/>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見出し 3 (文字)"/>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見出し 2 (文字)"/>
    <w:link w:val="2"/>
    <w:qFormat/>
    <w:rPr>
      <w:rFonts w:ascii="Arial" w:hAnsi="Arial"/>
      <w:b/>
      <w:bCs/>
      <w:sz w:val="24"/>
      <w:szCs w:val="22"/>
      <w:lang w:val="en-GB"/>
    </w:rPr>
  </w:style>
  <w:style w:type="character" w:customStyle="1" w:styleId="40">
    <w:name w:val="見出し 4 (文字)"/>
    <w:link w:val="4"/>
    <w:qFormat/>
    <w:rPr>
      <w:b/>
      <w:bCs/>
      <w:sz w:val="28"/>
      <w:szCs w:val="28"/>
      <w:lang w:eastAsia="en-US"/>
    </w:rPr>
  </w:style>
  <w:style w:type="character" w:customStyle="1" w:styleId="50">
    <w:name w:val="見出し 5 (文字)"/>
    <w:link w:val="5"/>
    <w:qFormat/>
    <w:rPr>
      <w:b/>
      <w:bCs/>
      <w:i/>
      <w:iCs/>
      <w:sz w:val="26"/>
      <w:szCs w:val="26"/>
      <w:lang w:eastAsia="en-US"/>
    </w:rPr>
  </w:style>
  <w:style w:type="character" w:customStyle="1" w:styleId="60">
    <w:name w:val="見出し 6 (文字)"/>
    <w:link w:val="6"/>
    <w:qFormat/>
    <w:rPr>
      <w:b/>
      <w:bCs/>
      <w:sz w:val="22"/>
      <w:szCs w:val="22"/>
      <w:lang w:eastAsia="en-US"/>
    </w:rPr>
  </w:style>
  <w:style w:type="character" w:customStyle="1" w:styleId="70">
    <w:name w:val="見出し 7 (文字)"/>
    <w:link w:val="7"/>
    <w:qFormat/>
    <w:rPr>
      <w:sz w:val="24"/>
      <w:szCs w:val="24"/>
      <w:lang w:eastAsia="en-US"/>
    </w:rPr>
  </w:style>
  <w:style w:type="character" w:customStyle="1" w:styleId="80">
    <w:name w:val="見出し 8 (文字)"/>
    <w:link w:val="8"/>
    <w:qFormat/>
    <w:rPr>
      <w:i/>
      <w:iCs/>
      <w:sz w:val="24"/>
      <w:szCs w:val="24"/>
      <w:lang w:eastAsia="en-US"/>
    </w:rPr>
  </w:style>
  <w:style w:type="character" w:customStyle="1" w:styleId="90">
    <w:name w:val="見出し 9 (文字)"/>
    <w:link w:val="9"/>
    <w:qFormat/>
    <w:rPr>
      <w:rFonts w:ascii="Arial" w:hAnsi="Arial"/>
      <w:sz w:val="22"/>
      <w:szCs w:val="22"/>
      <w:lang w:eastAsia="en-US"/>
    </w:rPr>
  </w:style>
  <w:style w:type="character" w:customStyle="1" w:styleId="a5">
    <w:name w:val="一覧 (文字)"/>
    <w:link w:val="a4"/>
    <w:qFormat/>
    <w:rPr>
      <w:sz w:val="22"/>
      <w:szCs w:val="22"/>
      <w:lang w:eastAsia="en-US"/>
    </w:rPr>
  </w:style>
  <w:style w:type="character" w:customStyle="1" w:styleId="afb">
    <w:name w:val="脚注文字列 (文字)"/>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一覧 2 (文字)"/>
    <w:link w:val="21"/>
    <w:qFormat/>
    <w:rPr>
      <w:sz w:val="22"/>
      <w:szCs w:val="22"/>
      <w:lang w:eastAsia="en-US"/>
    </w:rPr>
  </w:style>
  <w:style w:type="character" w:customStyle="1" w:styleId="32">
    <w:name w:val="一覧 3 (文字)"/>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本文 2 (文字)"/>
    <w:link w:val="28"/>
    <w:qFormat/>
    <w:rPr>
      <w:sz w:val="22"/>
      <w:lang w:eastAsia="en-US"/>
    </w:rPr>
  </w:style>
  <w:style w:type="character" w:customStyle="1" w:styleId="aff8">
    <w:name w:val="リスト段落 (文字)"/>
    <w:link w:val="aff7"/>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7"/>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png"/><Relationship Id="rId12" Type="http://schemas.openxmlformats.org/officeDocument/2006/relationships/package" Target="embeddings/Microsoft_Visio_Drawing.vsdx"/><Relationship Id="rId17" Type="http://schemas.openxmlformats.org/officeDocument/2006/relationships/image" Target="media/image9.png"/><Relationship Id="rId25" Type="http://schemas.openxmlformats.org/officeDocument/2006/relationships/package" Target="embeddings/Microsoft_Visio_Drawing5.vsdx"/><Relationship Id="rId2" Type="http://schemas.openxmlformats.org/officeDocument/2006/relationships/styles" Target="styles.xml"/><Relationship Id="rId16" Type="http://schemas.openxmlformats.org/officeDocument/2006/relationships/package" Target="embeddings/Microsoft_Visio_Drawing1.vsdx"/><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package" Target="embeddings/Microsoft_Visio_Drawing4.vsdx"/><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package" Target="embeddings/Microsoft_Visio_Drawing2.vsdx"/><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77</Pages>
  <Words>26026</Words>
  <Characters>148350</Characters>
  <Application>Microsoft Office Word</Application>
  <DocSecurity>0</DocSecurity>
  <Lines>1236</Lines>
  <Paragraphs>348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174028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Mayuko Okano</cp:lastModifiedBy>
  <cp:revision>5</cp:revision>
  <cp:lastPrinted>2016-08-13T07:06:00Z</cp:lastPrinted>
  <dcterms:created xsi:type="dcterms:W3CDTF">2021-02-01T02:29:00Z</dcterms:created>
  <dcterms:modified xsi:type="dcterms:W3CDTF">2021-02-01T06:50:00Z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