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30FF9153" w14:textId="77777777" w:rsidR="00011C30" w:rsidRDefault="0013580D">
      <w:pPr>
        <w:pStyle w:val="Heading2"/>
      </w:pPr>
      <w:r>
        <w:t>First Round 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77777777" w:rsidR="00011C30" w:rsidRDefault="0013580D">
      <w:pPr>
        <w:pStyle w:val="Heading3"/>
        <w:jc w:val="both"/>
        <w:rPr>
          <w:lang w:val="en-GB" w:eastAsia="zh-CN"/>
        </w:rPr>
      </w:pPr>
      <w:r>
        <w:rPr>
          <w:lang w:val="en-GB" w:eastAsia="zh-CN"/>
        </w:rPr>
        <w:lastRenderedPageBreak/>
        <w:t>Topic A1: Blind Decoding Capability, Multi-slot span monitoring</w:t>
      </w:r>
    </w:p>
    <w:p w14:paraId="4F75E340" w14:textId="77777777"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Default="0013580D">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r>
              <w:rPr>
                <w:lang w:eastAsia="zh-CN"/>
              </w:rPr>
              <w:t>Futurewei</w:t>
            </w:r>
          </w:p>
        </w:tc>
        <w:tc>
          <w:tcPr>
            <w:tcW w:w="12176" w:type="dxa"/>
          </w:tcPr>
          <w:p w14:paraId="7565FFD8" w14:textId="77777777" w:rsidR="00011C30" w:rsidRDefault="0013580D">
            <w:r>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Default="0013580D">
            <w:r>
              <w:rPr>
                <w:rFonts w:hint="eastAsia"/>
                <w:lang w:eastAsia="zh-CN"/>
              </w:rPr>
              <w:t xml:space="preserve">Yes. </w:t>
            </w:r>
            <w:r>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uawei, HiSilicon</w:t>
            </w:r>
          </w:p>
        </w:tc>
        <w:tc>
          <w:tcPr>
            <w:tcW w:w="12176" w:type="dxa"/>
          </w:tcPr>
          <w:p w14:paraId="25EF2B03" w14:textId="77777777" w:rsidR="00011C30" w:rsidRDefault="0013580D">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Default="0013580D">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ZTE, Sanechips</w:t>
            </w:r>
          </w:p>
        </w:tc>
        <w:tc>
          <w:tcPr>
            <w:tcW w:w="12176" w:type="dxa"/>
          </w:tcPr>
          <w:p w14:paraId="3BD254EE" w14:textId="77777777" w:rsidR="00011C30" w:rsidRDefault="0013580D">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Default="0013580D" w:rsidP="0013580D">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Default="0013580D" w:rsidP="0013580D">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Default="007E79DD" w:rsidP="007E79DD">
            <w:r>
              <w:t>By single slot span, our understanding is that UE capability on max BD/CCE are defined in single slot level. We have concerns on the max number of BD/CCEs per slot.</w:t>
            </w:r>
          </w:p>
          <w:p w14:paraId="5C911D2A" w14:textId="252E1FA4" w:rsidR="007E79DD" w:rsidRDefault="007E79DD" w:rsidP="007E79DD">
            <w:pPr>
              <w:rPr>
                <w:lang w:eastAsia="zh-CN"/>
              </w:rPr>
            </w:pPr>
            <w:r>
              <w:lastRenderedPageBreak/>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lastRenderedPageBreak/>
              <w:t>MediaTek</w:t>
            </w:r>
          </w:p>
        </w:tc>
        <w:tc>
          <w:tcPr>
            <w:tcW w:w="12176" w:type="dxa"/>
          </w:tcPr>
          <w:p w14:paraId="4008CF89" w14:textId="17FA7C77" w:rsidR="00C444BF" w:rsidRDefault="00C444BF" w:rsidP="00C444BF">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bl>
    <w:p w14:paraId="74DAEDD9" w14:textId="77777777" w:rsidR="00011C30" w:rsidRDefault="00011C30">
      <w:pPr>
        <w:rPr>
          <w:lang w:eastAsia="zh-CN"/>
        </w:rPr>
      </w:pPr>
    </w:p>
    <w:p w14:paraId="0DE38C6E" w14:textId="77777777" w:rsidR="00011C30" w:rsidRDefault="0013580D">
      <w:pPr>
        <w:rPr>
          <w:lang w:eastAsia="zh-CN"/>
        </w:rPr>
      </w:pPr>
      <w:r>
        <w:rPr>
          <w:b/>
          <w:highlight w:val="yellow"/>
        </w:rPr>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uawei, HiSilicon</w:t>
            </w:r>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ZTE, Sanechips</w:t>
            </w:r>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0F34F3">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0F34F3">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0F34F3">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bl>
    <w:p w14:paraId="7B77FEB1" w14:textId="77777777" w:rsidR="00011C30" w:rsidRDefault="00011C30">
      <w:pPr>
        <w:rPr>
          <w:lang w:eastAsia="zh-CN"/>
        </w:rPr>
      </w:pPr>
    </w:p>
    <w:p w14:paraId="4572C90E" w14:textId="77777777" w:rsidR="00011C30" w:rsidRDefault="0013580D">
      <w:pPr>
        <w:rPr>
          <w:b/>
        </w:rPr>
      </w:pPr>
      <w:r>
        <w:rPr>
          <w:b/>
          <w:highlight w:val="yellow"/>
        </w:rPr>
        <w:lastRenderedPageBreak/>
        <w:t>Question A1-2a</w:t>
      </w:r>
      <w:r>
        <w:rPr>
          <w:b/>
        </w:rPr>
        <w:t>: Do you see a need to support new multi-slot span monitoring for the existing SCS of 120 kHz? Or can we conclude that for 120 kHz SCS, no PDCCH monitoring enhancement is needed?</w:t>
      </w: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r>
              <w:rPr>
                <w:lang w:eastAsia="zh-CN"/>
              </w:rPr>
              <w:t>Futurewei</w:t>
            </w:r>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uawei, HiSilicon</w:t>
            </w:r>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ZTE, Sanechips</w:t>
            </w:r>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bl>
    <w:p w14:paraId="5C17377A" w14:textId="77777777" w:rsidR="00011C30" w:rsidRDefault="00011C30">
      <w:pPr>
        <w:rPr>
          <w:lang w:eastAsia="zh-CN"/>
        </w:rPr>
      </w:pPr>
    </w:p>
    <w:p w14:paraId="01B82149" w14:textId="77777777" w:rsidR="00011C30" w:rsidRDefault="0013580D">
      <w:pPr>
        <w:rPr>
          <w:b/>
        </w:rPr>
      </w:pPr>
      <w:r>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E19875"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5CA2770D"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FBE278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lastRenderedPageBreak/>
        <w:t>Case 1-2: PDCCH monitoring on any span of up to 3 consecutive OFDM symbols of a slot</w:t>
      </w:r>
    </w:p>
    <w:p w14:paraId="1D0059C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1806C4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w:t>
            </w:r>
            <w:del w:id="1" w:author="Fu Ting" w:date="2021-01-26T16:01:00Z">
              <w:r>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 xml:space="preserve">span </w:t>
              </w:r>
            </w:ins>
            <w:r>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Pr>
                  <w:rFonts w:ascii="Times New Roman" w:hAnsi="Times New Roman" w:cs="Times New Roman"/>
                  <w:sz w:val="20"/>
                  <w:szCs w:val="20"/>
                </w:rPr>
                <w:delText>3</w:delText>
              </w:r>
            </w:del>
            <w:r>
              <w:rPr>
                <w:rFonts w:ascii="Times New Roman" w:hAnsi="Times New Roman" w:cs="Times New Roman"/>
                <w:sz w:val="20"/>
                <w:szCs w:val="20"/>
              </w:rPr>
              <w:t xml:space="preserve"> consecutive </w:t>
            </w:r>
            <w:ins w:id="5" w:author="Fu Ting" w:date="2021-01-26T16:01:00Z">
              <w:r>
                <w:rPr>
                  <w:rFonts w:ascii="Times New Roman" w:hAnsi="Times New Roman" w:cs="Times New Roman"/>
                  <w:sz w:val="20"/>
                  <w:szCs w:val="20"/>
                </w:rPr>
                <w:t>slots</w:t>
              </w:r>
            </w:ins>
            <w:del w:id="6" w:author="Fu Ting" w:date="2021-01-26T16:01:00Z">
              <w:r>
                <w:rPr>
                  <w:rFonts w:ascii="Times New Roman" w:hAnsi="Times New Roman" w:cs="Times New Roman"/>
                  <w:sz w:val="20"/>
                  <w:szCs w:val="20"/>
                </w:rPr>
                <w:delText xml:space="preserve">OFDM symbols </w:delText>
              </w:r>
            </w:del>
            <w:r>
              <w:rPr>
                <w:rFonts w:ascii="Times New Roman" w:hAnsi="Times New Roman" w:cs="Times New Roman"/>
                <w:sz w:val="20"/>
                <w:szCs w:val="20"/>
              </w:rPr>
              <w:t>that have fixed positions in each slot</w:t>
            </w:r>
          </w:p>
          <w:p w14:paraId="213394F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Pr>
                  <w:rFonts w:ascii="Times New Roman" w:hAnsi="Times New Roman" w:cs="Times New Roman"/>
                  <w:sz w:val="20"/>
                  <w:szCs w:val="20"/>
                </w:rPr>
                <w:delText>three OFDM symbols of a slot</w:delText>
              </w:r>
            </w:del>
          </w:p>
          <w:p w14:paraId="52E78A85"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w:t>
            </w:r>
            <w:del w:id="9" w:author="Fu Ting" w:date="2021-01-26T16:03:00Z">
              <w:r>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 xml:space="preserve">consecutive </w:t>
            </w:r>
            <w:del w:id="11" w:author="Fu Ting" w:date="2021-01-26T16:02:00Z">
              <w:r>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Pr>
                  <w:rFonts w:ascii="Times New Roman" w:hAnsi="Times New Roman" w:cs="Times New Roman"/>
                  <w:sz w:val="20"/>
                  <w:szCs w:val="20"/>
                </w:rPr>
                <w:delText>slot</w:delText>
              </w:r>
            </w:del>
          </w:p>
          <w:p w14:paraId="17B9FDA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w:t>
            </w:r>
            <w:del w:id="15" w:author="Fu Ting" w:date="2021-01-26T16:03:00Z">
              <w:r>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Pr>
                  <w:rFonts w:ascii="Times New Roman" w:hAnsi="Times New Roman" w:cs="Times New Roman"/>
                  <w:sz w:val="20"/>
                  <w:szCs w:val="20"/>
                </w:rPr>
                <w:delText xml:space="preserve"> OFDM symbols</w:delText>
              </w:r>
            </w:del>
            <w:r>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Pr>
                  <w:rFonts w:ascii="Times New Roman" w:hAnsi="Times New Roman" w:cs="Times New Roman"/>
                  <w:sz w:val="20"/>
                  <w:szCs w:val="20"/>
                </w:rPr>
                <w:delText>slot</w:delText>
              </w:r>
            </w:del>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w:t>
            </w:r>
            <w:r>
              <w:lastRenderedPageBreak/>
              <w:t xml:space="preserve">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r>
              <w:rPr>
                <w:lang w:eastAsia="zh-CN"/>
              </w:rPr>
              <w:lastRenderedPageBreak/>
              <w:t>Futurewei</w:t>
            </w:r>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t>H</w:t>
            </w:r>
            <w:r>
              <w:t>uawei, HiSilicon</w:t>
            </w:r>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r>
              <w:t xml:space="preserve">X :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lastRenderedPageBreak/>
              <w:t>ZTE, Sanechips</w:t>
            </w:r>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bl>
    <w:p w14:paraId="57CFA0D8" w14:textId="77777777" w:rsidR="00011C30" w:rsidRDefault="00011C30">
      <w:pPr>
        <w:rPr>
          <w:lang w:eastAsia="zh-CN"/>
        </w:rPr>
      </w:pPr>
    </w:p>
    <w:p w14:paraId="535A57C8" w14:textId="77777777" w:rsidR="00011C30" w:rsidRDefault="0013580D">
      <w:pPr>
        <w:rPr>
          <w:b/>
        </w:rPr>
      </w:pPr>
      <w:r>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 xml:space="preserve">For the minimum separation (i.e., gap) between two MOs, 4 slots for 480kHz and 8 slots for 960kHz are agreeable. In addition, based </w:t>
            </w:r>
            <w:r>
              <w:lastRenderedPageBreak/>
              <w:t>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r>
              <w:rPr>
                <w:lang w:eastAsia="zh-CN"/>
              </w:rPr>
              <w:lastRenderedPageBreak/>
              <w:t>Futurewei</w:t>
            </w:r>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uawei, HiSilicon</w:t>
            </w:r>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ZTE, Sanechips</w:t>
            </w:r>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bl>
    <w:p w14:paraId="1506D545" w14:textId="77777777" w:rsidR="00011C30" w:rsidRDefault="00011C30">
      <w:pPr>
        <w:rPr>
          <w:lang w:eastAsia="zh-CN"/>
        </w:rPr>
      </w:pPr>
    </w:p>
    <w:p w14:paraId="42306373" w14:textId="77777777" w:rsidR="00011C30" w:rsidRDefault="0013580D">
      <w:pPr>
        <w:rPr>
          <w:b/>
        </w:rPr>
      </w:pPr>
      <w:r>
        <w:rPr>
          <w:b/>
          <w:highlight w:val="yellow"/>
        </w:rPr>
        <w:t>Question A1-2d</w:t>
      </w:r>
      <w:r>
        <w:rPr>
          <w:b/>
        </w:rPr>
        <w:t>: For multi-slot span monitoring, what should the basis for defining the PDCCH monitoring capability is based on how to define the PDCCH monitoring capability (e.g.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Default="0013580D">
            <w:pPr>
              <w:rPr>
                <w:lang w:eastAsia="zh-CN"/>
              </w:rPr>
            </w:pPr>
            <w:r>
              <w:rPr>
                <w:rFonts w:hint="eastAsia"/>
                <w:lang w:eastAsia="zh-CN"/>
              </w:rPr>
              <w:t>X</w:t>
            </w:r>
            <w:r>
              <w:rPr>
                <w:lang w:eastAsia="zh-CN"/>
              </w:rPr>
              <w:t>iaomi</w:t>
            </w:r>
          </w:p>
        </w:tc>
        <w:tc>
          <w:tcPr>
            <w:tcW w:w="12176" w:type="dxa"/>
          </w:tcPr>
          <w:p w14:paraId="0B7F5ECC" w14:textId="77777777" w:rsidR="00011C30" w:rsidRDefault="0013580D">
            <w:r>
              <w:t>Fixed pattern of N slots should be the basis for define multi-slot PDCCH monitoring capability. Just like in R15 single-slot PDCCH monitoring capability definition, the boundary for a slot is fixed.</w:t>
            </w:r>
          </w:p>
          <w:p w14:paraId="30646824" w14:textId="77777777" w:rsidR="00011C30" w:rsidRDefault="0013580D">
            <w:r>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Default="0013580D">
            <w:pPr>
              <w:rPr>
                <w:lang w:eastAsia="zh-CN"/>
              </w:rPr>
            </w:pPr>
            <w:r>
              <w:t>Qualcomm</w:t>
            </w:r>
          </w:p>
        </w:tc>
        <w:tc>
          <w:tcPr>
            <w:tcW w:w="12176" w:type="dxa"/>
          </w:tcPr>
          <w:p w14:paraId="591C1C34" w14:textId="77777777"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Default="0013580D">
            <w:r>
              <w:rPr>
                <w:lang w:eastAsia="zh-CN"/>
              </w:rPr>
              <w:t>Futurewei</w:t>
            </w:r>
          </w:p>
        </w:tc>
        <w:tc>
          <w:tcPr>
            <w:tcW w:w="12176" w:type="dxa"/>
          </w:tcPr>
          <w:p w14:paraId="4C3EE2CA" w14:textId="77777777" w:rsidR="00011C30" w:rsidRDefault="0013580D">
            <w:r>
              <w:t>We prefer a fixed pattern of N slots (TBD)</w:t>
            </w:r>
          </w:p>
        </w:tc>
      </w:tr>
      <w:tr w:rsidR="00011C30" w14:paraId="0DBD0570" w14:textId="77777777">
        <w:tc>
          <w:tcPr>
            <w:tcW w:w="2405" w:type="dxa"/>
          </w:tcPr>
          <w:p w14:paraId="486DB30F" w14:textId="77777777" w:rsidR="00011C30" w:rsidRDefault="0013580D">
            <w:r>
              <w:rPr>
                <w:rFonts w:hint="eastAsia"/>
              </w:rPr>
              <w:t>H</w:t>
            </w:r>
            <w:r>
              <w:t>uawei, HiSilicon</w:t>
            </w:r>
          </w:p>
        </w:tc>
        <w:tc>
          <w:tcPr>
            <w:tcW w:w="12176" w:type="dxa"/>
          </w:tcPr>
          <w:p w14:paraId="337B2F0D" w14:textId="77777777" w:rsidR="00011C30" w:rsidRDefault="0013580D">
            <w:r>
              <w:rPr>
                <w:rFonts w:hint="eastAsia"/>
              </w:rPr>
              <w:t xml:space="preserve">The question seems to contain some grammatical typos. </w:t>
            </w:r>
          </w:p>
          <w:p w14:paraId="17C8CF15" w14:textId="77777777" w:rsidR="00011C30" w:rsidRDefault="0013580D">
            <w:r>
              <w:lastRenderedPageBreak/>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Default="0013580D">
            <w:r>
              <w:lastRenderedPageBreak/>
              <w:t>Apple</w:t>
            </w:r>
          </w:p>
        </w:tc>
        <w:tc>
          <w:tcPr>
            <w:tcW w:w="12176" w:type="dxa"/>
          </w:tcPr>
          <w:p w14:paraId="69DD2CCD" w14:textId="77777777" w:rsidR="00011C30" w:rsidRDefault="0013580D">
            <w:r>
              <w:t>We prefer a fixed pattern</w:t>
            </w:r>
          </w:p>
        </w:tc>
      </w:tr>
      <w:tr w:rsidR="00011C30" w14:paraId="20EF5923" w14:textId="77777777">
        <w:tc>
          <w:tcPr>
            <w:tcW w:w="2405" w:type="dxa"/>
          </w:tcPr>
          <w:p w14:paraId="327F2DE7" w14:textId="77777777" w:rsidR="00011C30" w:rsidRDefault="0013580D">
            <w:pPr>
              <w:rPr>
                <w:lang w:eastAsia="zh-CN"/>
              </w:rPr>
            </w:pPr>
            <w:r>
              <w:rPr>
                <w:rFonts w:hint="eastAsia"/>
                <w:lang w:eastAsia="zh-CN"/>
              </w:rPr>
              <w:t>ZTE, Sanechips</w:t>
            </w:r>
          </w:p>
        </w:tc>
        <w:tc>
          <w:tcPr>
            <w:tcW w:w="12176" w:type="dxa"/>
          </w:tcPr>
          <w:p w14:paraId="5410BB54" w14:textId="77777777" w:rsidR="00011C30" w:rsidRDefault="0013580D">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Default="0013580D" w:rsidP="0013580D">
            <w:pPr>
              <w:rPr>
                <w:lang w:eastAsia="zh-CN"/>
              </w:rPr>
            </w:pPr>
            <w:r>
              <w:rPr>
                <w:lang w:eastAsia="zh-CN"/>
              </w:rPr>
              <w:t>Samsung</w:t>
            </w:r>
          </w:p>
        </w:tc>
        <w:tc>
          <w:tcPr>
            <w:tcW w:w="12176" w:type="dxa"/>
          </w:tcPr>
          <w:p w14:paraId="163D4567" w14:textId="77777777"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Default="007E79DD" w:rsidP="007E79DD">
            <w:pPr>
              <w:rPr>
                <w:lang w:eastAsia="zh-CN"/>
              </w:rPr>
            </w:pPr>
            <w:r>
              <w:t>Intel</w:t>
            </w:r>
          </w:p>
        </w:tc>
        <w:tc>
          <w:tcPr>
            <w:tcW w:w="12176" w:type="dxa"/>
          </w:tcPr>
          <w:p w14:paraId="046735D2" w14:textId="77777777" w:rsidR="007E79DD" w:rsidRDefault="007E79DD" w:rsidP="007E79DD">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068871A4" w14:textId="77777777" w:rsidR="007E79DD" w:rsidRDefault="007E79DD" w:rsidP="007E79DD">
            <w:r>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2" o:title=""/>
                </v:shape>
                <o:OLEObject Type="Embed" ProgID="Visio.Drawing.15" ShapeID="_x0000_i1025" DrawAspect="Content" ObjectID="_1673203349" r:id="rId13"/>
              </w:object>
            </w:r>
          </w:p>
          <w:p w14:paraId="0959FAB7" w14:textId="3B7C4478" w:rsidR="007E79DD" w:rsidRDefault="007E79DD" w:rsidP="007E79DD">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Default="00912784" w:rsidP="00912784">
            <w:r>
              <w:rPr>
                <w:lang w:eastAsia="zh-CN"/>
              </w:rPr>
              <w:t>MediaTek</w:t>
            </w:r>
          </w:p>
        </w:tc>
        <w:tc>
          <w:tcPr>
            <w:tcW w:w="12176" w:type="dxa"/>
          </w:tcPr>
          <w:p w14:paraId="706D87C7" w14:textId="2EF928AE" w:rsidR="00912784" w:rsidRDefault="00912784" w:rsidP="00912784">
            <w:r>
              <w:rPr>
                <w:lang w:eastAsia="zh-CN"/>
              </w:rPr>
              <w:t xml:space="preserve">Definition of </w:t>
            </w:r>
            <w:r w:rsidRPr="00912784">
              <w:rPr>
                <w:lang w:eastAsia="zh-CN"/>
              </w:rPr>
              <w:t xml:space="preserve">flexible pattern; floating/sliding window </w:t>
            </w:r>
            <w:r>
              <w:rPr>
                <w:lang w:eastAsia="zh-CN"/>
              </w:rPr>
              <w:t xml:space="preserve">should be specified first. In general, we prefer a fixed monitoring pattern to simplify monitoring and discussion of the associated BD/CCE limit, i.e., monitor the </w:t>
            </w:r>
            <w:r>
              <w:t>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rPr>
                <w:lang w:eastAsia="zh-CN"/>
              </w:rPr>
              <w:t xml:space="preserve">. Otherwise, the discussion of BD/CCE limit for multi-slot needs to consider many monitoring pattern, which complicates the discussion. </w:t>
            </w:r>
          </w:p>
        </w:tc>
      </w:tr>
    </w:tbl>
    <w:p w14:paraId="4DD8F15D" w14:textId="77777777" w:rsidR="00011C30" w:rsidRDefault="00011C30">
      <w:pPr>
        <w:rPr>
          <w:lang w:eastAsia="zh-CN"/>
        </w:rPr>
      </w:pPr>
    </w:p>
    <w:p w14:paraId="16B05F05" w14:textId="77777777" w:rsidR="00011C30" w:rsidRDefault="0013580D">
      <w:pPr>
        <w:rPr>
          <w:b/>
        </w:rPr>
      </w:pPr>
      <w:r>
        <w:rPr>
          <w:b/>
          <w:highlight w:val="yellow"/>
        </w:rPr>
        <w:lastRenderedPageBreak/>
        <w:t>Question A1-3</w:t>
      </w:r>
      <w:r>
        <w:rPr>
          <w:b/>
        </w:rPr>
        <w:t>: Is the following proposal agreeable?</w:t>
      </w:r>
    </w:p>
    <w:p w14:paraId="0739FB51" w14:textId="77777777" w:rsidR="00011C30" w:rsidRDefault="0013580D">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bl>
    <w:p w14:paraId="73EFA3E6" w14:textId="77777777" w:rsidR="00011C30" w:rsidRDefault="0013580D">
      <w:pPr>
        <w:pStyle w:val="Heading3"/>
      </w:pPr>
      <w:r>
        <w:t>Topic A2: PDCCH Extensions for e.g. Coverage, Reliability</w:t>
      </w:r>
    </w:p>
    <w:p w14:paraId="4B6FABFC" w14:textId="77777777" w:rsidR="00011C30" w:rsidRDefault="0013580D">
      <w:pPr>
        <w:rPr>
          <w:b/>
        </w:rPr>
      </w:pPr>
      <w:r>
        <w:rPr>
          <w:b/>
          <w:highlight w:val="yellow"/>
        </w:rPr>
        <w:t>Question A2-1</w:t>
      </w:r>
      <w:r>
        <w:rPr>
          <w:b/>
        </w:rPr>
        <w:t>: Do you see a need to improve coverage or reliability of PDCCH compared to Rel-15/16? Please provide a motivation.</w:t>
      </w: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lastRenderedPageBreak/>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t>Futurewei</w:t>
            </w:r>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 xml:space="preserve">We don’t see the strong need to support it since SSB and PDSCH coverage enhancement </w:t>
            </w:r>
            <w:bookmarkStart w:id="21" w:name="_GoBack"/>
            <w:bookmarkEnd w:id="21"/>
            <w:r>
              <w:rPr>
                <w:lang w:eastAsia="zh-CN"/>
              </w:rPr>
              <w:t>are excluded in WID. However, we are open to discuss it if this issue can be validated.</w:t>
            </w:r>
          </w:p>
        </w:tc>
      </w:tr>
    </w:tbl>
    <w:p w14:paraId="394458C7" w14:textId="77777777" w:rsidR="00011C30" w:rsidRDefault="00011C30">
      <w:pPr>
        <w:rPr>
          <w:lang w:eastAsia="zh-CN"/>
        </w:rPr>
      </w:pPr>
    </w:p>
    <w:p w14:paraId="0E0E9680" w14:textId="77777777" w:rsidR="00011C30" w:rsidRDefault="0013580D">
      <w:pPr>
        <w:pStyle w:val="Heading3"/>
      </w:pPr>
      <w:r>
        <w:t>Topic B: M</w:t>
      </w:r>
      <w:r>
        <w:rPr>
          <w:lang w:eastAsia="ja-JP"/>
        </w:rPr>
        <w:t>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1475FB5D" w14:textId="77777777" w:rsidR="00011C30" w:rsidRDefault="0013580D">
      <w:pPr>
        <w:rPr>
          <w:b/>
        </w:rPr>
      </w:pPr>
      <w:r>
        <w:rPr>
          <w:b/>
          <w:highlight w:val="yellow"/>
        </w:rPr>
        <w:t>Question B-1</w:t>
      </w:r>
      <w:r>
        <w:rPr>
          <w:b/>
        </w:rPr>
        <w:t>: Do you see a need for 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 xml:space="preserve">Any restriction on the PDCCH monitoring configuration (e.g., periodicity, AL, number of candidates, etc.) should be up to network, as </w:t>
            </w:r>
            <w:r>
              <w:lastRenderedPageBreak/>
              <w:t>long as it fulfills UE’s PDCCH monitoring capability.</w:t>
            </w:r>
          </w:p>
        </w:tc>
      </w:tr>
      <w:tr w:rsidR="00011C30" w14:paraId="1CFA7C7B" w14:textId="77777777">
        <w:tc>
          <w:tcPr>
            <w:tcW w:w="2405" w:type="dxa"/>
          </w:tcPr>
          <w:p w14:paraId="53812C00" w14:textId="77777777" w:rsidR="00011C30" w:rsidRDefault="0013580D">
            <w:r>
              <w:rPr>
                <w:lang w:eastAsia="zh-CN"/>
              </w:rPr>
              <w:lastRenderedPageBreak/>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bl>
    <w:p w14:paraId="282A0093" w14:textId="77777777" w:rsidR="00011C30" w:rsidRDefault="00011C30">
      <w:pPr>
        <w:rPr>
          <w:lang w:eastAsia="zh-CN"/>
        </w:rPr>
      </w:pPr>
    </w:p>
    <w:p w14:paraId="6E64D1BB" w14:textId="77777777" w:rsidR="00011C30" w:rsidRDefault="0013580D">
      <w:pPr>
        <w:pStyle w:val="Heading3"/>
      </w:pPr>
      <w:r>
        <w:t>Topic C: Multi-Beam Aspects</w:t>
      </w:r>
    </w:p>
    <w:p w14:paraId="2CCED3F8" w14:textId="77777777" w:rsidR="00011C30" w:rsidRDefault="00011C30"/>
    <w:p w14:paraId="15A68D44" w14:textId="77777777" w:rsidR="00011C30" w:rsidRDefault="0013580D">
      <w:pPr>
        <w:rPr>
          <w:b/>
        </w:rPr>
      </w:pPr>
      <w:r>
        <w:rPr>
          <w:b/>
          <w:highlight w:val="yellow"/>
        </w:rPr>
        <w:t>Question C-1</w:t>
      </w:r>
      <w:r>
        <w:rPr>
          <w:b/>
        </w:rPr>
        <w:t>: Do you have any views on the need for enhancing PDCCH w.r.t. multiple beams?</w:t>
      </w: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lastRenderedPageBreak/>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bl>
    <w:p w14:paraId="41BD5A52" w14:textId="77777777" w:rsidR="00011C30" w:rsidRDefault="00011C30">
      <w:pPr>
        <w:rPr>
          <w:lang w:eastAsia="zh-CN"/>
        </w:rPr>
      </w:pPr>
    </w:p>
    <w:p w14:paraId="183ECBAA" w14:textId="77777777" w:rsidR="00011C30" w:rsidRDefault="0013580D">
      <w:pPr>
        <w:pStyle w:val="Heading3"/>
      </w:pPr>
      <w:r>
        <w:t>Topic D: Cross-carrier scheduling</w:t>
      </w:r>
    </w:p>
    <w:p w14:paraId="3C18045C" w14:textId="77777777" w:rsidR="00011C30" w:rsidRDefault="00011C30"/>
    <w:p w14:paraId="006C21D4" w14:textId="77777777" w:rsidR="00011C30" w:rsidRDefault="0013580D">
      <w:pPr>
        <w:rPr>
          <w:b/>
        </w:rPr>
      </w:pPr>
      <w:r>
        <w:rPr>
          <w:b/>
          <w:highlight w:val="yellow"/>
        </w:rPr>
        <w:t>Question D-1</w:t>
      </w:r>
      <w:r>
        <w:rPr>
          <w:b/>
        </w:rPr>
        <w:t>: Would you like to provide any views on the documents and proposals listed under Topic D?</w:t>
      </w: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lastRenderedPageBreak/>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bl>
    <w:p w14:paraId="55D1F4E8" w14:textId="77777777" w:rsidR="00011C30" w:rsidRDefault="00011C30">
      <w:pPr>
        <w:rPr>
          <w:lang w:eastAsia="zh-CN"/>
        </w:rPr>
      </w:pPr>
    </w:p>
    <w:p w14:paraId="72AD4F28" w14:textId="77777777" w:rsidR="00011C30" w:rsidRDefault="0013580D">
      <w:pPr>
        <w:pStyle w:val="Heading3"/>
      </w:pPr>
      <w:r>
        <w:t>Topic E: Other</w:t>
      </w:r>
    </w:p>
    <w:p w14:paraId="7DC29A6D" w14:textId="77777777" w:rsidR="00011C30" w:rsidRDefault="00011C30"/>
    <w:p w14:paraId="2DAB5331" w14:textId="77777777" w:rsidR="00011C30" w:rsidRDefault="0013580D">
      <w:pPr>
        <w:rPr>
          <w:b/>
        </w:rPr>
      </w:pPr>
      <w:r>
        <w:rPr>
          <w:b/>
          <w:highlight w:val="yellow"/>
        </w:rPr>
        <w:t>Question E-1</w:t>
      </w:r>
      <w:r>
        <w:rPr>
          <w:b/>
        </w:rPr>
        <w:t>: Would you like to provide any views on the documents and proposals listed under Topic E?</w:t>
      </w: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bl>
    <w:p w14:paraId="6095B955" w14:textId="77777777" w:rsidR="00011C30" w:rsidRDefault="00011C30">
      <w:pPr>
        <w:rPr>
          <w:lang w:eastAsia="zh-CN"/>
        </w:rPr>
      </w:pPr>
    </w:p>
    <w:p w14:paraId="6AF3EA4A" w14:textId="77777777" w:rsidR="00011C30" w:rsidRDefault="00011C30">
      <w:pPr>
        <w:rPr>
          <w:lang w:eastAsia="zh-CN"/>
        </w:rPr>
      </w:pP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lastRenderedPageBreak/>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t>R1-2100074 (ZTE, Sanechips)</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zh-TW"/>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lang w:eastAsia="zh-TW"/>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r>
              <w:rPr>
                <w:rFonts w:eastAsia="SimSun" w:hint="eastAsia"/>
                <w:bCs/>
                <w:lang w:eastAsia="zh-CN"/>
              </w:rPr>
              <w:lastRenderedPageBreak/>
              <w:t>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lastRenderedPageBreak/>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7pt;height:366pt" o:ole="">
                  <v:imagedata r:id="rId16" o:title=""/>
                </v:shape>
                <o:OLEObject Type="Embed" ProgID="Visio.Drawing.15" ShapeID="_x0000_i1026" DrawAspect="Content" ObjectID="_1673203350" r:id="rId17"/>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 xml:space="preserve">If multi-slot span monitoring is adopted, the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lastRenderedPageBreak/>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2" w:name="_Ref60647596"/>
            <w:r>
              <w:t xml:space="preserve">Table </w:t>
            </w:r>
            <w:r>
              <w:fldChar w:fldCharType="begin"/>
            </w:r>
            <w:r>
              <w:instrText xml:space="preserve"> SEQ Table \* ARABIC </w:instrText>
            </w:r>
            <w:r>
              <w:fldChar w:fldCharType="separate"/>
            </w:r>
            <w:r>
              <w:t>1</w:t>
            </w:r>
            <w:r>
              <w:fldChar w:fldCharType="end"/>
            </w:r>
            <w:bookmarkEnd w:id="22"/>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lastRenderedPageBreak/>
              <w:t xml:space="preserve">Table </w:t>
            </w:r>
            <w:r w:rsidR="002622FC">
              <w:fldChar w:fldCharType="begin"/>
            </w:r>
            <w:r w:rsidR="002622FC">
              <w:instrText xml:space="preserve"> SEQ Table \* ARABIC </w:instrText>
            </w:r>
            <w:r w:rsidR="002622FC">
              <w:fldChar w:fldCharType="separate"/>
            </w:r>
            <w:r>
              <w:t>2</w:t>
            </w:r>
            <w:r w:rsidR="002622FC">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23" w:name="_Ref61441296"/>
            <w:bookmarkStart w:id="2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3"/>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2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5"/>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2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26"/>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2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27"/>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2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28"/>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2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29"/>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3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30"/>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3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31"/>
          </w:p>
          <w:p w14:paraId="49E9A78F" w14:textId="77777777" w:rsidR="00011C30" w:rsidRDefault="00011C30">
            <w:pPr>
              <w:spacing w:beforeLines="50" w:before="120"/>
              <w:jc w:val="both"/>
              <w:rPr>
                <w:lang w:eastAsia="zh-CN"/>
              </w:rPr>
            </w:pPr>
          </w:p>
        </w:tc>
      </w:tr>
      <w:bookmarkEnd w:id="24"/>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32" w:name="_Ref61377008"/>
            <w:r>
              <w:t xml:space="preserve">Proposal </w:t>
            </w:r>
            <w:r w:rsidR="002622FC">
              <w:fldChar w:fldCharType="begin"/>
            </w:r>
            <w:r w:rsidR="002622FC">
              <w:instrText xml:space="preserve"> SEQ Proposal \* ARABIC </w:instrText>
            </w:r>
            <w:r w:rsidR="002622FC">
              <w:fldChar w:fldCharType="separate"/>
            </w:r>
            <w:r>
              <w:t>1</w:t>
            </w:r>
            <w:r w:rsidR="002622FC">
              <w:fldChar w:fldCharType="end"/>
            </w:r>
            <w:r>
              <w:t>: For 120 kHz SCS, no PDCCH monitoring enhancement is needed. The existing FR2 designs and capabilities for PDCCH monitoring of 120 kHz SCS are reused.</w:t>
            </w:r>
            <w:bookmarkEnd w:id="32"/>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lang w:eastAsia="zh-TW"/>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33" w:name="_Ref61525739"/>
            <w:r>
              <w:t xml:space="preserve">Figure </w:t>
            </w:r>
            <w:r w:rsidR="002622FC">
              <w:fldChar w:fldCharType="begin"/>
            </w:r>
            <w:r w:rsidR="002622FC">
              <w:instrText xml:space="preserve"> SEQ Figure \* ARABIC </w:instrText>
            </w:r>
            <w:r w:rsidR="002622FC">
              <w:fldChar w:fldCharType="separate"/>
            </w:r>
            <w:r>
              <w:t>1</w:t>
            </w:r>
            <w:r w:rsidR="002622FC">
              <w:fldChar w:fldCharType="end"/>
            </w:r>
            <w:bookmarkEnd w:id="33"/>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34" w:name="_Ref61526051"/>
            <w:r>
              <w:t xml:space="preserve">Proposal </w:t>
            </w:r>
            <w:r w:rsidR="002622FC">
              <w:fldChar w:fldCharType="begin"/>
            </w:r>
            <w:r w:rsidR="002622FC">
              <w:instrText xml:space="preserve"> SEQ Proposal \* ARABIC </w:instrText>
            </w:r>
            <w:r w:rsidR="002622FC">
              <w:fldChar w:fldCharType="separate"/>
            </w:r>
            <w:r>
              <w:t>2</w:t>
            </w:r>
            <w:r w:rsidR="002622FC">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34"/>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35" w:name="_Ref61526076"/>
            <w:r>
              <w:t xml:space="preserve">Proposal </w:t>
            </w:r>
            <w:r w:rsidR="002622FC">
              <w:fldChar w:fldCharType="begin"/>
            </w:r>
            <w:r w:rsidR="002622FC">
              <w:instrText xml:space="preserve"> SEQ Proposal \* ARABIC </w:instrText>
            </w:r>
            <w:r w:rsidR="002622FC">
              <w:fldChar w:fldCharType="separate"/>
            </w:r>
            <w:r>
              <w:t>3</w:t>
            </w:r>
            <w:r w:rsidR="002622FC">
              <w:fldChar w:fldCharType="end"/>
            </w:r>
            <w:r>
              <w:t>: For 480 and 960 kHz SCS, legacy per slot monitoring should be supported and the associated BD/CCE limit should be defined accordingly.</w:t>
            </w:r>
            <w:bookmarkEnd w:id="35"/>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6" w:name="_Toc61769618"/>
            <w:r>
              <w:t>The monitoring periodicity of search space is an integer multiple of the bundle size B used to define UE PDCCH processing capabilities per bundle of B slots</w:t>
            </w:r>
            <w:r>
              <w:rPr>
                <w:rFonts w:eastAsiaTheme="minorEastAsia"/>
              </w:rPr>
              <w:t>.</w:t>
            </w:r>
            <w:bookmarkEnd w:id="36"/>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Default="002622FC">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1DB99A9D" w14:textId="77777777" w:rsidR="00011C30" w:rsidRDefault="002622FC">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746D4C94" w14:textId="77777777" w:rsidR="00011C30" w:rsidRDefault="00011C30">
            <w:pPr>
              <w:pStyle w:val="BodyText"/>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7" w:name="_Toc53776234"/>
            <w:bookmarkStart w:id="3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8"/>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9" w:name="_Toc61769620"/>
            <w:r>
              <w:t>RAN1 strives to narrow down the supported PDCCH monitoring bundle size values to those beneficial to system operations and implementation</w:t>
            </w:r>
            <w:r>
              <w:rPr>
                <w:rFonts w:eastAsiaTheme="minorEastAsia"/>
              </w:rPr>
              <w:t>.</w:t>
            </w:r>
            <w:bookmarkEnd w:id="39"/>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2622FC">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2622FC">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2622FC">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2622FC">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42" w:name="__DdeLink__15710_1451397986"/>
            <w:bookmarkEnd w:id="42"/>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pt;height:118.5pt" o:ole="">
                  <v:imagedata r:id="rId19" o:title=""/>
                </v:shape>
                <o:OLEObject Type="Embed" ProgID="Visio.Drawing.15" ShapeID="_x0000_i1027" DrawAspect="Content" ObjectID="_1673203351" r:id="rId20"/>
              </w:object>
            </w:r>
          </w:p>
          <w:p w14:paraId="01181F02" w14:textId="77777777" w:rsidR="00011C30" w:rsidRDefault="0013580D">
            <w:pPr>
              <w:tabs>
                <w:tab w:val="left" w:pos="7406"/>
              </w:tabs>
              <w:spacing w:line="360" w:lineRule="auto"/>
              <w:jc w:val="center"/>
              <w:rPr>
                <w:bCs/>
                <w:iCs/>
              </w:rPr>
            </w:pPr>
            <w:bookmarkStart w:id="4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43"/>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44" w:name="_Toc61546060"/>
            <w:bookmarkStart w:id="45" w:name="_Toc61547146"/>
            <w:bookmarkStart w:id="46" w:name="_Toc61547161"/>
            <w:bookmarkStart w:id="47" w:name="_Toc61547195"/>
            <w:bookmarkStart w:id="48" w:name="_Toc61822876"/>
            <w:bookmarkStart w:id="49" w:name="_Toc61859944"/>
            <w:bookmarkStart w:id="50" w:name="_Toc61859755"/>
            <w:bookmarkStart w:id="51" w:name="_Toc61869390"/>
            <w:r>
              <w:t xml:space="preserve">Proposal </w:t>
            </w:r>
            <w:r w:rsidR="002622FC">
              <w:fldChar w:fldCharType="begin"/>
            </w:r>
            <w:r w:rsidR="002622FC">
              <w:instrText xml:space="preserve"> SEQ Proposal \* ARABIC </w:instrText>
            </w:r>
            <w:r w:rsidR="002622FC">
              <w:fldChar w:fldCharType="separate"/>
            </w:r>
            <w:r>
              <w:t>1</w:t>
            </w:r>
            <w:r w:rsidR="002622FC">
              <w:fldChar w:fldCharType="end"/>
            </w:r>
            <w:r>
              <w:t>: For new SCSs, support the per-slot PDCCH monitoring capability and further study on the number of BD and non-overlapped CCE.</w:t>
            </w:r>
            <w:bookmarkEnd w:id="44"/>
            <w:bookmarkEnd w:id="45"/>
            <w:bookmarkEnd w:id="46"/>
            <w:bookmarkEnd w:id="47"/>
            <w:bookmarkEnd w:id="48"/>
            <w:bookmarkEnd w:id="49"/>
            <w:bookmarkEnd w:id="50"/>
            <w:bookmarkEnd w:id="51"/>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52" w:name="_Ref60926036"/>
            <w:r>
              <w:t xml:space="preserve">Table </w:t>
            </w:r>
            <w:r w:rsidR="002622FC">
              <w:fldChar w:fldCharType="begin"/>
            </w:r>
            <w:r w:rsidR="002622FC">
              <w:instrText xml:space="preserve"> SEQ Table \* ARABIC </w:instrText>
            </w:r>
            <w:r w:rsidR="002622FC">
              <w:fldChar w:fldCharType="separate"/>
            </w:r>
            <w:r>
              <w:t>1</w:t>
            </w:r>
            <w:r w:rsidR="002622FC">
              <w:fldChar w:fldCharType="end"/>
            </w:r>
            <w:bookmarkEnd w:id="5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Caption"/>
              <w:jc w:val="left"/>
            </w:pPr>
            <w:bookmarkStart w:id="53" w:name="_Toc61547147"/>
            <w:bookmarkStart w:id="54" w:name="_Toc61547196"/>
            <w:bookmarkStart w:id="55" w:name="_Toc61859756"/>
            <w:bookmarkStart w:id="56" w:name="_Toc61547162"/>
            <w:bookmarkStart w:id="57" w:name="_Toc61869391"/>
            <w:bookmarkStart w:id="58" w:name="_Toc61859945"/>
            <w:bookmarkStart w:id="59" w:name="_Toc61822877"/>
            <w:bookmarkStart w:id="60" w:name="_Toc61546061"/>
            <w:bookmarkStart w:id="61" w:name="_Toc61293887"/>
            <w:bookmarkStart w:id="62" w:name="Capability_proposal"/>
            <w:r>
              <w:t xml:space="preserve">Proposal </w:t>
            </w:r>
            <w:r w:rsidR="002622FC">
              <w:fldChar w:fldCharType="begin"/>
            </w:r>
            <w:r w:rsidR="002622FC">
              <w:instrText xml:space="preserve"> SEQ Proposal \* ARABIC </w:instrText>
            </w:r>
            <w:r w:rsidR="002622FC">
              <w:fldChar w:fldCharType="separate"/>
            </w:r>
            <w:r>
              <w:t>2</w:t>
            </w:r>
            <w:r w:rsidR="002622FC">
              <w:fldChar w:fldCharType="end"/>
            </w:r>
            <w:r>
              <w:t>: Multi-slot based PDCCH monitoring capability should be considered for new SCSs with short slot lengths.</w:t>
            </w:r>
            <w:bookmarkEnd w:id="53"/>
            <w:bookmarkEnd w:id="54"/>
            <w:bookmarkEnd w:id="55"/>
            <w:bookmarkEnd w:id="56"/>
            <w:bookmarkEnd w:id="57"/>
            <w:bookmarkEnd w:id="58"/>
            <w:bookmarkEnd w:id="59"/>
            <w:bookmarkEnd w:id="60"/>
            <w:bookmarkEnd w:id="61"/>
            <w:r>
              <w:t xml:space="preserve"> </w:t>
            </w:r>
          </w:p>
          <w:bookmarkEnd w:id="62"/>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63" w:name="_Toc61547197"/>
            <w:bookmarkStart w:id="64" w:name="_Toc61547163"/>
            <w:bookmarkStart w:id="65" w:name="_Toc61822878"/>
            <w:bookmarkStart w:id="66" w:name="_Toc61859757"/>
            <w:bookmarkStart w:id="67" w:name="_Toc61547148"/>
            <w:bookmarkStart w:id="68" w:name="_Toc61293888"/>
            <w:bookmarkStart w:id="69" w:name="_Toc61859946"/>
            <w:bookmarkStart w:id="70" w:name="_Toc61546062"/>
            <w:bookmarkStart w:id="71" w:name="_Toc61869392"/>
            <w:bookmarkStart w:id="72" w:name="Capability_observation"/>
            <w:r>
              <w:t xml:space="preserve">Proposal </w:t>
            </w:r>
            <w:r w:rsidR="002622FC">
              <w:fldChar w:fldCharType="begin"/>
            </w:r>
            <w:r w:rsidR="002622FC">
              <w:instrText xml:space="preserve"> SEQ Proposal \* ARABIC </w:instrText>
            </w:r>
            <w:r w:rsidR="002622FC">
              <w:fldChar w:fldCharType="separate"/>
            </w:r>
            <w:r>
              <w:t>3</w:t>
            </w:r>
            <w:r w:rsidR="002622FC">
              <w:fldChar w:fldCharType="end"/>
            </w:r>
            <w:r>
              <w:t>: The per-span PDCCH monitoring capability in Rel-16 should be extended to define the multi-slot based PDCCH monitoring capability for high SCSs.</w:t>
            </w:r>
            <w:bookmarkEnd w:id="63"/>
            <w:bookmarkEnd w:id="64"/>
            <w:bookmarkEnd w:id="65"/>
            <w:bookmarkEnd w:id="66"/>
            <w:bookmarkEnd w:id="67"/>
            <w:bookmarkEnd w:id="68"/>
            <w:bookmarkEnd w:id="69"/>
            <w:bookmarkEnd w:id="70"/>
            <w:bookmarkEnd w:id="71"/>
          </w:p>
          <w:bookmarkEnd w:id="72"/>
          <w:p w14:paraId="615114A8" w14:textId="77777777" w:rsidR="00011C30" w:rsidRDefault="00011C30"/>
          <w:p w14:paraId="7E925E46" w14:textId="77777777" w:rsidR="00011C30" w:rsidRDefault="0013580D">
            <w:pPr>
              <w:pStyle w:val="Caption"/>
            </w:pPr>
            <w:bookmarkStart w:id="73" w:name="_Ref53568688"/>
            <w:r>
              <w:t xml:space="preserve">Table </w:t>
            </w:r>
            <w:r w:rsidR="002622FC">
              <w:fldChar w:fldCharType="begin"/>
            </w:r>
            <w:r w:rsidR="002622FC">
              <w:instrText xml:space="preserve"> SEQ Table \* ARABIC </w:instrText>
            </w:r>
            <w:r w:rsidR="002622FC">
              <w:fldChar w:fldCharType="separate"/>
            </w:r>
            <w:r>
              <w:t>2</w:t>
            </w:r>
            <w:r w:rsidR="002622FC">
              <w:fldChar w:fldCharType="end"/>
            </w:r>
            <w:bookmarkEnd w:id="73"/>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74" w:name="_Toc61859758"/>
            <w:bookmarkStart w:id="75" w:name="_Toc61869393"/>
            <w:bookmarkStart w:id="76" w:name="_Toc61822879"/>
            <w:bookmarkStart w:id="77" w:name="_Toc61859947"/>
            <w:r>
              <w:t xml:space="preserve">Proposal </w:t>
            </w:r>
            <w:r w:rsidR="002622FC">
              <w:fldChar w:fldCharType="begin"/>
            </w:r>
            <w:r w:rsidR="002622FC">
              <w:instrText xml:space="preserve"> SEQ Proposal \* ARABIC </w:instrText>
            </w:r>
            <w:r w:rsidR="002622FC">
              <w:fldChar w:fldCharType="separate"/>
            </w:r>
            <w:r>
              <w:t>4</w:t>
            </w:r>
            <w:r w:rsidR="002622FC">
              <w:fldChar w:fldCharType="end"/>
            </w:r>
            <w:r>
              <w:t>: For the high SCSs, support both single and multi-slot based PDCCH monitoring capabilities and further study which one should be the default capability.</w:t>
            </w:r>
            <w:bookmarkEnd w:id="74"/>
            <w:bookmarkEnd w:id="75"/>
            <w:bookmarkEnd w:id="76"/>
            <w:bookmarkEnd w:id="77"/>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78" w:name="_Toc61547198"/>
            <w:bookmarkStart w:id="79" w:name="_Toc61859948"/>
            <w:bookmarkStart w:id="80" w:name="_Toc61293889"/>
            <w:bookmarkStart w:id="81" w:name="_Toc61547149"/>
            <w:bookmarkStart w:id="82" w:name="_Toc61859759"/>
            <w:bookmarkStart w:id="83" w:name="_Toc61546063"/>
            <w:bookmarkStart w:id="84" w:name="_Toc61822880"/>
            <w:bookmarkStart w:id="85" w:name="_Toc61869394"/>
            <w:bookmarkStart w:id="86" w:name="_Toc61547164"/>
            <w:r>
              <w:t xml:space="preserve">Proposal </w:t>
            </w:r>
            <w:r w:rsidR="002622FC">
              <w:fldChar w:fldCharType="begin"/>
            </w:r>
            <w:r w:rsidR="002622FC">
              <w:instrText xml:space="preserve"> SEQ Proposal \* ARABIC </w:instrText>
            </w:r>
            <w:r w:rsidR="002622FC">
              <w:fldChar w:fldCharType="separate"/>
            </w:r>
            <w:r>
              <w:t>5</w:t>
            </w:r>
            <w:r w:rsidR="002622FC">
              <w:fldChar w:fldCharType="end"/>
            </w:r>
            <w:r>
              <w:t>: For the high SCSs, support a dynamic switching mechanism between single and multi-slot based PDCCH monitoring capabilities.</w:t>
            </w:r>
            <w:bookmarkEnd w:id="78"/>
            <w:bookmarkEnd w:id="79"/>
            <w:bookmarkEnd w:id="80"/>
            <w:bookmarkEnd w:id="81"/>
            <w:bookmarkEnd w:id="82"/>
            <w:bookmarkEnd w:id="83"/>
            <w:bookmarkEnd w:id="84"/>
            <w:bookmarkEnd w:id="85"/>
            <w:bookmarkEnd w:id="86"/>
          </w:p>
          <w:p w14:paraId="5BA2EFF6" w14:textId="77777777" w:rsidR="00011C30" w:rsidRDefault="0013580D">
            <w:pPr>
              <w:pStyle w:val="Caption"/>
              <w:jc w:val="left"/>
            </w:pPr>
            <w:bookmarkStart w:id="87" w:name="_Toc61546065"/>
            <w:bookmarkStart w:id="88" w:name="_Toc61293932"/>
            <w:bookmarkStart w:id="89" w:name="_Toc61859950"/>
            <w:bookmarkStart w:id="90" w:name="_Toc61869396"/>
            <w:bookmarkStart w:id="91" w:name="_Toc61859761"/>
            <w:bookmarkStart w:id="92" w:name="_Toc61822882"/>
            <w:bookmarkStart w:id="93" w:name="_Toc61547166"/>
            <w:bookmarkStart w:id="94" w:name="_Toc61547200"/>
            <w:bookmarkStart w:id="95" w:name="_Toc61547151"/>
            <w:r>
              <w:t xml:space="preserve">Observation </w:t>
            </w:r>
            <w:r w:rsidR="002622FC">
              <w:fldChar w:fldCharType="begin"/>
            </w:r>
            <w:r w:rsidR="002622FC">
              <w:instrText xml:space="preserve"> SEQ Observation \* ARABIC </w:instrText>
            </w:r>
            <w:r w:rsidR="002622FC">
              <w:fldChar w:fldCharType="separate"/>
            </w:r>
            <w:r>
              <w:t>1</w:t>
            </w:r>
            <w:r w:rsidR="002622FC">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87"/>
            <w:bookmarkEnd w:id="88"/>
            <w:bookmarkEnd w:id="89"/>
            <w:bookmarkEnd w:id="90"/>
            <w:bookmarkEnd w:id="91"/>
            <w:bookmarkEnd w:id="92"/>
            <w:bookmarkEnd w:id="93"/>
            <w:bookmarkEnd w:id="94"/>
            <w:bookmarkEnd w:id="95"/>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zh-TW"/>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r w:rsidR="002622FC">
              <w:fldChar w:fldCharType="begin"/>
            </w:r>
            <w:r w:rsidR="002622FC">
              <w:instrText xml:space="preserve"> SEQ Figure \* ARABIC </w:instrText>
            </w:r>
            <w:r w:rsidR="002622FC">
              <w:fldChar w:fldCharType="separate"/>
            </w:r>
            <w:r>
              <w:t>2</w:t>
            </w:r>
            <w:r w:rsidR="002622FC">
              <w:fldChar w:fldCharType="end"/>
            </w:r>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96" w:name="_Ref61861152"/>
            <w:r>
              <w:t xml:space="preserve">Proposal </w:t>
            </w:r>
            <w:r w:rsidR="002622FC">
              <w:fldChar w:fldCharType="begin"/>
            </w:r>
            <w:r w:rsidR="002622FC">
              <w:instrText xml:space="preserve"> SEQ Proposal \* ARABIC </w:instrText>
            </w:r>
            <w:r w:rsidR="002622FC">
              <w:fldChar w:fldCharType="separate"/>
            </w:r>
            <w:r>
              <w:t>4</w:t>
            </w:r>
            <w:r w:rsidR="002622FC">
              <w:fldChar w:fldCharType="end"/>
            </w:r>
            <w:r>
              <w:t>: For 480 and 960 kHz SCS, PDCCH monitoring is confined to be within the first 3 symbols of a slot when per slot monitoring is configured.</w:t>
            </w:r>
            <w:bookmarkEnd w:id="96"/>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5pt;height:142.5pt" o:ole="">
                  <v:imagedata r:id="rId22" o:title=""/>
                </v:shape>
                <o:OLEObject Type="Embed" ProgID="Visio.Drawing.15" ShapeID="_x0000_i1028" DrawAspect="Content" ObjectID="_1673203352" r:id="rId23"/>
              </w:object>
            </w:r>
          </w:p>
          <w:p w14:paraId="49EF4357" w14:textId="77777777" w:rsidR="00011C30" w:rsidRDefault="0013580D">
            <w:pPr>
              <w:tabs>
                <w:tab w:val="left" w:pos="7406"/>
              </w:tabs>
              <w:spacing w:line="360" w:lineRule="auto"/>
              <w:jc w:val="center"/>
              <w:rPr>
                <w:bCs/>
                <w:iCs/>
              </w:rPr>
            </w:pPr>
            <w:bookmarkStart w:id="9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97"/>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6.25pt" o:ole="">
                  <v:imagedata r:id="rId24" o:title=""/>
                </v:shape>
                <o:OLEObject Type="Embed" ProgID="Visio.Drawing.15" ShapeID="_x0000_i1029" DrawAspect="Content" ObjectID="_1673203353" r:id="rId25"/>
              </w:object>
            </w:r>
          </w:p>
          <w:p w14:paraId="5E508B40" w14:textId="77777777" w:rsidR="00011C30" w:rsidRDefault="0013580D">
            <w:pPr>
              <w:tabs>
                <w:tab w:val="left" w:pos="7406"/>
              </w:tabs>
              <w:spacing w:line="360" w:lineRule="auto"/>
              <w:jc w:val="center"/>
              <w:rPr>
                <w:bCs/>
                <w:iCs/>
              </w:rPr>
            </w:pPr>
            <w:bookmarkStart w:id="9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9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6.25pt" o:ole="">
                  <v:imagedata r:id="rId24" o:title=""/>
                </v:shape>
                <o:OLEObject Type="Embed" ProgID="Visio.Drawing.15" ShapeID="_x0000_i1030" DrawAspect="Content" ObjectID="_1673203354" r:id="rId26"/>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99" w:name="_Toc61859949"/>
            <w:bookmarkStart w:id="100" w:name="_Toc61822881"/>
            <w:bookmarkStart w:id="101" w:name="_Toc61859760"/>
            <w:bookmarkStart w:id="102" w:name="_Toc61547199"/>
            <w:bookmarkStart w:id="103" w:name="_Toc61547165"/>
            <w:bookmarkStart w:id="104" w:name="_Toc61293890"/>
            <w:bookmarkStart w:id="105" w:name="_Toc61869395"/>
            <w:bookmarkStart w:id="106" w:name="_Toc61546064"/>
            <w:bookmarkStart w:id="107" w:name="_Toc61547150"/>
            <w:r>
              <w:t xml:space="preserve">Proposal </w:t>
            </w:r>
            <w:r w:rsidR="002622FC">
              <w:fldChar w:fldCharType="begin"/>
            </w:r>
            <w:r w:rsidR="002622FC">
              <w:instrText xml:space="preserve"> SEQ Proposal \* ARABIC </w:instrText>
            </w:r>
            <w:r w:rsidR="002622FC">
              <w:fldChar w:fldCharType="separate"/>
            </w:r>
            <w:r>
              <w:t>6</w:t>
            </w:r>
            <w:r w:rsidR="002622FC">
              <w:fldChar w:fldCharType="end"/>
            </w:r>
            <w:r>
              <w:t>: In order to support cross-carrier scheduling, the PDSCH reception preparation time (as well as aperiodic CSI-RS reception) for new high SCSs should be investigated.</w:t>
            </w:r>
            <w:bookmarkEnd w:id="99"/>
            <w:bookmarkEnd w:id="100"/>
            <w:bookmarkEnd w:id="101"/>
            <w:bookmarkEnd w:id="102"/>
            <w:bookmarkEnd w:id="103"/>
            <w:bookmarkEnd w:id="104"/>
            <w:bookmarkEnd w:id="105"/>
            <w:bookmarkEnd w:id="106"/>
            <w:bookmarkEnd w:id="107"/>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108" w:name="_Toc61869397"/>
            <w:bookmarkStart w:id="109" w:name="_Toc61547152"/>
            <w:bookmarkStart w:id="110" w:name="_Toc61546066"/>
            <w:bookmarkStart w:id="111" w:name="_Toc61547167"/>
            <w:bookmarkStart w:id="112" w:name="_Toc61547201"/>
            <w:bookmarkStart w:id="113" w:name="_Toc61859951"/>
            <w:bookmarkStart w:id="114" w:name="_Toc61822883"/>
            <w:bookmarkStart w:id="115" w:name="_Toc61859762"/>
            <w:r>
              <w:t xml:space="preserve">Observation </w:t>
            </w:r>
            <w:r w:rsidR="002622FC">
              <w:fldChar w:fldCharType="begin"/>
            </w:r>
            <w:r w:rsidR="002622FC">
              <w:instrText xml:space="preserve"> SEQ Observation \* ARABIC </w:instrText>
            </w:r>
            <w:r w:rsidR="002622FC">
              <w:fldChar w:fldCharType="separate"/>
            </w:r>
            <w:r>
              <w:t>2</w:t>
            </w:r>
            <w:r w:rsidR="002622FC">
              <w:fldChar w:fldCharType="end"/>
            </w:r>
            <w:r>
              <w:t>: Along with the multi-slot based PDCCH monitoring capability, DCI piggyback, as well as multi-PDSCH/PUSCH scheduling, may be considered to compensate the loss of scheduling flexibility and latency.</w:t>
            </w:r>
            <w:bookmarkEnd w:id="108"/>
            <w:bookmarkEnd w:id="109"/>
            <w:bookmarkEnd w:id="110"/>
            <w:bookmarkEnd w:id="111"/>
            <w:bookmarkEnd w:id="112"/>
            <w:bookmarkEnd w:id="113"/>
            <w:bookmarkEnd w:id="114"/>
            <w:bookmarkEnd w:id="115"/>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25pt;height:137.25pt" o:ole="">
                  <v:imagedata r:id="rId27" o:title=""/>
                </v:shape>
                <o:OLEObject Type="Embed" ProgID="Visio.Drawing.15" ShapeID="_x0000_i1031" DrawAspect="Content" ObjectID="_1673203355" r:id="rId28"/>
              </w:object>
            </w:r>
          </w:p>
          <w:p w14:paraId="0D0F2C0C" w14:textId="77777777" w:rsidR="00011C30" w:rsidRDefault="0013580D">
            <w:pPr>
              <w:pStyle w:val="Caption"/>
              <w:rPr>
                <w:lang w:val="en-GB"/>
              </w:rPr>
            </w:pPr>
            <w:bookmarkStart w:id="116" w:name="_Ref61547006"/>
            <w:r>
              <w:t xml:space="preserve">Figure </w:t>
            </w:r>
            <w:r w:rsidR="002622FC">
              <w:fldChar w:fldCharType="begin"/>
            </w:r>
            <w:r w:rsidR="002622FC">
              <w:instrText xml:space="preserve"> SEQ Figure \* ARABIC </w:instrText>
            </w:r>
            <w:r w:rsidR="002622FC">
              <w:fldChar w:fldCharType="separate"/>
            </w:r>
            <w:r>
              <w:t>1</w:t>
            </w:r>
            <w:r w:rsidR="002622FC">
              <w:fldChar w:fldCharType="end"/>
            </w:r>
            <w:bookmarkEnd w:id="116"/>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lastRenderedPageBreak/>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41D55" w14:textId="77777777" w:rsidR="002622FC" w:rsidRDefault="002622FC" w:rsidP="007E79DD">
      <w:pPr>
        <w:spacing w:after="0" w:line="240" w:lineRule="auto"/>
      </w:pPr>
      <w:r>
        <w:separator/>
      </w:r>
    </w:p>
  </w:endnote>
  <w:endnote w:type="continuationSeparator" w:id="0">
    <w:p w14:paraId="7997FEA5" w14:textId="77777777" w:rsidR="002622FC" w:rsidRDefault="002622FC"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A8AA3" w14:textId="77777777" w:rsidR="002622FC" w:rsidRDefault="002622FC" w:rsidP="007E79DD">
      <w:pPr>
        <w:spacing w:after="0" w:line="240" w:lineRule="auto"/>
      </w:pPr>
      <w:r>
        <w:separator/>
      </w:r>
    </w:p>
  </w:footnote>
  <w:footnote w:type="continuationSeparator" w:id="0">
    <w:p w14:paraId="0E9B4CEA" w14:textId="77777777" w:rsidR="002622FC" w:rsidRDefault="002622FC" w:rsidP="007E7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6">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6"/>
  </w:num>
  <w:num w:numId="4">
    <w:abstractNumId w:val="31"/>
  </w:num>
  <w:num w:numId="5">
    <w:abstractNumId w:val="26"/>
  </w:num>
  <w:num w:numId="6">
    <w:abstractNumId w:val="20"/>
  </w:num>
  <w:num w:numId="7">
    <w:abstractNumId w:val="22"/>
  </w:num>
  <w:num w:numId="8">
    <w:abstractNumId w:val="37"/>
  </w:num>
  <w:num w:numId="9">
    <w:abstractNumId w:val="23"/>
  </w:num>
  <w:num w:numId="10">
    <w:abstractNumId w:val="33"/>
  </w:num>
  <w:num w:numId="11">
    <w:abstractNumId w:val="16"/>
  </w:num>
  <w:num w:numId="12">
    <w:abstractNumId w:val="10"/>
  </w:num>
  <w:num w:numId="13">
    <w:abstractNumId w:val="14"/>
  </w:num>
  <w:num w:numId="14">
    <w:abstractNumId w:val="35"/>
  </w:num>
  <w:num w:numId="15">
    <w:abstractNumId w:val="25"/>
  </w:num>
  <w:num w:numId="16">
    <w:abstractNumId w:val="28"/>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7"/>
  </w:num>
  <w:num w:numId="30">
    <w:abstractNumId w:val="24"/>
  </w:num>
  <w:num w:numId="31">
    <w:abstractNumId w:val="1"/>
  </w:num>
  <w:num w:numId="32">
    <w:abstractNumId w:val="8"/>
  </w:num>
  <w:num w:numId="33">
    <w:abstractNumId w:val="29"/>
  </w:num>
  <w:num w:numId="34">
    <w:abstractNumId w:val="34"/>
  </w:num>
  <w:num w:numId="35">
    <w:abstractNumId w:val="32"/>
  </w:num>
  <w:num w:numId="36">
    <w:abstractNumId w:val="30"/>
  </w:num>
  <w:num w:numId="37">
    <w:abstractNumId w:val="17"/>
  </w:num>
  <w:num w:numId="3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목록 단락 Char,リスト段落 Char,中等深浅网格 1 - 着色 21 Char,¥¡¡¡¡ì¬º¥¹¥È¶ÎÂä Char,ÁÐ³ö¶ÎÂä Char,列表段落1 Char,—ño’i—Ž Char,¥ê¥¹¥È¶ÎÂä Char,1st level - Bullet 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
    <w:name w:val="Mention"/>
    <w:basedOn w:val="DefaultParagraphFont"/>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image" Target="media/image5.png"/><Relationship Id="rId26" Type="http://schemas.openxmlformats.org/officeDocument/2006/relationships/package" Target="embeddings/Microsoft_Visio_Drawing56.vsdx"/><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12.vsdx"/><Relationship Id="rId25" Type="http://schemas.openxmlformats.org/officeDocument/2006/relationships/package" Target="embeddings/Microsoft_Visio_Drawing45.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package" Target="embeddings/Microsoft_Visio_Drawing23.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vsdx"/><Relationship Id="rId28" Type="http://schemas.openxmlformats.org/officeDocument/2006/relationships/package" Target="embeddings/Microsoft_Visio_Drawing67.vsdx"/><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emf"/><Relationship Id="rId27" Type="http://schemas.openxmlformats.org/officeDocument/2006/relationships/image" Target="media/image10.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bcc8f4fc0a44e184d76359df1544f7a">
  <xsd:schema xmlns:xsd="http://www.w3.org/2001/XMLSchema" xmlns:xs="http://www.w3.org/2001/XMLSchema" xmlns:p="http://schemas.microsoft.com/office/2006/metadata/properties" xmlns:ns3="6f846979-0e6f-42ff-8b87-e1893efeda99" targetNamespace="http://schemas.microsoft.com/office/2006/metadata/properties" ma:root="true" ma:fieldsID="72a4c8fc65d996fd7a24afe75cecd521"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62E40-3BED-46EE-BDDC-361577BB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3.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534DD19-8476-4C41-AEED-62E2A908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18109</Words>
  <Characters>103222</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121089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Hsien-Ping Lin</cp:lastModifiedBy>
  <cp:revision>4</cp:revision>
  <cp:lastPrinted>2016-08-12T06:06:00Z</cp:lastPrinted>
  <dcterms:created xsi:type="dcterms:W3CDTF">2021-01-27T05:38:00Z</dcterms:created>
  <dcterms:modified xsi:type="dcterms:W3CDTF">2021-01-27T05:45:00Z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0x0101003AA7AC0C743A294CADF60F661720E3E6</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