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1" w:hangingChars="850" w:hanging="1871"/>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bookmarkStart w:id="3" w:name="_GoBack"/>
            <w:bookmarkEnd w:id="3"/>
            <w:r>
              <w:rPr>
                <w:rFonts w:eastAsia="DengXian"/>
                <w:sz w:val="18"/>
                <w:szCs w:val="18"/>
                <w:lang w:eastAsia="zh-CN"/>
              </w:rPr>
              <w:t>Agree with proposal 1.</w:t>
            </w:r>
          </w:p>
        </w:tc>
      </w:tr>
      <w:tr w:rsidR="007937E5"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77777777" w:rsidR="007937E5" w:rsidRDefault="007937E5"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3A25896" w14:textId="77777777" w:rsidR="007937E5" w:rsidRDefault="007937E5" w:rsidP="00E9400D">
            <w:pPr>
              <w:snapToGrid w:val="0"/>
              <w:ind w:firstLine="180"/>
              <w:rPr>
                <w:rFonts w:eastAsia="SimSun"/>
                <w:sz w:val="18"/>
                <w:szCs w:val="18"/>
                <w:lang w:eastAsia="zh-CN"/>
              </w:rPr>
            </w:pPr>
          </w:p>
        </w:tc>
      </w:tr>
      <w:tr w:rsidR="007937E5"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854CE4" w14:textId="77777777" w:rsidR="007937E5" w:rsidRPr="00802789" w:rsidRDefault="007937E5" w:rsidP="00E9400D">
            <w:pPr>
              <w:ind w:firstLine="180"/>
              <w:rPr>
                <w:rFonts w:eastAsia="SimSun"/>
                <w:sz w:val="18"/>
                <w:lang w:eastAsia="en-US"/>
              </w:rPr>
            </w:pPr>
          </w:p>
        </w:tc>
      </w:tr>
      <w:tr w:rsidR="007937E5"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BAAE55" w14:textId="77777777" w:rsidR="007937E5" w:rsidRDefault="007937E5" w:rsidP="00E9400D">
            <w:pPr>
              <w:snapToGrid w:val="0"/>
              <w:ind w:firstLine="180"/>
              <w:rPr>
                <w:rFonts w:eastAsia="DengXian"/>
                <w:sz w:val="18"/>
                <w:szCs w:val="18"/>
                <w:lang w:eastAsia="zh-CN"/>
              </w:rPr>
            </w:pPr>
          </w:p>
        </w:tc>
      </w:tr>
      <w:tr w:rsidR="007937E5"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7937E5" w:rsidRPr="00B81BD4" w:rsidRDefault="007937E5" w:rsidP="00E9400D">
            <w:pPr>
              <w:snapToGrid w:val="0"/>
              <w:ind w:firstLine="180"/>
              <w:rPr>
                <w:sz w:val="18"/>
              </w:rPr>
            </w:pPr>
          </w:p>
        </w:tc>
      </w:tr>
      <w:tr w:rsidR="007937E5"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7937E5" w:rsidRDefault="007937E5" w:rsidP="00E9400D">
            <w:pPr>
              <w:snapToGrid w:val="0"/>
              <w:ind w:firstLine="180"/>
              <w:rPr>
                <w:rFonts w:eastAsia="DengXian"/>
                <w:sz w:val="18"/>
                <w:szCs w:val="18"/>
                <w:lang w:eastAsia="zh-CN"/>
              </w:rPr>
            </w:pPr>
          </w:p>
        </w:tc>
      </w:tr>
      <w:tr w:rsidR="007937E5"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7937E5" w:rsidRPr="000B0AC1" w:rsidRDefault="007937E5" w:rsidP="00E9400D">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lastRenderedPageBreak/>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CEModeA),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CEModeB),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Throughput requirement for eMTC CEModeA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77777777" w:rsidR="002D7169" w:rsidRDefault="002D7169"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1257E06" w14:textId="77777777" w:rsidR="002D7169" w:rsidRDefault="002D7169" w:rsidP="00E9400D">
            <w:pPr>
              <w:snapToGrid w:val="0"/>
              <w:ind w:firstLine="180"/>
              <w:rPr>
                <w:rFonts w:eastAsia="SimSun"/>
                <w:sz w:val="18"/>
                <w:szCs w:val="18"/>
                <w:lang w:eastAsia="zh-CN"/>
              </w:rPr>
            </w:pPr>
          </w:p>
        </w:tc>
      </w:tr>
      <w:tr w:rsidR="002D7169"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E94B5A3" w14:textId="77777777" w:rsidR="002D7169" w:rsidRPr="00802789" w:rsidRDefault="002D7169" w:rsidP="00E9400D">
            <w:pPr>
              <w:ind w:firstLine="180"/>
              <w:rPr>
                <w:rFonts w:eastAsia="SimSun"/>
                <w:sz w:val="18"/>
                <w:lang w:eastAsia="en-US"/>
              </w:rPr>
            </w:pPr>
          </w:p>
        </w:tc>
      </w:tr>
      <w:tr w:rsidR="002D7169"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17FE41" w14:textId="77777777" w:rsidR="002D7169" w:rsidRDefault="002D7169" w:rsidP="00E9400D">
            <w:pPr>
              <w:snapToGrid w:val="0"/>
              <w:ind w:firstLine="180"/>
              <w:rPr>
                <w:rFonts w:eastAsia="DengXian"/>
                <w:sz w:val="18"/>
                <w:szCs w:val="18"/>
                <w:lang w:eastAsia="zh-CN"/>
              </w:rPr>
            </w:pPr>
          </w:p>
        </w:tc>
      </w:tr>
      <w:tr w:rsidR="002D7169"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2D7169" w:rsidRPr="00B81BD4" w:rsidRDefault="002D7169" w:rsidP="00E9400D">
            <w:pPr>
              <w:snapToGrid w:val="0"/>
              <w:ind w:firstLine="180"/>
              <w:rPr>
                <w:sz w:val="18"/>
              </w:rPr>
            </w:pPr>
          </w:p>
        </w:tc>
      </w:tr>
      <w:tr w:rsidR="002D7169"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2D7169" w:rsidRDefault="002D7169" w:rsidP="00E9400D">
            <w:pPr>
              <w:snapToGrid w:val="0"/>
              <w:ind w:firstLine="180"/>
              <w:rPr>
                <w:rFonts w:eastAsia="DengXian"/>
                <w:sz w:val="18"/>
                <w:szCs w:val="18"/>
                <w:lang w:eastAsia="zh-CN"/>
              </w:rPr>
            </w:pPr>
          </w:p>
        </w:tc>
      </w:tr>
      <w:tr w:rsidR="002D7169"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2D7169" w:rsidRPr="000B0AC1" w:rsidRDefault="002D7169" w:rsidP="00E9400D">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lastRenderedPageBreak/>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lastRenderedPageBreak/>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lastRenderedPageBreak/>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0CDFCC9A" w:rsidR="00E74C6B" w:rsidRDefault="00E74C6B"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A3A97B9" w14:textId="77777777" w:rsidR="00E74C6B" w:rsidRDefault="00E74C6B" w:rsidP="00E9400D">
            <w:pPr>
              <w:snapToGrid w:val="0"/>
              <w:ind w:firstLine="180"/>
              <w:rPr>
                <w:rFonts w:eastAsia="SimSun"/>
                <w:sz w:val="18"/>
                <w:szCs w:val="18"/>
                <w:lang w:eastAsia="zh-CN"/>
              </w:rPr>
            </w:pPr>
          </w:p>
        </w:tc>
      </w:tr>
      <w:tr w:rsidR="00E74C6B"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4DB98C1" w14:textId="77777777" w:rsidR="00E74C6B" w:rsidRPr="00802789" w:rsidRDefault="00E74C6B" w:rsidP="00E9400D">
            <w:pPr>
              <w:ind w:firstLine="180"/>
              <w:rPr>
                <w:rFonts w:eastAsia="SimSun"/>
                <w:sz w:val="18"/>
                <w:lang w:eastAsia="en-US"/>
              </w:rPr>
            </w:pPr>
          </w:p>
        </w:tc>
      </w:tr>
      <w:tr w:rsidR="00E74C6B"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CA1338" w14:textId="77777777" w:rsidR="00E74C6B" w:rsidRDefault="00E74C6B" w:rsidP="00E9400D">
            <w:pPr>
              <w:snapToGrid w:val="0"/>
              <w:ind w:firstLine="180"/>
              <w:rPr>
                <w:rFonts w:eastAsia="DengXian"/>
                <w:sz w:val="18"/>
                <w:szCs w:val="18"/>
                <w:lang w:eastAsia="zh-CN"/>
              </w:rPr>
            </w:pPr>
          </w:p>
        </w:tc>
      </w:tr>
      <w:tr w:rsidR="00E74C6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E74C6B" w:rsidRPr="00B81BD4" w:rsidRDefault="00E74C6B" w:rsidP="00E9400D">
            <w:pPr>
              <w:snapToGrid w:val="0"/>
              <w:ind w:firstLine="180"/>
              <w:rPr>
                <w:sz w:val="18"/>
              </w:rPr>
            </w:pPr>
          </w:p>
        </w:tc>
      </w:tr>
      <w:tr w:rsidR="00E74C6B"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E74C6B" w:rsidRDefault="00E74C6B" w:rsidP="00E9400D">
            <w:pPr>
              <w:snapToGrid w:val="0"/>
              <w:ind w:firstLine="180"/>
              <w:rPr>
                <w:rFonts w:eastAsia="DengXian"/>
                <w:sz w:val="18"/>
                <w:szCs w:val="18"/>
                <w:lang w:eastAsia="zh-CN"/>
              </w:rPr>
            </w:pPr>
          </w:p>
        </w:tc>
      </w:tr>
      <w:tr w:rsidR="00E74C6B"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E74C6B" w:rsidRPr="000B0AC1" w:rsidRDefault="00E74C6B" w:rsidP="00E9400D">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lastRenderedPageBreak/>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2: Reuse disabling HARQ feedback mechansim of NR NTN for CEmodeA in eMTC NTN, and no need to increase the HARQ process number for CEmodeA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lastRenderedPageBreak/>
              <w:t>Proposal 3: There is no need for the enhancement on HARQ in CEmodeB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lastRenderedPageBreak/>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r w:rsidRPr="00496579">
              <w:rPr>
                <w:rFonts w:cs="Times"/>
                <w:lang w:eastAsia="x-none"/>
              </w:rPr>
              <w:t>MediaTeK</w:t>
            </w:r>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A8CF2" w14:textId="77777777" w:rsidR="00176621" w:rsidRDefault="00176621" w:rsidP="007378B8">
      <w:r>
        <w:separator/>
      </w:r>
    </w:p>
  </w:endnote>
  <w:endnote w:type="continuationSeparator" w:id="0">
    <w:p w14:paraId="54EB5A45" w14:textId="77777777" w:rsidR="00176621" w:rsidRDefault="00176621"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1BE817E" w:rsidR="00B3156F" w:rsidRDefault="00B3156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3D4AB8">
      <w:rPr>
        <w:rStyle w:val="PageNumber"/>
        <w:i/>
        <w:color w:val="auto"/>
      </w:rPr>
      <w:t>6</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BE0B1" w14:textId="77777777" w:rsidR="00176621" w:rsidRDefault="00176621" w:rsidP="007378B8">
      <w:r>
        <w:separator/>
      </w:r>
    </w:p>
  </w:footnote>
  <w:footnote w:type="continuationSeparator" w:id="0">
    <w:p w14:paraId="38B1C1EE" w14:textId="77777777" w:rsidR="00176621" w:rsidRDefault="00176621"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列表段落,¥¡¡¡¡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列表段落 Char,¥¡¡¡¡ì¬º¥¹¥È¶ÎÂä Char,ÁÐ³ö¶ÎÂä Char,列表段落1 Char,—ño’i—Ž Char,¥ê¥¹¥È¶ÎÂä Char,1st level - Bullet List Paragraph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24310-A4E7-4328-9EAA-D16D0DA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4053</Words>
  <Characters>23105</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Jussi Kahtava</cp:lastModifiedBy>
  <cp:revision>2</cp:revision>
  <dcterms:created xsi:type="dcterms:W3CDTF">2021-01-26T20:12:00Z</dcterms:created>
  <dcterms:modified xsi:type="dcterms:W3CDTF">2021-01-26T20:12:00Z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