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w:t>
      </w:r>
      <w:proofErr w:type="gramStart"/>
      <w:r>
        <w:rPr>
          <w:color w:val="0070C0"/>
        </w:rPr>
        <w:t>e.g.</w:t>
      </w:r>
      <w:proofErr w:type="gramEnd"/>
      <w:r>
        <w:rPr>
          <w:color w:val="0070C0"/>
        </w:rPr>
        <w:t xml:space="preserve">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Companies are invited to indicate (Yes/No) on FL Proposal 1.1 and </w:t>
      </w:r>
      <w:proofErr w:type="gramStart"/>
      <w:r>
        <w:rPr>
          <w:b w:val="0"/>
          <w:bCs w:val="0"/>
          <w:lang w:eastAsia="zh-TW"/>
        </w:rPr>
        <w:t>comment</w:t>
      </w:r>
      <w:proofErr w:type="gramEnd"/>
      <w:r>
        <w:rPr>
          <w:b w:val="0"/>
          <w:bCs w:val="0"/>
          <w:lang w:eastAsia="zh-TW"/>
        </w:rPr>
        <w:t xml:space="preserve">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proofErr w:type="spellStart"/>
            <w:r>
              <w:rPr>
                <w:b w:val="0"/>
                <w:bCs w:val="0"/>
                <w:lang w:eastAsia="zh-TW"/>
              </w:rPr>
              <w:lastRenderedPageBreak/>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Can discuss on </w:t>
            </w:r>
            <w:proofErr w:type="gramStart"/>
            <w:r>
              <w:rPr>
                <w:b w:val="0"/>
                <w:bCs w:val="0"/>
                <w:lang w:eastAsia="zh-TW"/>
              </w:rPr>
              <w:t>case by case</w:t>
            </w:r>
            <w:proofErr w:type="gramEnd"/>
            <w:r>
              <w:rPr>
                <w:b w:val="0"/>
                <w:bCs w:val="0"/>
                <w:lang w:eastAsia="zh-TW"/>
              </w:rPr>
              <w:t xml:space="preserv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w:t>
            </w:r>
            <w:proofErr w:type="gramStart"/>
            <w:r>
              <w:rPr>
                <w:b w:val="0"/>
                <w:bCs w:val="0"/>
                <w:lang w:eastAsia="zh-TW"/>
              </w:rPr>
              <w:t>i.e.</w:t>
            </w:r>
            <w:proofErr w:type="gramEnd"/>
            <w:r>
              <w:rPr>
                <w:b w:val="0"/>
                <w:bCs w:val="0"/>
                <w:lang w:eastAsia="zh-TW"/>
              </w:rPr>
              <w:t xml:space="preserv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Companies are invited to indicate (Yes/No) on FL Proposal 1.2 and </w:t>
      </w:r>
      <w:proofErr w:type="gramStart"/>
      <w:r>
        <w:rPr>
          <w:b w:val="0"/>
          <w:bCs w:val="0"/>
          <w:lang w:eastAsia="zh-TW"/>
        </w:rPr>
        <w:t>comment</w:t>
      </w:r>
      <w:proofErr w:type="gramEnd"/>
      <w:r>
        <w:rPr>
          <w:b w:val="0"/>
          <w:bCs w:val="0"/>
          <w:lang w:eastAsia="zh-TW"/>
        </w:rPr>
        <w:t xml:space="preserve">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Can discuss on </w:t>
            </w:r>
            <w:proofErr w:type="gramStart"/>
            <w:r>
              <w:rPr>
                <w:b w:val="0"/>
                <w:bCs w:val="0"/>
                <w:lang w:eastAsia="zh-TW"/>
              </w:rPr>
              <w:t>case by case</w:t>
            </w:r>
            <w:proofErr w:type="gramEnd"/>
            <w:r>
              <w:rPr>
                <w:b w:val="0"/>
                <w:bCs w:val="0"/>
                <w:lang w:eastAsia="zh-TW"/>
              </w:rPr>
              <w:t xml:space="preserv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Can consider on </w:t>
            </w:r>
            <w:proofErr w:type="gramStart"/>
            <w:r>
              <w:rPr>
                <w:b w:val="0"/>
                <w:bCs w:val="0"/>
                <w:lang w:eastAsia="zh-TW"/>
              </w:rPr>
              <w:t>case by case</w:t>
            </w:r>
            <w:proofErr w:type="gramEnd"/>
            <w:r>
              <w:rPr>
                <w:b w:val="0"/>
                <w:bCs w:val="0"/>
                <w:lang w:eastAsia="zh-TW"/>
              </w:rPr>
              <w:t xml:space="preserv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Companies are invited to indicate (Yes/No) on FL Proposal 1.3 and </w:t>
      </w:r>
      <w:proofErr w:type="gramStart"/>
      <w:r>
        <w:rPr>
          <w:b w:val="0"/>
          <w:bCs w:val="0"/>
          <w:lang w:eastAsia="zh-TW"/>
        </w:rPr>
        <w:t>comment</w:t>
      </w:r>
      <w:proofErr w:type="gramEnd"/>
      <w:r>
        <w:rPr>
          <w:b w:val="0"/>
          <w:bCs w:val="0"/>
          <w:lang w:eastAsia="zh-TW"/>
        </w:rPr>
        <w:t xml:space="preserve">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w:t>
      </w:r>
      <w:proofErr w:type="gramStart"/>
      <w:r>
        <w:rPr>
          <w:b w:val="0"/>
          <w:bCs w:val="0"/>
          <w:lang w:eastAsia="zh-TW"/>
        </w:rPr>
        <w:t>particular UE</w:t>
      </w:r>
      <w:proofErr w:type="gramEnd"/>
      <w:r>
        <w:rPr>
          <w:b w:val="0"/>
          <w:bCs w:val="0"/>
          <w:lang w:eastAsia="zh-TW"/>
        </w:rPr>
        <w:t xml:space="preserv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xml:space="preserve">. </w:t>
      </w:r>
      <w:proofErr w:type="gramStart"/>
      <w:r>
        <w:rPr>
          <w:b w:val="0"/>
          <w:bCs w:val="0"/>
          <w:lang w:eastAsia="zh-TW"/>
        </w:rPr>
        <w:t>As long as</w:t>
      </w:r>
      <w:proofErr w:type="gramEnd"/>
      <w:r>
        <w:rPr>
          <w:b w:val="0"/>
          <w:bCs w:val="0"/>
          <w:lang w:eastAsia="zh-TW"/>
        </w:rPr>
        <w:t xml:space="preserve">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978"/>
        <w:gridCol w:w="2060"/>
        <w:gridCol w:w="2495"/>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665776">
        <w:fldChar w:fldCharType="begin"/>
      </w:r>
      <w:r w:rsidR="00665776">
        <w:instrText xml:space="preserve"> SEQ Table \* ARABIC </w:instrText>
      </w:r>
      <w:r w:rsidR="00665776">
        <w:fldChar w:fldCharType="separate"/>
      </w:r>
      <w:r>
        <w:rPr>
          <w:noProof/>
        </w:rPr>
        <w:t>2</w:t>
      </w:r>
      <w:r w:rsidR="00665776">
        <w:rPr>
          <w:noProof/>
        </w:rPr>
        <w:fldChar w:fldCharType="end"/>
      </w:r>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 xml:space="preserve">Δ is the number of Msg3 PUSCH repetitions, </w:t>
            </w:r>
            <w:proofErr w:type="gramStart"/>
            <w:r>
              <w:rPr>
                <w:sz w:val="18"/>
                <w:szCs w:val="18"/>
              </w:rPr>
              <w:t>e.g.</w:t>
            </w:r>
            <w:proofErr w:type="gramEnd"/>
            <w:r>
              <w:rPr>
                <w:sz w:val="18"/>
                <w:szCs w:val="18"/>
              </w:rPr>
              <w:t xml:space="preserve">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lastRenderedPageBreak/>
        <w:t xml:space="preserve">Table </w:t>
      </w:r>
      <w:r w:rsidR="00665776">
        <w:fldChar w:fldCharType="begin"/>
      </w:r>
      <w:r w:rsidR="00665776">
        <w:instrText xml:space="preserve"> SEQ Table \* ARABIC </w:instrText>
      </w:r>
      <w:r w:rsidR="00665776">
        <w:fldChar w:fldCharType="separate"/>
      </w:r>
      <w:r w:rsidRPr="00802CB2">
        <w:rPr>
          <w:noProof/>
        </w:rPr>
        <w:t>3</w:t>
      </w:r>
      <w:r w:rsidR="0066577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xml:space="preserve">, respectively. In NB-IoT for example, </w:t>
      </w:r>
      <w:proofErr w:type="gramStart"/>
      <w:r>
        <w:rPr>
          <w:b w:val="0"/>
          <w:bCs w:val="0"/>
          <w:lang w:eastAsia="zh-TW"/>
        </w:rPr>
        <w:t>it can be seen that k0</w:t>
      </w:r>
      <w:proofErr w:type="gramEnd"/>
      <w:r>
        <w:rPr>
          <w:b w:val="0"/>
          <w:bCs w:val="0"/>
          <w:lang w:eastAsia="zh-TW"/>
        </w:rPr>
        <w:t xml:space="preserve">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w:t>
      </w:r>
      <w:proofErr w:type="spellStart"/>
      <w:r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lastRenderedPageBreak/>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w:t>
      </w:r>
      <w:proofErr w:type="gramStart"/>
      <w:r>
        <w:rPr>
          <w:rFonts w:ascii="Times New Roman" w:eastAsia="SimSun" w:hAnsi="Times New Roman" w:cs="Times New Roman"/>
          <w:color w:val="0070C0"/>
        </w:rPr>
        <w:t>e.g.</w:t>
      </w:r>
      <w:proofErr w:type="gramEnd"/>
      <w:r>
        <w:rPr>
          <w:rFonts w:ascii="Times New Roman" w:eastAsia="SimSun" w:hAnsi="Times New Roman" w:cs="Times New Roman"/>
          <w:color w:val="0070C0"/>
        </w:rPr>
        <w:t xml:space="preserve">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w:t>
      </w:r>
      <w:proofErr w:type="gramStart"/>
      <w:r>
        <w:rPr>
          <w:rFonts w:eastAsia="SimSun"/>
          <w:lang w:eastAsia="zh-CN"/>
        </w:rPr>
        <w:t>in order to</w:t>
      </w:r>
      <w:proofErr w:type="gramEnd"/>
      <w:r>
        <w:rPr>
          <w:rFonts w:eastAsia="SimSun"/>
          <w:lang w:eastAsia="zh-CN"/>
        </w:rPr>
        <w:t xml:space="preserve">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roofErr w:type="gramStart"/>
            <w:r>
              <w:rPr>
                <w:bCs/>
                <w:sz w:val="20"/>
                <w:szCs w:val="20"/>
              </w:rPr>
              <w:lastRenderedPageBreak/>
              <w:t>in order to</w:t>
            </w:r>
            <w:proofErr w:type="gramEnd"/>
            <w:r>
              <w:rPr>
                <w:bCs/>
                <w:sz w:val="20"/>
                <w:szCs w:val="20"/>
              </w:rPr>
              <w:t xml:space="preserve">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w:t>
            </w:r>
            <w:proofErr w:type="gramStart"/>
            <w:r>
              <w:rPr>
                <w:bCs/>
              </w:rPr>
              <w:t>e.g.</w:t>
            </w:r>
            <w:proofErr w:type="gramEnd"/>
            <w:r>
              <w:rPr>
                <w:bCs/>
              </w:rPr>
              <w:t xml:space="preserve">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w:t>
            </w:r>
            <w:proofErr w:type="gramStart"/>
            <w:r>
              <w:rPr>
                <w:bCs/>
                <w:lang w:eastAsia="zh-CN"/>
              </w:rPr>
              <w:t>It’s</w:t>
            </w:r>
            <w:proofErr w:type="gramEnd"/>
            <w:r>
              <w:rPr>
                <w:bCs/>
                <w:lang w:eastAsia="zh-CN"/>
              </w:rPr>
              <w:t xml:space="preserve">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 xml:space="preserve">of respondents (11) support </w:t>
      </w:r>
      <w:proofErr w:type="gramStart"/>
      <w:r w:rsidR="00217F7E">
        <w:rPr>
          <w:bCs/>
          <w:iCs/>
          <w:color w:val="000000" w:themeColor="text1"/>
        </w:rPr>
        <w:t>cell-specific</w:t>
      </w:r>
      <w:proofErr w:type="gramEnd"/>
      <w:r w:rsidR="00217F7E">
        <w:rPr>
          <w:bCs/>
          <w:iCs/>
          <w:color w:val="000000" w:themeColor="text1"/>
        </w:rPr>
        <w:t>.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w:t>
            </w:r>
            <w:proofErr w:type="gramStart"/>
            <w:r>
              <w:rPr>
                <w:b w:val="0"/>
                <w:bCs w:val="0"/>
              </w:rPr>
              <w:t>stage,</w:t>
            </w:r>
            <w:proofErr w:type="gramEnd"/>
            <w:r>
              <w:rPr>
                <w:b w:val="0"/>
                <w:bCs w:val="0"/>
              </w:rPr>
              <w:t xml:space="preserv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rPr>
            </w:pPr>
            <w:r>
              <w:rPr>
                <w:b w:val="0"/>
              </w:rPr>
              <w:t>If our goal is to leverage the most results from Rel-17 NTN WI, then it is a good start.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proofErr w:type="gramStart"/>
      <w:r>
        <w:rPr>
          <w:bCs/>
          <w:iCs/>
          <w:color w:val="000000" w:themeColor="text1"/>
        </w:rPr>
        <w:t>The vast majority of</w:t>
      </w:r>
      <w:proofErr w:type="gramEnd"/>
      <w:r>
        <w:rPr>
          <w:bCs/>
          <w:iCs/>
          <w:color w:val="000000" w:themeColor="text1"/>
        </w:rPr>
        <w:t xml:space="preserve">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lastRenderedPageBreak/>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156146" w14:paraId="4E4AC80F" w14:textId="77777777" w:rsidTr="007421BA">
        <w:tc>
          <w:tcPr>
            <w:tcW w:w="3102" w:type="dxa"/>
          </w:tcPr>
          <w:p w14:paraId="61D1E4D4"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lastRenderedPageBreak/>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 xml:space="preserve">should be studied. And timing related issues can be listed in this agenda. </w:t>
            </w:r>
            <w:proofErr w:type="gramStart"/>
            <w:r>
              <w:t>E.g.</w:t>
            </w:r>
            <w:proofErr w:type="gramEnd"/>
            <w:r>
              <w:t xml:space="preserve">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proofErr w:type="gramStart"/>
            <w:r w:rsidRPr="00F641A7">
              <w:rPr>
                <w:b w:val="0"/>
                <w:bCs w:val="0"/>
              </w:rPr>
              <w:t>possible</w:t>
            </w:r>
            <w:proofErr w:type="gramEnd"/>
            <w:r w:rsidRPr="00F641A7">
              <w:rPr>
                <w:b w:val="0"/>
                <w:bCs w:val="0"/>
              </w:rPr>
              <w:t xml:space="preserve"> enhancements </w:t>
            </w:r>
            <w:r w:rsidRPr="00F641A7">
              <w:rPr>
                <w:b w:val="0"/>
                <w:bCs w:val="0"/>
                <w:color w:val="FF0000"/>
              </w:rPr>
              <w:t>are needed or not</w:t>
            </w:r>
          </w:p>
        </w:tc>
      </w:tr>
      <w:tr w:rsidR="004B0EBB" w:rsidRPr="004B0EBB" w14:paraId="5893DFF1" w14:textId="77777777" w:rsidTr="00352F24">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352F24">
        <w:tc>
          <w:tcPr>
            <w:tcW w:w="3102" w:type="dxa"/>
          </w:tcPr>
          <w:p w14:paraId="3C030AF3" w14:textId="4712B138"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352F24">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w:t>
            </w:r>
            <w:proofErr w:type="gramStart"/>
            <w:r>
              <w:rPr>
                <w:b w:val="0"/>
                <w:bCs w:val="0"/>
              </w:rPr>
              <w:t>RTT</w:t>
            </w:r>
            <w:r w:rsidR="00324C31">
              <w:rPr>
                <w:b w:val="0"/>
                <w:bCs w:val="0"/>
              </w:rPr>
              <w:t>, and</w:t>
            </w:r>
            <w:proofErr w:type="gramEnd"/>
            <w:r w:rsidR="00324C31">
              <w:rPr>
                <w:b w:val="0"/>
                <w:bCs w:val="0"/>
              </w:rPr>
              <w:t xml:space="preserve">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352F24">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lastRenderedPageBreak/>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 xml:space="preserve">Companies are kindly asked to indicate their view (Yes/No) on FL Proposal 5.1 and </w:t>
      </w:r>
      <w:proofErr w:type="gramStart"/>
      <w:r>
        <w:rPr>
          <w:rFonts w:eastAsia="SimSun"/>
          <w:lang w:eastAsia="zh-CN"/>
        </w:rPr>
        <w:t>comment</w:t>
      </w:r>
      <w:proofErr w:type="gramEnd"/>
      <w:r>
        <w:rPr>
          <w:rFonts w:eastAsia="SimSun"/>
          <w:lang w:eastAsia="zh-CN"/>
        </w:rPr>
        <w:t xml:space="preserve">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w:t>
            </w:r>
            <w:r>
              <w:lastRenderedPageBreak/>
              <w:t>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lastRenderedPageBreak/>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 xml:space="preserve">Companies are kindly asked to indicate their view (Yes/No) on FL Proposal 5.2 and </w:t>
      </w:r>
      <w:proofErr w:type="gramStart"/>
      <w:r>
        <w:rPr>
          <w:rFonts w:eastAsia="SimSun"/>
          <w:lang w:eastAsia="zh-CN"/>
        </w:rPr>
        <w:t>comment</w:t>
      </w:r>
      <w:proofErr w:type="gramEnd"/>
      <w:r>
        <w:rPr>
          <w:rFonts w:eastAsia="SimSun"/>
          <w:lang w:eastAsia="zh-CN"/>
        </w:rPr>
        <w:t xml:space="preserve">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w:t>
            </w:r>
            <w:proofErr w:type="gramStart"/>
            <w:r w:rsidRPr="00AB4C3A">
              <w:rPr>
                <w:b w:val="0"/>
              </w:rPr>
              <w:t>taken into account</w:t>
            </w:r>
            <w:proofErr w:type="gramEnd"/>
            <w:r w:rsidRPr="00AB4C3A">
              <w:rPr>
                <w:b w:val="0"/>
              </w:rPr>
              <w:t xml:space="preserve">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 xml:space="preserve">he proposal can be changed </w:t>
            </w:r>
            <w:proofErr w:type="gramStart"/>
            <w:r>
              <w:rPr>
                <w:rFonts w:hint="eastAsia"/>
                <w:b w:val="0"/>
                <w:bCs w:val="0"/>
              </w:rPr>
              <w:t>as :</w:t>
            </w:r>
            <w:proofErr w:type="gramEnd"/>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 xml:space="preserve">Companies are invited to agree/disagree and </w:t>
      </w:r>
      <w:proofErr w:type="gramStart"/>
      <w:r>
        <w:rPr>
          <w:rFonts w:eastAsia="SimSun"/>
          <w:lang w:eastAsia="zh-CN"/>
        </w:rPr>
        <w:t>comment</w:t>
      </w:r>
      <w:proofErr w:type="gramEnd"/>
      <w:r>
        <w:rPr>
          <w:rFonts w:eastAsia="SimSun"/>
          <w:lang w:eastAsia="zh-CN"/>
        </w:rPr>
        <w:t xml:space="preserve">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 xml:space="preserve">Companies are kindly requested to express their view (Yes/No on FL conclusion 7.1 and </w:t>
      </w:r>
      <w:proofErr w:type="gramStart"/>
      <w:r>
        <w:rPr>
          <w:rFonts w:eastAsia="SimSun"/>
          <w:lang w:eastAsia="zh-CN"/>
        </w:rPr>
        <w:t>comment</w:t>
      </w:r>
      <w:proofErr w:type="gramEnd"/>
      <w:r>
        <w:rPr>
          <w:rFonts w:eastAsia="SimSun"/>
          <w:lang w:eastAsia="zh-CN"/>
        </w:rPr>
        <w:t xml:space="preserve">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w:t>
            </w:r>
            <w:proofErr w:type="gramStart"/>
            <w:r>
              <w:rPr>
                <w:bCs/>
              </w:rPr>
              <w:t>e.g.</w:t>
            </w:r>
            <w:proofErr w:type="gramEnd"/>
            <w:r>
              <w:rPr>
                <w:bCs/>
              </w:rPr>
              <w:t xml:space="preserve">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proofErr w:type="gramStart"/>
            <w:r>
              <w:rPr>
                <w:bCs/>
              </w:rPr>
              <w:t>It’s</w:t>
            </w:r>
            <w:proofErr w:type="gramEnd"/>
            <w:r>
              <w:rPr>
                <w:bCs/>
              </w:rPr>
              <w:t xml:space="preserve">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xml:space="preserve">, there are likely enhancement issues to study for this </w:t>
      </w:r>
      <w:proofErr w:type="gramStart"/>
      <w:r>
        <w:rPr>
          <w:lang w:eastAsia="zh-CN"/>
        </w:rPr>
        <w:t>particular relationship</w:t>
      </w:r>
      <w:proofErr w:type="gramEnd"/>
      <w:r>
        <w:rPr>
          <w:lang w:eastAsia="zh-CN"/>
        </w:rPr>
        <w:t>.</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timing relationship issues arising </w:t>
      </w:r>
      <w:proofErr w:type="spellStart"/>
      <w:r w:rsidR="00F178D3">
        <w:rPr>
          <w:rFonts w:eastAsia="SimSun"/>
          <w:bCs/>
          <w:highlight w:val="yellow"/>
          <w:lang w:eastAsia="zh-CN"/>
        </w:rPr>
        <w:t>form</w:t>
      </w:r>
      <w:proofErr w:type="spellEnd"/>
      <w:r w:rsidR="00F178D3">
        <w:rPr>
          <w:rFonts w:eastAsia="SimSun"/>
          <w:bCs/>
          <w:highlight w:val="yellow"/>
          <w:lang w:eastAsia="zh-CN"/>
        </w:rPr>
        <w:t xml:space="preserve">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lastRenderedPageBreak/>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w:t>
      </w:r>
      <w:proofErr w:type="gramStart"/>
      <w:r>
        <w:rPr>
          <w:rFonts w:eastAsia="SimSun"/>
          <w:bCs/>
          <w:lang w:eastAsia="zh-CN"/>
        </w:rPr>
        <w:t>in order to</w:t>
      </w:r>
      <w:proofErr w:type="gramEnd"/>
      <w:r>
        <w:rPr>
          <w:rFonts w:eastAsia="SimSun"/>
          <w:bCs/>
          <w:lang w:eastAsia="zh-CN"/>
        </w:rPr>
        <w:t xml:space="preserve">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w:t>
      </w:r>
      <w:proofErr w:type="gramStart"/>
      <w:r>
        <w:rPr>
          <w:rFonts w:eastAsia="SimSun"/>
          <w:bCs/>
          <w:lang w:eastAsia="zh-CN"/>
        </w:rPr>
        <w:t>e.g.</w:t>
      </w:r>
      <w:proofErr w:type="gramEnd"/>
      <w:r>
        <w:rPr>
          <w:rFonts w:eastAsia="SimSun"/>
          <w:bCs/>
          <w:lang w:eastAsia="zh-CN"/>
        </w:rPr>
        <w:t xml:space="preserve">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 xml:space="preserve">From the timing point of view, can the UE sleep at certain times to save power, </w:t>
      </w:r>
      <w:proofErr w:type="gramStart"/>
      <w:r>
        <w:rPr>
          <w:rFonts w:ascii="Times New Roman" w:eastAsia="SimSun" w:hAnsi="Times New Roman" w:cs="Times New Roman"/>
          <w:color w:val="0070C0"/>
        </w:rPr>
        <w:t>e.g.</w:t>
      </w:r>
      <w:proofErr w:type="gramEnd"/>
      <w:r>
        <w:rPr>
          <w:rFonts w:ascii="Times New Roman" w:eastAsia="SimSun" w:hAnsi="Times New Roman" w:cs="Times New Roman"/>
          <w:color w:val="0070C0"/>
        </w:rPr>
        <w:t xml:space="preserve">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w:t>
      </w:r>
      <w:proofErr w:type="gramStart"/>
      <w:r>
        <w:rPr>
          <w:rFonts w:eastAsia="SimSun"/>
          <w:bCs/>
          <w:lang w:eastAsia="zh-CN"/>
        </w:rPr>
        <w:t>in order to</w:t>
      </w:r>
      <w:proofErr w:type="gramEnd"/>
      <w:r>
        <w:rPr>
          <w:rFonts w:eastAsia="SimSun"/>
          <w:bCs/>
          <w:lang w:eastAsia="zh-CN"/>
        </w:rPr>
        <w:t xml:space="preserve">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w:t>
      </w:r>
      <w:proofErr w:type="gramStart"/>
      <w:r>
        <w:rPr>
          <w:sz w:val="20"/>
          <w:szCs w:val="20"/>
          <w:lang w:val="en-GB"/>
        </w:rPr>
        <w:t>e.g.</w:t>
      </w:r>
      <w:proofErr w:type="gramEnd"/>
      <w:r>
        <w:rPr>
          <w:sz w:val="20"/>
          <w:szCs w:val="20"/>
          <w:lang w:val="en-GB"/>
        </w:rPr>
        <w:t xml:space="preserve">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9" w:name="_Hlk62483328"/>
      <w:r>
        <w:t>(N)PRACH before SIB1</w:t>
      </w:r>
    </w:p>
    <w:bookmarkEnd w:id="9"/>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w:t>
      </w:r>
      <w:proofErr w:type="gramStart"/>
      <w:r>
        <w:rPr>
          <w:rFonts w:eastAsia="SimSun"/>
          <w:bCs/>
          <w:lang w:eastAsia="zh-CN"/>
        </w:rPr>
        <w:t>out of date</w:t>
      </w:r>
      <w:proofErr w:type="gramEnd"/>
      <w:r>
        <w:rPr>
          <w:rFonts w:eastAsia="SimSun"/>
          <w:bCs/>
          <w:lang w:eastAsia="zh-CN"/>
        </w:rPr>
        <w:t xml:space="preserv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 xml:space="preserve">Does RAN1 need to consider changes in PRACH configuration signaled in system information? If PRACH configuration is not changed frequently, the network might be able to tolerate some inadvertent PRACH transmission due to an </w:t>
      </w:r>
      <w:proofErr w:type="gramStart"/>
      <w:r>
        <w:rPr>
          <w:rFonts w:eastAsia="SimSun"/>
          <w:bCs/>
          <w:lang w:eastAsia="zh-CN"/>
        </w:rPr>
        <w:t>out of date</w:t>
      </w:r>
      <w:proofErr w:type="gramEnd"/>
      <w:r>
        <w:rPr>
          <w:rFonts w:eastAsia="SimSun"/>
          <w:bCs/>
          <w:lang w:eastAsia="zh-CN"/>
        </w:rPr>
        <w:t xml:space="preserv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1" w:name="_Ref61352291"/>
      <w:r>
        <w:t xml:space="preserve">Table </w:t>
      </w:r>
      <w:r w:rsidR="00665776">
        <w:fldChar w:fldCharType="begin"/>
      </w:r>
      <w:r w:rsidR="00665776">
        <w:instrText xml:space="preserve"> SEQ Table \* ARA</w:instrText>
      </w:r>
      <w:r w:rsidR="00665776">
        <w:instrText xml:space="preserve">BIC </w:instrText>
      </w:r>
      <w:r w:rsidR="00665776">
        <w:fldChar w:fldCharType="separate"/>
      </w:r>
      <w:r>
        <w:t>1</w:t>
      </w:r>
      <w:r w:rsidR="00665776">
        <w:fldChar w:fldCharType="end"/>
      </w:r>
      <w:bookmarkEnd w:id="11"/>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665776">
        <w:fldChar w:fldCharType="begin"/>
      </w:r>
      <w:r w:rsidR="00665776">
        <w:instrText xml:space="preserve"> SEQ Table \* ARABIC </w:instrText>
      </w:r>
      <w:r w:rsidR="00665776">
        <w:fldChar w:fldCharType="separate"/>
      </w:r>
      <w:r>
        <w:t>2</w:t>
      </w:r>
      <w:r w:rsidR="00665776">
        <w:fldChar w:fldCharType="end"/>
      </w:r>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 xml:space="preserve">Δ is the number of Msg3 PUSCH repetitions, </w:t>
            </w:r>
            <w:proofErr w:type="gramStart"/>
            <w:r>
              <w:rPr>
                <w:sz w:val="18"/>
                <w:szCs w:val="18"/>
              </w:rPr>
              <w:t>e.g.</w:t>
            </w:r>
            <w:proofErr w:type="gramEnd"/>
            <w:r>
              <w:rPr>
                <w:sz w:val="18"/>
                <w:szCs w:val="18"/>
              </w:rPr>
              <w:t xml:space="preserve">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665776">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665776">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665776">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665776">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665776">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665776">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665776">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665776">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665776">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665776">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665776">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665776">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665776">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665776">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665776">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665776">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665776">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665776">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665776">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2" w:name="_Ref40204599"/>
      <w:r>
        <w:rPr>
          <w:rFonts w:ascii="Times New Roman" w:hAnsi="Times New Roman" w:cs="Times New Roman"/>
        </w:rPr>
        <w:t xml:space="preserve">RP-193235. </w:t>
      </w:r>
      <w:bookmarkEnd w:id="12"/>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3" w:name="_Ref54298530"/>
      <w:r>
        <w:rPr>
          <w:rFonts w:ascii="Times New Roman" w:hAnsi="Times New Roman" w:cs="Times New Roman"/>
        </w:rPr>
        <w:t>3GPP TR 38.821, Solutions for NR to support non-terrestrial networks (NTN), V16.0.0.</w:t>
      </w:r>
      <w:bookmarkEnd w:id="13"/>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6E7B" w14:textId="77777777" w:rsidR="00665776" w:rsidRDefault="00665776">
      <w:pPr>
        <w:spacing w:after="0"/>
      </w:pPr>
      <w:r>
        <w:separator/>
      </w:r>
    </w:p>
  </w:endnote>
  <w:endnote w:type="continuationSeparator" w:id="0">
    <w:p w14:paraId="56D190BB" w14:textId="77777777" w:rsidR="00665776" w:rsidRDefault="00665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491F" w14:textId="77777777" w:rsidR="007421BA" w:rsidRDefault="0074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08710"/>
      <w:docPartObj>
        <w:docPartGallery w:val="AutoText"/>
      </w:docPartObj>
    </w:sdtPr>
    <w:sdtEndPr/>
    <w:sdtContent>
      <w:p w14:paraId="28A1049C" w14:textId="50E84B0A" w:rsidR="007421BA" w:rsidRDefault="007421BA">
        <w:pPr>
          <w:pStyle w:val="Footer"/>
        </w:pPr>
        <w:r>
          <w:fldChar w:fldCharType="begin"/>
        </w:r>
        <w:r>
          <w:instrText xml:space="preserve"> PAGE   \* MERGEFORMAT </w:instrText>
        </w:r>
        <w:r>
          <w:fldChar w:fldCharType="separate"/>
        </w:r>
        <w:r w:rsidR="005826C2">
          <w:rPr>
            <w:noProof/>
          </w:rPr>
          <w:t>34</w:t>
        </w:r>
        <w:r>
          <w:fldChar w:fldCharType="end"/>
        </w:r>
      </w:p>
    </w:sdtContent>
  </w:sdt>
  <w:p w14:paraId="443A8B72" w14:textId="77777777" w:rsidR="007421BA" w:rsidRDefault="0074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A92A" w14:textId="77777777" w:rsidR="007421BA" w:rsidRDefault="0074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8CB9" w14:textId="77777777" w:rsidR="00665776" w:rsidRDefault="00665776">
      <w:pPr>
        <w:spacing w:after="0"/>
      </w:pPr>
      <w:r>
        <w:separator/>
      </w:r>
    </w:p>
  </w:footnote>
  <w:footnote w:type="continuationSeparator" w:id="0">
    <w:p w14:paraId="12CCEAC5" w14:textId="77777777" w:rsidR="00665776" w:rsidRDefault="006657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1375" w14:textId="77777777" w:rsidR="007421BA" w:rsidRDefault="0074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5D33" w14:textId="77777777" w:rsidR="007421BA" w:rsidRDefault="0074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8FA4" w14:textId="77777777" w:rsidR="007421BA" w:rsidRDefault="0074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4.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5CAA0C1-69F6-4980-A888-133552466CCD}">
  <ds:schemaRefs>
    <ds:schemaRef ds:uri="http://schemas.openxmlformats.org/officeDocument/2006/bibliography"/>
  </ds:schemaRefs>
</ds:datastoreItem>
</file>

<file path=customXml/itemProps4.xml><?xml version="1.0" encoding="utf-8"?>
<ds:datastoreItem xmlns:ds="http://schemas.openxmlformats.org/officeDocument/2006/customXml" ds:itemID="{DC9FB31D-EACF-4665-9D19-7577ADA95C9E}">
  <ds:schemaRefs>
    <ds:schemaRef ds:uri="http://schemas.openxmlformats.org/officeDocument/2006/bibliography"/>
  </ds:schemaRefs>
</ds:datastoreItem>
</file>

<file path=customXml/itemProps5.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12326</Words>
  <Characters>70261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Chien-Chun</cp:lastModifiedBy>
  <cp:revision>3</cp:revision>
  <cp:lastPrinted>2016-05-14T13:14:00Z</cp:lastPrinted>
  <dcterms:created xsi:type="dcterms:W3CDTF">2021-02-01T08:35:00Z</dcterms:created>
  <dcterms:modified xsi:type="dcterms:W3CDTF">2021-02-01T08:37:00Z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