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MTK-Eutelsat, Intel, Len-MM, Spreadtrum, SONY, Xioami,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BC1192">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BC1192">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rFonts w:hint="eastAsia"/>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2.2.1.1 Cell specific vrs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2.2.1.2 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2.2.1.3 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SimSun"/>
                <w:b/>
                <w:bCs/>
                <w:u w:val="single"/>
                <w:lang w:eastAsia="zh-CN"/>
              </w:rPr>
            </w:pPr>
            <w:r>
              <w:rPr>
                <w:rFonts w:eastAsia="SimSun"/>
                <w:b/>
                <w:bCs/>
                <w:u w:val="single"/>
                <w:lang w:eastAsia="zh-CN"/>
              </w:rPr>
              <w:t>Tdoc#</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Cell-specific as baseline and beam-specific can be further supported to optimize the latency when 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BC1192">
            <w:pPr>
              <w:rPr>
                <w:bCs/>
              </w:rPr>
            </w:pPr>
            <w:r>
              <w:rPr>
                <w:bCs/>
              </w:rPr>
              <w:t>Samsung</w:t>
            </w:r>
          </w:p>
        </w:tc>
        <w:tc>
          <w:tcPr>
            <w:tcW w:w="2327" w:type="dxa"/>
          </w:tcPr>
          <w:p w14:paraId="0F4B704C" w14:textId="77777777" w:rsidR="002D552E" w:rsidRDefault="002D552E" w:rsidP="00BC1192">
            <w:pPr>
              <w:rPr>
                <w:bCs/>
              </w:rPr>
            </w:pPr>
            <w:r>
              <w:rPr>
                <w:bCs/>
              </w:rPr>
              <w:t>Cell specific</w:t>
            </w:r>
          </w:p>
        </w:tc>
        <w:tc>
          <w:tcPr>
            <w:tcW w:w="4840" w:type="dxa"/>
          </w:tcPr>
          <w:p w14:paraId="5C1FBB52" w14:textId="77777777" w:rsidR="002D552E" w:rsidRDefault="002D552E" w:rsidP="00BC1192">
            <w:pPr>
              <w:rPr>
                <w:bCs/>
              </w:rPr>
            </w:pPr>
            <w:r>
              <w:rPr>
                <w:bCs/>
              </w:rPr>
              <w:t>As in NR NTN</w:t>
            </w:r>
          </w:p>
        </w:tc>
      </w:tr>
      <w:tr w:rsidR="00252797" w14:paraId="7D09B9D4" w14:textId="77777777" w:rsidTr="000E7D05">
        <w:tc>
          <w:tcPr>
            <w:tcW w:w="2326" w:type="dxa"/>
          </w:tcPr>
          <w:p w14:paraId="46792405" w14:textId="55531510" w:rsidR="00252797" w:rsidRDefault="00252797" w:rsidP="00BC1192">
            <w:pPr>
              <w:rPr>
                <w:bCs/>
                <w:lang w:eastAsia="zh-CN"/>
              </w:rPr>
            </w:pPr>
            <w:r>
              <w:rPr>
                <w:rFonts w:hint="eastAsia"/>
                <w:bCs/>
                <w:lang w:eastAsia="zh-CN"/>
              </w:rPr>
              <w:t>CATT</w:t>
            </w:r>
          </w:p>
        </w:tc>
        <w:tc>
          <w:tcPr>
            <w:tcW w:w="2327" w:type="dxa"/>
          </w:tcPr>
          <w:p w14:paraId="3067B60D" w14:textId="0142FCE0" w:rsidR="00252797" w:rsidRDefault="00252797" w:rsidP="00BC1192">
            <w:pPr>
              <w:rPr>
                <w:bCs/>
                <w:lang w:eastAsia="zh-CN"/>
              </w:rPr>
            </w:pPr>
            <w:r>
              <w:rPr>
                <w:rFonts w:hint="eastAsia"/>
                <w:bCs/>
                <w:lang w:eastAsia="zh-CN"/>
              </w:rPr>
              <w:t>Cell specific</w:t>
            </w:r>
          </w:p>
        </w:tc>
        <w:tc>
          <w:tcPr>
            <w:tcW w:w="4840" w:type="dxa"/>
          </w:tcPr>
          <w:p w14:paraId="15BFE039" w14:textId="4F7CCB43" w:rsidR="00252797" w:rsidRDefault="00252797" w:rsidP="00BC1192">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rFonts w:hint="eastAsia"/>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BC1192">
            <w:pPr>
              <w:rPr>
                <w:bCs/>
              </w:rPr>
            </w:pPr>
            <w:r>
              <w:rPr>
                <w:bCs/>
              </w:rPr>
              <w:t>Samsung</w:t>
            </w:r>
          </w:p>
        </w:tc>
        <w:tc>
          <w:tcPr>
            <w:tcW w:w="1451" w:type="dxa"/>
          </w:tcPr>
          <w:p w14:paraId="1AED6FA0" w14:textId="77777777" w:rsidR="002D552E" w:rsidRDefault="002D552E" w:rsidP="00BC1192">
            <w:pPr>
              <w:rPr>
                <w:bCs/>
              </w:rPr>
            </w:pPr>
          </w:p>
        </w:tc>
        <w:tc>
          <w:tcPr>
            <w:tcW w:w="6062" w:type="dxa"/>
          </w:tcPr>
          <w:p w14:paraId="21E01356" w14:textId="77777777" w:rsidR="002D552E" w:rsidRDefault="002D552E" w:rsidP="00BC1192">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rFonts w:hint="eastAsia"/>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rFonts w:hint="eastAsia"/>
                <w:bCs/>
                <w:lang w:eastAsia="zh-CN"/>
              </w:rPr>
            </w:pPr>
            <w:r>
              <w:rPr>
                <w:bCs/>
              </w:rPr>
              <w:t xml:space="preserve">This issue is under discussion in NR NTN, we can wait for progress in NR NTN. </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BC1192">
            <w:pPr>
              <w:rPr>
                <w:bCs/>
              </w:rPr>
            </w:pPr>
            <w:r>
              <w:rPr>
                <w:bCs/>
              </w:rPr>
              <w:t>Samsung</w:t>
            </w:r>
          </w:p>
        </w:tc>
        <w:tc>
          <w:tcPr>
            <w:tcW w:w="2205" w:type="dxa"/>
          </w:tcPr>
          <w:p w14:paraId="2C8C501A" w14:textId="77777777" w:rsidR="002D552E" w:rsidRDefault="002D552E" w:rsidP="00BC1192">
            <w:pPr>
              <w:rPr>
                <w:bCs/>
              </w:rPr>
            </w:pPr>
          </w:p>
        </w:tc>
        <w:tc>
          <w:tcPr>
            <w:tcW w:w="4820" w:type="dxa"/>
          </w:tcPr>
          <w:p w14:paraId="1DE9ADCB" w14:textId="77777777" w:rsidR="002D552E" w:rsidRDefault="002D552E" w:rsidP="00BC1192">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rFonts w:hint="eastAsia"/>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The NR NTN work item has agreed that an offset, K_mac,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DL and UL frame timing are not aligned at the eNB</w:t>
      </w:r>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BC1192">
            <w:pPr>
              <w:rPr>
                <w:bCs/>
              </w:rPr>
            </w:pPr>
            <w:r>
              <w:rPr>
                <w:bCs/>
              </w:rPr>
              <w:t>Samsung</w:t>
            </w:r>
          </w:p>
        </w:tc>
        <w:tc>
          <w:tcPr>
            <w:tcW w:w="2205" w:type="dxa"/>
          </w:tcPr>
          <w:p w14:paraId="5772209E" w14:textId="77777777" w:rsidR="002D552E" w:rsidRDefault="002D552E" w:rsidP="00BC1192">
            <w:pPr>
              <w:rPr>
                <w:bCs/>
              </w:rPr>
            </w:pPr>
          </w:p>
        </w:tc>
        <w:tc>
          <w:tcPr>
            <w:tcW w:w="4820" w:type="dxa"/>
          </w:tcPr>
          <w:p w14:paraId="505A2477" w14:textId="77777777" w:rsidR="002D552E" w:rsidRDefault="002D552E" w:rsidP="00BC1192">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BC1192">
            <w:pPr>
              <w:rPr>
                <w:bCs/>
                <w:lang w:eastAsia="zh-CN"/>
              </w:rPr>
            </w:pPr>
            <w:r>
              <w:rPr>
                <w:rFonts w:hint="eastAsia"/>
                <w:bCs/>
                <w:lang w:eastAsia="zh-CN"/>
              </w:rPr>
              <w:t>CATT</w:t>
            </w:r>
          </w:p>
        </w:tc>
        <w:tc>
          <w:tcPr>
            <w:tcW w:w="2205" w:type="dxa"/>
          </w:tcPr>
          <w:p w14:paraId="13FD2B2B" w14:textId="77777777" w:rsidR="00F2333F" w:rsidRDefault="00F2333F" w:rsidP="00BC1192">
            <w:pPr>
              <w:rPr>
                <w:bCs/>
              </w:rPr>
            </w:pPr>
          </w:p>
        </w:tc>
        <w:tc>
          <w:tcPr>
            <w:tcW w:w="4820" w:type="dxa"/>
          </w:tcPr>
          <w:p w14:paraId="726DD195" w14:textId="611CD3AC" w:rsidR="00F2333F" w:rsidRDefault="00F2333F" w:rsidP="00BC1192">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rFonts w:hint="eastAsia"/>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BC1192">
            <w:pPr>
              <w:rPr>
                <w:bCs/>
              </w:rPr>
            </w:pPr>
            <w:r>
              <w:rPr>
                <w:bCs/>
              </w:rPr>
              <w:t>Samsung</w:t>
            </w:r>
          </w:p>
        </w:tc>
        <w:tc>
          <w:tcPr>
            <w:tcW w:w="2205" w:type="dxa"/>
          </w:tcPr>
          <w:p w14:paraId="1A239156" w14:textId="77777777" w:rsidR="002D552E" w:rsidRDefault="002D552E" w:rsidP="00BC1192">
            <w:pPr>
              <w:rPr>
                <w:bCs/>
              </w:rPr>
            </w:pPr>
          </w:p>
        </w:tc>
        <w:tc>
          <w:tcPr>
            <w:tcW w:w="4820" w:type="dxa"/>
          </w:tcPr>
          <w:p w14:paraId="618B4B82" w14:textId="77777777" w:rsidR="002D552E" w:rsidRDefault="002D552E" w:rsidP="00BC1192">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BC1192">
            <w:pPr>
              <w:rPr>
                <w:bCs/>
              </w:rPr>
            </w:pPr>
            <w:r>
              <w:rPr>
                <w:rFonts w:hint="eastAsia"/>
                <w:bCs/>
                <w:lang w:eastAsia="zh-CN"/>
              </w:rPr>
              <w:t>CATT</w:t>
            </w:r>
          </w:p>
        </w:tc>
        <w:tc>
          <w:tcPr>
            <w:tcW w:w="2205" w:type="dxa"/>
          </w:tcPr>
          <w:p w14:paraId="469C74F1" w14:textId="77777777" w:rsidR="0038324C" w:rsidRDefault="0038324C" w:rsidP="00BC1192">
            <w:pPr>
              <w:rPr>
                <w:bCs/>
              </w:rPr>
            </w:pPr>
          </w:p>
        </w:tc>
        <w:tc>
          <w:tcPr>
            <w:tcW w:w="4820" w:type="dxa"/>
          </w:tcPr>
          <w:p w14:paraId="7B3F2AD2" w14:textId="2657CCB0" w:rsidR="0038324C" w:rsidRDefault="0038324C" w:rsidP="00BC1192">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rFonts w:hint="eastAsia"/>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r>
              <w:rPr>
                <w:rFonts w:eastAsia="SimSun"/>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SimSun"/>
          <w:bCs/>
          <w:lang w:eastAsia="zh-CN"/>
        </w:rPr>
        <w:t>hat additional information would the eNB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BC1192">
            <w:r w:rsidRPr="00A31C7B">
              <w:t>Samsung</w:t>
            </w:r>
          </w:p>
        </w:tc>
        <w:tc>
          <w:tcPr>
            <w:tcW w:w="1560" w:type="dxa"/>
          </w:tcPr>
          <w:p w14:paraId="19F4EA2F" w14:textId="77777777" w:rsidR="002D552E" w:rsidRPr="00A31C7B" w:rsidRDefault="002D552E" w:rsidP="00BC1192">
            <w:r>
              <w:t>Yes</w:t>
            </w:r>
          </w:p>
        </w:tc>
        <w:tc>
          <w:tcPr>
            <w:tcW w:w="4917" w:type="dxa"/>
          </w:tcPr>
          <w:p w14:paraId="63C8DB60" w14:textId="77777777" w:rsidR="002D552E" w:rsidRPr="00A31C7B" w:rsidRDefault="002D552E" w:rsidP="00BC1192">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BC1192">
            <w:pPr>
              <w:rPr>
                <w:lang w:eastAsia="zh-CN"/>
              </w:rPr>
            </w:pPr>
            <w:r>
              <w:rPr>
                <w:rFonts w:hint="eastAsia"/>
                <w:lang w:eastAsia="zh-CN"/>
              </w:rPr>
              <w:t>CATT</w:t>
            </w:r>
          </w:p>
        </w:tc>
        <w:tc>
          <w:tcPr>
            <w:tcW w:w="1560" w:type="dxa"/>
          </w:tcPr>
          <w:p w14:paraId="41DB84BA" w14:textId="6C6CB9DF" w:rsidR="00297A67" w:rsidRDefault="00297A67" w:rsidP="00BC1192">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rFonts w:hint="eastAsia"/>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rFonts w:hint="eastAsia"/>
                <w:lang w:eastAsia="zh-CN"/>
              </w:rPr>
            </w:pPr>
            <w:r>
              <w:t xml:space="preserve">First identify the issues with HD-FDD operations. </w:t>
            </w: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BC1192">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BC1192">
            <w:pPr>
              <w:rPr>
                <w:color w:val="000000" w:themeColor="text1"/>
              </w:rPr>
            </w:pPr>
          </w:p>
        </w:tc>
        <w:tc>
          <w:tcPr>
            <w:tcW w:w="4917" w:type="dxa"/>
          </w:tcPr>
          <w:p w14:paraId="48321EF2" w14:textId="77777777" w:rsidR="002D552E" w:rsidRPr="00AA475E" w:rsidRDefault="002D552E" w:rsidP="00BC1192">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BC1192">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BC1192">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BC1192">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rFonts w:hint="eastAsia"/>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rFonts w:hint="eastAsia"/>
                <w:lang w:eastAsia="zh-CN"/>
              </w:rPr>
            </w:pPr>
            <w:r>
              <w:rPr>
                <w:color w:val="000000" w:themeColor="text1"/>
              </w:rPr>
              <w:t>Follow progress in NR NTN WI</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30"/>
        <w:gridCol w:w="1560"/>
        <w:gridCol w:w="4917"/>
      </w:tblGrid>
      <w:tr w:rsidR="00DA195F" w14:paraId="0F209BB3" w14:textId="77777777" w:rsidTr="000E7D05">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0E7D05">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Which mode UE can go to should be discussed, possibly with coordination with RAN2.</w:t>
            </w:r>
          </w:p>
        </w:tc>
      </w:tr>
      <w:tr w:rsidR="00195D48" w14:paraId="4893648E" w14:textId="77777777" w:rsidTr="000E7D05">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0E7D05">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Need further study</w:t>
            </w:r>
          </w:p>
        </w:tc>
        <w:tc>
          <w:tcPr>
            <w:tcW w:w="4917"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0E7D05">
        <w:tc>
          <w:tcPr>
            <w:tcW w:w="2830"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0E7D05">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0E7D05">
        <w:tc>
          <w:tcPr>
            <w:tcW w:w="2830"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60" w:type="dxa"/>
          </w:tcPr>
          <w:p w14:paraId="3DE3DF58" w14:textId="4BB562D5" w:rsidR="00867324" w:rsidRDefault="00867324" w:rsidP="00867324">
            <w:pPr>
              <w:rPr>
                <w:color w:val="FF0000"/>
              </w:rPr>
            </w:pPr>
            <w:r w:rsidRPr="00A52747">
              <w:rPr>
                <w:color w:val="000000" w:themeColor="text1"/>
              </w:rPr>
              <w:t>Need further study</w:t>
            </w:r>
          </w:p>
        </w:tc>
        <w:tc>
          <w:tcPr>
            <w:tcW w:w="4917" w:type="dxa"/>
          </w:tcPr>
          <w:p w14:paraId="69FC06E3" w14:textId="77777777" w:rsidR="00867324" w:rsidRDefault="00867324" w:rsidP="00867324">
            <w:pPr>
              <w:rPr>
                <w:color w:val="FF0000"/>
              </w:rPr>
            </w:pPr>
          </w:p>
        </w:tc>
      </w:tr>
      <w:tr w:rsidR="002D552E" w:rsidRPr="00A31C7B" w14:paraId="2B0EA274" w14:textId="77777777" w:rsidTr="000E7D05">
        <w:tc>
          <w:tcPr>
            <w:tcW w:w="2830" w:type="dxa"/>
          </w:tcPr>
          <w:p w14:paraId="1DE6815C" w14:textId="77777777" w:rsidR="002D552E" w:rsidRPr="00A31C7B" w:rsidRDefault="002D552E" w:rsidP="00BC1192">
            <w:r w:rsidRPr="00A31C7B">
              <w:t>Samsung</w:t>
            </w:r>
          </w:p>
        </w:tc>
        <w:tc>
          <w:tcPr>
            <w:tcW w:w="1560" w:type="dxa"/>
          </w:tcPr>
          <w:p w14:paraId="2EFD679C" w14:textId="77777777" w:rsidR="002D552E" w:rsidRPr="00A31C7B" w:rsidRDefault="002D552E" w:rsidP="00BC1192"/>
        </w:tc>
        <w:tc>
          <w:tcPr>
            <w:tcW w:w="4917" w:type="dxa"/>
          </w:tcPr>
          <w:p w14:paraId="4A7CA68F" w14:textId="77777777" w:rsidR="002D552E" w:rsidRPr="00A31C7B" w:rsidRDefault="002D552E" w:rsidP="00BC1192">
            <w:r>
              <w:t>This can be studied.</w:t>
            </w:r>
          </w:p>
        </w:tc>
      </w:tr>
      <w:tr w:rsidR="0009384A" w:rsidRPr="00A31C7B" w14:paraId="0282B952" w14:textId="77777777" w:rsidTr="000E7D05">
        <w:tc>
          <w:tcPr>
            <w:tcW w:w="2830" w:type="dxa"/>
          </w:tcPr>
          <w:p w14:paraId="1CA70586" w14:textId="6AF58BFF" w:rsidR="0009384A" w:rsidRPr="00A31C7B" w:rsidRDefault="0009384A" w:rsidP="00BC1192">
            <w:pPr>
              <w:rPr>
                <w:lang w:eastAsia="zh-CN"/>
              </w:rPr>
            </w:pPr>
            <w:r>
              <w:rPr>
                <w:rFonts w:hint="eastAsia"/>
                <w:lang w:eastAsia="zh-CN"/>
              </w:rPr>
              <w:t>CATT</w:t>
            </w:r>
          </w:p>
        </w:tc>
        <w:tc>
          <w:tcPr>
            <w:tcW w:w="1560" w:type="dxa"/>
          </w:tcPr>
          <w:p w14:paraId="4E8BA418" w14:textId="32D402A8" w:rsidR="0009384A" w:rsidRPr="00A31C7B" w:rsidRDefault="0009384A" w:rsidP="00BC1192">
            <w:pPr>
              <w:rPr>
                <w:lang w:eastAsia="zh-CN"/>
              </w:rPr>
            </w:pPr>
          </w:p>
        </w:tc>
        <w:tc>
          <w:tcPr>
            <w:tcW w:w="4917" w:type="dxa"/>
          </w:tcPr>
          <w:p w14:paraId="5E231252" w14:textId="6032DBC5" w:rsidR="0009384A" w:rsidRDefault="0009384A" w:rsidP="00BC1192">
            <w:r>
              <w:rPr>
                <w:lang w:eastAsia="zh-CN"/>
              </w:rPr>
              <w:t>N</w:t>
            </w:r>
            <w:r>
              <w:rPr>
                <w:rFonts w:hint="eastAsia"/>
                <w:lang w:eastAsia="zh-CN"/>
              </w:rPr>
              <w:t>eed further study</w:t>
            </w:r>
          </w:p>
        </w:tc>
      </w:tr>
      <w:tr w:rsidR="00450006" w:rsidRPr="00A31C7B" w14:paraId="282D2BB6" w14:textId="77777777" w:rsidTr="000E7D05">
        <w:tc>
          <w:tcPr>
            <w:tcW w:w="2830" w:type="dxa"/>
          </w:tcPr>
          <w:p w14:paraId="6BA42195" w14:textId="4A3DBDE8" w:rsidR="00450006" w:rsidRDefault="00450006" w:rsidP="00BC1192">
            <w:pPr>
              <w:rPr>
                <w:lang w:eastAsia="zh-CN"/>
              </w:rPr>
            </w:pPr>
            <w:r>
              <w:rPr>
                <w:rFonts w:hint="eastAsia"/>
                <w:lang w:eastAsia="zh-CN"/>
              </w:rPr>
              <w:t>v</w:t>
            </w:r>
            <w:r>
              <w:rPr>
                <w:lang w:eastAsia="zh-CN"/>
              </w:rPr>
              <w:t>ivo</w:t>
            </w:r>
          </w:p>
        </w:tc>
        <w:tc>
          <w:tcPr>
            <w:tcW w:w="1560" w:type="dxa"/>
          </w:tcPr>
          <w:p w14:paraId="12A948DE" w14:textId="77777777" w:rsidR="00450006" w:rsidRPr="00A31C7B" w:rsidRDefault="00450006" w:rsidP="00BC1192">
            <w:pPr>
              <w:rPr>
                <w:lang w:eastAsia="zh-CN"/>
              </w:rPr>
            </w:pPr>
          </w:p>
        </w:tc>
        <w:tc>
          <w:tcPr>
            <w:tcW w:w="4917" w:type="dxa"/>
          </w:tcPr>
          <w:p w14:paraId="035D2A52" w14:textId="6DD74D50" w:rsidR="00450006" w:rsidRDefault="00450006" w:rsidP="00BC1192">
            <w:pPr>
              <w:rPr>
                <w:lang w:eastAsia="zh-CN"/>
              </w:rPr>
            </w:pPr>
            <w:r>
              <w:rPr>
                <w:lang w:eastAsia="zh-CN"/>
              </w:rPr>
              <w:t>N</w:t>
            </w:r>
            <w:r>
              <w:rPr>
                <w:rFonts w:hint="eastAsia"/>
                <w:lang w:eastAsia="zh-CN"/>
              </w:rPr>
              <w:t>eed further study</w:t>
            </w:r>
          </w:p>
        </w:tc>
      </w:tr>
      <w:tr w:rsidR="000E7D05" w:rsidRPr="00A31C7B" w14:paraId="1997D175" w14:textId="77777777" w:rsidTr="000E7D05">
        <w:tc>
          <w:tcPr>
            <w:tcW w:w="2830" w:type="dxa"/>
          </w:tcPr>
          <w:p w14:paraId="089BDCB5" w14:textId="04CC7843" w:rsidR="000E7D05" w:rsidRDefault="000E7D05" w:rsidP="000E7D05">
            <w:pPr>
              <w:rPr>
                <w:rFonts w:hint="eastAsia"/>
                <w:lang w:eastAsia="zh-CN"/>
              </w:rPr>
            </w:pPr>
            <w:r>
              <w:t>MediaTek</w:t>
            </w:r>
          </w:p>
        </w:tc>
        <w:tc>
          <w:tcPr>
            <w:tcW w:w="1560" w:type="dxa"/>
          </w:tcPr>
          <w:p w14:paraId="5E6ECA05" w14:textId="332E5897" w:rsidR="000E7D05" w:rsidRPr="00A31C7B" w:rsidRDefault="000E7D05" w:rsidP="000E7D05">
            <w:pPr>
              <w:rPr>
                <w:lang w:eastAsia="zh-CN"/>
              </w:rPr>
            </w:pPr>
            <w:r>
              <w:t>Up to UE implementation</w:t>
            </w:r>
          </w:p>
        </w:tc>
        <w:tc>
          <w:tcPr>
            <w:tcW w:w="4917"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BC1192">
            <w:r w:rsidRPr="00B239B1">
              <w:t>Samsung</w:t>
            </w:r>
          </w:p>
        </w:tc>
        <w:tc>
          <w:tcPr>
            <w:tcW w:w="1560" w:type="dxa"/>
          </w:tcPr>
          <w:p w14:paraId="490E72BF" w14:textId="77777777" w:rsidR="002D552E" w:rsidRPr="00B239B1" w:rsidRDefault="002D552E" w:rsidP="00BC1192"/>
        </w:tc>
        <w:tc>
          <w:tcPr>
            <w:tcW w:w="4917" w:type="dxa"/>
          </w:tcPr>
          <w:p w14:paraId="4A54F55C" w14:textId="77777777" w:rsidR="002D552E" w:rsidRPr="00B239B1" w:rsidRDefault="002D552E" w:rsidP="00BC1192">
            <w:r>
              <w:t>We agree with the FL’s conclusion.</w:t>
            </w:r>
          </w:p>
        </w:tc>
      </w:tr>
      <w:tr w:rsidR="002D552E" w14:paraId="20E82910" w14:textId="77777777" w:rsidTr="000E7D05">
        <w:tc>
          <w:tcPr>
            <w:tcW w:w="2830" w:type="dxa"/>
          </w:tcPr>
          <w:p w14:paraId="4712E0F4" w14:textId="44F27CC8" w:rsidR="002D552E" w:rsidRPr="00A16EB5" w:rsidRDefault="00A16EB5" w:rsidP="00BC1192">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BC1192">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BC1192">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rFonts w:hint="eastAsia"/>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Partial TA: A common timing offset in the eNB’s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Common understanding is 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BC1192">
            <w:pPr>
              <w:rPr>
                <w:bCs/>
              </w:rPr>
            </w:pPr>
            <w:r>
              <w:rPr>
                <w:bCs/>
              </w:rPr>
              <w:t>Samsung</w:t>
            </w:r>
          </w:p>
        </w:tc>
        <w:tc>
          <w:tcPr>
            <w:tcW w:w="3102" w:type="dxa"/>
          </w:tcPr>
          <w:p w14:paraId="57783FC7" w14:textId="77777777" w:rsidR="002D552E" w:rsidRDefault="002D552E" w:rsidP="00BC1192">
            <w:pPr>
              <w:rPr>
                <w:bCs/>
              </w:rPr>
            </w:pPr>
          </w:p>
        </w:tc>
        <w:tc>
          <w:tcPr>
            <w:tcW w:w="3103" w:type="dxa"/>
          </w:tcPr>
          <w:p w14:paraId="3B339A72" w14:textId="77777777" w:rsidR="002D552E" w:rsidRDefault="002D552E" w:rsidP="00BC1192">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BC1192">
            <w:pPr>
              <w:rPr>
                <w:bCs/>
                <w:lang w:eastAsia="zh-CN"/>
              </w:rPr>
            </w:pPr>
            <w:r>
              <w:rPr>
                <w:rFonts w:hint="eastAsia"/>
                <w:bCs/>
                <w:lang w:eastAsia="zh-CN"/>
              </w:rPr>
              <w:t>CATT</w:t>
            </w:r>
          </w:p>
        </w:tc>
        <w:tc>
          <w:tcPr>
            <w:tcW w:w="3102" w:type="dxa"/>
          </w:tcPr>
          <w:p w14:paraId="6D997374" w14:textId="34DFC9D8" w:rsidR="007779DD" w:rsidRDefault="007779DD" w:rsidP="00BC1192">
            <w:pPr>
              <w:rPr>
                <w:bCs/>
                <w:lang w:eastAsia="zh-CN"/>
              </w:rPr>
            </w:pPr>
            <w:r>
              <w:rPr>
                <w:rFonts w:hint="eastAsia"/>
                <w:bCs/>
                <w:lang w:eastAsia="zh-CN"/>
              </w:rPr>
              <w:t>Yes</w:t>
            </w:r>
          </w:p>
        </w:tc>
        <w:tc>
          <w:tcPr>
            <w:tcW w:w="3103" w:type="dxa"/>
          </w:tcPr>
          <w:p w14:paraId="32EF09B9" w14:textId="492FA38C" w:rsidR="007779DD" w:rsidRDefault="007779DD" w:rsidP="00BC1192">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rFonts w:hint="eastAsia"/>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BC1192">
            <w:pPr>
              <w:spacing w:after="180" w:line="360" w:lineRule="auto"/>
              <w:rPr>
                <w:lang w:eastAsia="zh-CN"/>
              </w:rPr>
            </w:pPr>
            <w:r>
              <w:rPr>
                <w:lang w:eastAsia="zh-CN"/>
              </w:rPr>
              <w:t>Samsung</w:t>
            </w:r>
          </w:p>
        </w:tc>
        <w:tc>
          <w:tcPr>
            <w:tcW w:w="3102" w:type="dxa"/>
          </w:tcPr>
          <w:p w14:paraId="23080B12" w14:textId="77777777" w:rsidR="002D552E" w:rsidRDefault="002D552E" w:rsidP="00BC1192">
            <w:pPr>
              <w:spacing w:after="180" w:line="360" w:lineRule="auto"/>
              <w:rPr>
                <w:lang w:eastAsia="zh-CN"/>
              </w:rPr>
            </w:pPr>
            <w:r>
              <w:rPr>
                <w:lang w:eastAsia="zh-CN"/>
              </w:rPr>
              <w:t>Yes</w:t>
            </w:r>
          </w:p>
        </w:tc>
        <w:tc>
          <w:tcPr>
            <w:tcW w:w="3103" w:type="dxa"/>
          </w:tcPr>
          <w:p w14:paraId="069D6FF5" w14:textId="77777777" w:rsidR="002D552E" w:rsidRDefault="002D552E" w:rsidP="00BC1192">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BC1192">
            <w:pPr>
              <w:spacing w:after="180" w:line="360" w:lineRule="auto"/>
              <w:rPr>
                <w:lang w:eastAsia="zh-CN"/>
              </w:rPr>
            </w:pPr>
            <w:r>
              <w:rPr>
                <w:rFonts w:hint="eastAsia"/>
                <w:lang w:eastAsia="zh-CN"/>
              </w:rPr>
              <w:t>CATT</w:t>
            </w:r>
          </w:p>
        </w:tc>
        <w:tc>
          <w:tcPr>
            <w:tcW w:w="3102" w:type="dxa"/>
          </w:tcPr>
          <w:p w14:paraId="78D09C08" w14:textId="5112DB78" w:rsidR="007779DD" w:rsidRDefault="007779DD" w:rsidP="00BC1192">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BC1192">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What are the reasons for applying NPDCCH / MPDCCH monitoring restrictions:</w:t>
      </w:r>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NB_IoT and </w:t>
      </w:r>
      <w:r w:rsidR="007779DD">
        <w:rPr>
          <w:rFonts w:eastAsia="SimSun"/>
          <w:bCs/>
          <w:color w:val="0070C0"/>
          <w:lang w:eastAsia="zh-CN"/>
        </w:rPr>
        <w:t>Emtc</w:t>
      </w:r>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r w:rsidR="007779DD">
        <w:rPr>
          <w:rFonts w:eastAsia="SimSun"/>
          <w:bCs/>
          <w:lang w:eastAsia="zh-CN"/>
        </w:rPr>
        <w:t>Enb</w:t>
      </w:r>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rFonts w:hint="eastAsia"/>
                <w:lang w:eastAsia="zh-CN"/>
              </w:rPr>
            </w:pPr>
            <w:r>
              <w:rPr>
                <w:lang w:eastAsia="zh-CN"/>
              </w:rPr>
              <w:t>MediaTek</w:t>
            </w:r>
          </w:p>
        </w:tc>
        <w:tc>
          <w:tcPr>
            <w:tcW w:w="5388" w:type="dxa"/>
          </w:tcPr>
          <w:p w14:paraId="65723592" w14:textId="5E4253D1" w:rsidR="000E7D05" w:rsidRDefault="000E7D05" w:rsidP="000E7D05">
            <w:pPr>
              <w:spacing w:after="180" w:line="360" w:lineRule="auto"/>
              <w:rPr>
                <w:rFonts w:hint="eastAsia"/>
                <w:lang w:eastAsia="zh-CN"/>
              </w:rPr>
            </w:pPr>
            <w:r>
              <w:rPr>
                <w:lang w:eastAsia="zh-CN"/>
              </w:rPr>
              <w:t>UL compensation gap is discussed in AI 8.15.2. We do not see a need to discuss it in AI 8.15.3</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r w:rsidR="0010516E">
        <w:rPr>
          <w:rFonts w:eastAsia="SimSun"/>
          <w:color w:val="0070C0"/>
        </w:rPr>
        <w:t>Emtc</w:t>
      </w:r>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rFonts w:hint="eastAsia"/>
                <w:lang w:eastAsia="zh-CN"/>
              </w:rPr>
            </w:pPr>
            <w:bookmarkStart w:id="9" w:name="_GoBack" w:colFirst="0" w:colLast="0"/>
            <w:r>
              <w:rPr>
                <w:lang w:eastAsia="zh-CN"/>
              </w:rPr>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bookmarkEnd w:id="9"/>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The tables below are taken from the ZTE Tdoc:</w:t>
      </w:r>
    </w:p>
    <w:p w14:paraId="5BAB94A2" w14:textId="77777777" w:rsidR="00DA195F" w:rsidRDefault="00513E5F">
      <w:pPr>
        <w:pStyle w:val="Caption"/>
        <w:keepNext/>
        <w:spacing w:beforeLines="50" w:before="120" w:afterLines="50"/>
      </w:pPr>
      <w:bookmarkStart w:id="12" w:name="_Ref61352291"/>
      <w:r>
        <w:t xml:space="preserve">Table </w:t>
      </w:r>
      <w:r w:rsidR="00565513">
        <w:fldChar w:fldCharType="begin"/>
      </w:r>
      <w:r w:rsidR="00565513">
        <w:instrText xml:space="preserve"> SEQ Table \* ARABIC </w:instrText>
      </w:r>
      <w:r w:rsidR="00565513">
        <w:fldChar w:fldCharType="separate"/>
      </w:r>
      <w:r>
        <w:t>1</w:t>
      </w:r>
      <w:r w:rsidR="00565513">
        <w:fldChar w:fldCharType="end"/>
      </w:r>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r w:rsidR="00565513">
        <w:fldChar w:fldCharType="begin"/>
      </w:r>
      <w:r w:rsidR="00565513">
        <w:instrText xml:space="preserve"> SEQ Table \* ARABIC </w:instrText>
      </w:r>
      <w:r w:rsidR="00565513">
        <w:fldChar w:fldCharType="separate"/>
      </w:r>
      <w:r>
        <w:t>2</w:t>
      </w:r>
      <w:r w:rsidR="00565513">
        <w:fldChar w:fldCharType="end"/>
      </w:r>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565513">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565513">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565513">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565513">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565513">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565513">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565513">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565513">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565513">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565513">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565513">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565513">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565513">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565513">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565513">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565513">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565513">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565513">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565513">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02AA" w14:textId="77777777" w:rsidR="00565513" w:rsidRDefault="00565513">
      <w:pPr>
        <w:spacing w:after="0"/>
      </w:pPr>
      <w:r>
        <w:separator/>
      </w:r>
    </w:p>
  </w:endnote>
  <w:endnote w:type="continuationSeparator" w:id="0">
    <w:p w14:paraId="07F0797B" w14:textId="77777777" w:rsidR="00565513" w:rsidRDefault="00565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EndPr/>
    <w:sdtContent>
      <w:p w14:paraId="28A1049C" w14:textId="473E6752" w:rsidR="00513E5F" w:rsidRDefault="00513E5F">
        <w:pPr>
          <w:pStyle w:val="Footer"/>
        </w:pPr>
        <w:r>
          <w:fldChar w:fldCharType="begin"/>
        </w:r>
        <w:r>
          <w:instrText xml:space="preserve"> PAGE   \* MERGEFORMAT </w:instrText>
        </w:r>
        <w:r>
          <w:fldChar w:fldCharType="separate"/>
        </w:r>
        <w:r w:rsidR="0009384A">
          <w:rPr>
            <w:noProof/>
          </w:rPr>
          <w:t>19</w:t>
        </w:r>
        <w:r>
          <w:fldChar w:fldCharType="end"/>
        </w:r>
      </w:p>
    </w:sdtContent>
  </w:sdt>
  <w:p w14:paraId="443A8B72" w14:textId="77777777" w:rsidR="00513E5F" w:rsidRDefault="00513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722F" w14:textId="77777777" w:rsidR="00565513" w:rsidRDefault="00565513">
      <w:pPr>
        <w:spacing w:after="0"/>
      </w:pPr>
      <w:r>
        <w:separator/>
      </w:r>
    </w:p>
  </w:footnote>
  <w:footnote w:type="continuationSeparator" w:id="0">
    <w:p w14:paraId="63281987" w14:textId="77777777" w:rsidR="00565513" w:rsidRDefault="005655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DC31F9-40B3-42B0-8D9D-925942727928}">
  <ds:schemaRefs>
    <ds:schemaRef ds:uri="http://schemas.openxmlformats.org/officeDocument/2006/bibliography"/>
  </ds:schemaRefs>
</ds:datastoreItem>
</file>

<file path=customXml/itemProps6.xml><?xml version="1.0" encoding="utf-8"?>
<ds:datastoreItem xmlns:ds="http://schemas.openxmlformats.org/officeDocument/2006/customXml" ds:itemID="{D2268544-7870-4317-A5C2-451D9C5B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9451</Words>
  <Characters>53873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63198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Gilles Charbit</cp:lastModifiedBy>
  <cp:revision>3</cp:revision>
  <cp:lastPrinted>2016-05-14T13:14:00Z</cp:lastPrinted>
  <dcterms:created xsi:type="dcterms:W3CDTF">2021-01-27T10:49:00Z</dcterms:created>
  <dcterms:modified xsi:type="dcterms:W3CDTF">2021-01-27T10:56:00Z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