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D13C8" w14:textId="77777777" w:rsidR="002368B3" w:rsidRDefault="00756342">
      <w:pPr>
        <w:tabs>
          <w:tab w:val="right" w:pos="9216"/>
        </w:tabs>
        <w:spacing w:after="0"/>
        <w:jc w:val="left"/>
        <w:rPr>
          <w:b/>
          <w:lang w:eastAsia="zh-CN"/>
        </w:rPr>
      </w:pPr>
      <w:bookmarkStart w:id="0" w:name="OLE_LINK26"/>
      <w:bookmarkStart w:id="1" w:name="_Ref129681832"/>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77777777"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B785F66" w14:textId="77777777" w:rsidR="004E5CB7" w:rsidRDefault="004E5CB7" w:rsidP="004E5CB7">
            <w:pPr>
              <w:spacing w:beforeLines="50" w:before="120"/>
              <w:rPr>
                <w:rFonts w:eastAsiaTheme="minorEastAsia"/>
                <w:lang w:eastAsia="zh-CN"/>
              </w:rPr>
            </w:pP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14:paraId="3FC10551" w14:textId="77777777" w:rsidR="002368B3" w:rsidRDefault="00146DDA">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14:paraId="73ABF03A" w14:textId="7777777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77777777"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14:paraId="47BFE77C"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14:paraId="28204B0D"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14:paraId="79EC04BD" w14:textId="77777777"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14:paraId="6E7ED0C0"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14:paraId="121B4CF7"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14:paraId="3C6452E8"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14:paraId="6FCD6A71" w14:textId="77777777"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77777777"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14:paraId="32A761E2" w14:textId="77777777" w:rsidR="002368B3" w:rsidRDefault="002368B3">
      <w:pPr>
        <w:rPr>
          <w:lang w:eastAsia="zh-CN"/>
        </w:rPr>
      </w:pPr>
    </w:p>
    <w:p w14:paraId="5A62F8FC" w14:textId="77777777"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77777777"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77777777" w:rsidR="00EF59DC" w:rsidRDefault="00EF59DC" w:rsidP="00EF59DC">
            <w:pPr>
              <w:spacing w:beforeLines="50" w:before="120"/>
              <w:rPr>
                <w:rStyle w:val="B10"/>
                <w:rFonts w:eastAsia="SimSun"/>
              </w:rPr>
            </w:pPr>
            <w:r>
              <w:rPr>
                <w:rStyle w:val="B10"/>
                <w:rFonts w:hint="eastAsia"/>
                <w:lang w:val="en-US" w:eastAsia="zh-CN"/>
              </w:rPr>
              <w:t>A</w:t>
            </w:r>
            <w:proofErr w:type="spellStart"/>
            <w:r>
              <w:rPr>
                <w:rStyle w:val="B10"/>
                <w:rFonts w:eastAsia="SimSun"/>
              </w:rPr>
              <w:t>s</w:t>
            </w:r>
            <w:proofErr w:type="spellEnd"/>
            <w:r>
              <w:rPr>
                <w:rStyle w:val="B10"/>
                <w:rFonts w:eastAsia="SimSun"/>
              </w:rPr>
              <w:t xml:space="preserve">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SCells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SCell</w:t>
            </w:r>
            <w:proofErr w:type="spellEnd"/>
            <w:r>
              <w:rPr>
                <w:rStyle w:val="B10"/>
                <w:rFonts w:eastAsia="SimSun"/>
              </w:rPr>
              <w:t xml:space="preserve">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77777777"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SCell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SCell</w:t>
            </w:r>
            <w:proofErr w:type="spellEnd"/>
            <w:r w:rsidRPr="0011546F">
              <w:rPr>
                <w:lang w:eastAsia="zh-CN"/>
              </w:rPr>
              <w:t xml:space="preserve">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7777777"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w:t>
            </w:r>
            <w:proofErr w:type="spellStart"/>
            <w:r w:rsidR="00B85802">
              <w:rPr>
                <w:rFonts w:eastAsia="MS Mincho"/>
                <w:lang w:eastAsia="ja-JP"/>
              </w:rPr>
              <w:t>SCell</w:t>
            </w:r>
            <w:proofErr w:type="spellEnd"/>
            <w:r w:rsidR="00B85802">
              <w:rPr>
                <w:rFonts w:eastAsia="MS Mincho"/>
                <w:lang w:eastAsia="ja-JP"/>
              </w:rPr>
              <w:t xml:space="preserve">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77777777"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 xml:space="preserve">forces the </w:t>
            </w:r>
            <w:proofErr w:type="spellStart"/>
            <w:r w:rsidR="002445E4" w:rsidRPr="002445E4">
              <w:rPr>
                <w:rFonts w:eastAsia="MS Mincho"/>
                <w:lang w:eastAsia="ja-JP"/>
              </w:rPr>
              <w:t>gNB</w:t>
            </w:r>
            <w:proofErr w:type="spellEnd"/>
            <w:r w:rsidR="002445E4" w:rsidRPr="002445E4">
              <w:rPr>
                <w:rFonts w:eastAsia="MS Mincho"/>
                <w:lang w:eastAsia="ja-JP"/>
              </w:rPr>
              <w:t xml:space="preserve"> to always decide whether or not to trigger a A-TRS with </w:t>
            </w:r>
            <w:proofErr w:type="spellStart"/>
            <w:r w:rsidR="002445E4" w:rsidRPr="002445E4">
              <w:rPr>
                <w:rFonts w:eastAsia="MS Mincho"/>
                <w:lang w:eastAsia="ja-JP"/>
              </w:rPr>
              <w:t>SCell</w:t>
            </w:r>
            <w:proofErr w:type="spellEnd"/>
            <w:r w:rsidR="002445E4" w:rsidRPr="002445E4">
              <w:rPr>
                <w:rFonts w:eastAsia="MS Mincho"/>
                <w:lang w:eastAsia="ja-JP"/>
              </w:rPr>
              <w:t xml:space="preserve">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77777777" w:rsidR="00840A9E" w:rsidRDefault="00B85802" w:rsidP="004E5CB7">
            <w:pPr>
              <w:spacing w:beforeLines="50" w:before="120"/>
              <w:rPr>
                <w:rFonts w:eastAsia="MS Mincho"/>
                <w:lang w:eastAsia="ja-JP"/>
              </w:rPr>
            </w:pPr>
            <w:r>
              <w:rPr>
                <w:rFonts w:eastAsia="MS Mincho"/>
                <w:lang w:eastAsia="ja-JP"/>
              </w:rPr>
              <w:t xml:space="preserve">a) </w:t>
            </w:r>
            <w:r w:rsidR="00F95302">
              <w:rPr>
                <w:rFonts w:eastAsia="MS Mincho"/>
                <w:lang w:eastAsia="ja-JP"/>
              </w:rPr>
              <w:t xml:space="preserve"> </w:t>
            </w:r>
            <w:r>
              <w:rPr>
                <w:rFonts w:eastAsia="MS Mincho"/>
                <w:lang w:eastAsia="ja-JP"/>
              </w:rPr>
              <w:t>“</w:t>
            </w:r>
            <w:r w:rsidRPr="00324092">
              <w:rPr>
                <w:rFonts w:eastAsia="MS Mincho"/>
                <w:i/>
                <w:iCs/>
                <w:lang w:eastAsia="ja-JP"/>
              </w:rPr>
              <w:t>…</w:t>
            </w:r>
            <w:r w:rsidRPr="00324092">
              <w:rPr>
                <w:i/>
                <w:iCs/>
                <w:lang w:eastAsia="zh-CN"/>
              </w:rPr>
              <w:t>complicates the processing timeline design</w:t>
            </w:r>
            <w:r>
              <w:rPr>
                <w:lang w:eastAsia="zh-CN"/>
              </w:rPr>
              <w:t>…</w:t>
            </w:r>
            <w:r>
              <w:rPr>
                <w:rFonts w:eastAsia="MS Mincho"/>
                <w:lang w:eastAsia="ja-JP"/>
              </w:rPr>
              <w:t xml:space="preserve">” </w:t>
            </w:r>
          </w:p>
          <w:p w14:paraId="28E1540E" w14:textId="77777777"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 xml:space="preserve">UE/NW already support Rel15/16 </w:t>
            </w:r>
            <w:proofErr w:type="spellStart"/>
            <w:r w:rsidRPr="00840A9E">
              <w:rPr>
                <w:rFonts w:ascii="Times New Roman" w:hAnsi="Times New Roman"/>
                <w:sz w:val="22"/>
                <w:szCs w:val="22"/>
                <w:lang w:eastAsia="zh-CN"/>
              </w:rPr>
              <w:t>SCell</w:t>
            </w:r>
            <w:proofErr w:type="spellEnd"/>
            <w:r w:rsidRPr="00840A9E">
              <w:rPr>
                <w:rFonts w:ascii="Times New Roman" w:hAnsi="Times New Roman"/>
                <w:sz w:val="22"/>
                <w:szCs w:val="22"/>
                <w:lang w:eastAsia="zh-CN"/>
              </w:rPr>
              <w:t xml:space="preserve">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proofErr w:type="spellStart"/>
            <w:r w:rsidR="00840A9E" w:rsidRPr="00840A9E">
              <w:rPr>
                <w:rFonts w:ascii="Times New Roman" w:hAnsi="Times New Roman"/>
                <w:sz w:val="22"/>
                <w:szCs w:val="22"/>
                <w:lang w:eastAsia="zh-CN"/>
              </w:rPr>
              <w:t>SCell</w:t>
            </w:r>
            <w:proofErr w:type="spellEnd"/>
            <w:r w:rsidR="00840A9E" w:rsidRPr="00840A9E">
              <w:rPr>
                <w:rFonts w:ascii="Times New Roman" w:hAnsi="Times New Roman"/>
                <w:sz w:val="22"/>
                <w:szCs w:val="22"/>
                <w:lang w:eastAsia="zh-CN"/>
              </w:rPr>
              <w:t xml:space="preserve">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 xml:space="preserve">separate triggering may lead to missing one of the two triggering ….If such missing is not sync-up between </w:t>
            </w:r>
            <w:proofErr w:type="spellStart"/>
            <w:r w:rsidRPr="00840A9E">
              <w:rPr>
                <w:i/>
                <w:iCs/>
                <w:lang w:eastAsia="zh-CN"/>
              </w:rPr>
              <w:t>gNB</w:t>
            </w:r>
            <w:proofErr w:type="spellEnd"/>
            <w:r w:rsidRPr="00840A9E">
              <w:rPr>
                <w:i/>
                <w:iCs/>
                <w:lang w:eastAsia="zh-CN"/>
              </w:rPr>
              <w:t xml:space="preserve">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 xml:space="preserve">i.e., on rare occasions of missed A-TRS trigger, UE can still use SSB, P-TRS for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with Rel16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w:t>
            </w:r>
            <w:proofErr w:type="spellStart"/>
            <w:r w:rsidRPr="00324092">
              <w:rPr>
                <w:rFonts w:ascii="Times New Roman" w:hAnsi="Times New Roman"/>
                <w:sz w:val="22"/>
                <w:szCs w:val="22"/>
                <w:lang w:eastAsia="zh-CN"/>
              </w:rPr>
              <w:t>SCell</w:t>
            </w:r>
            <w:proofErr w:type="spellEnd"/>
            <w:r w:rsidRPr="00324092">
              <w:rPr>
                <w:rFonts w:ascii="Times New Roman" w:hAnsi="Times New Roman"/>
                <w:sz w:val="22"/>
                <w:szCs w:val="22"/>
                <w:lang w:eastAsia="zh-CN"/>
              </w:rPr>
              <w:t xml:space="preserve">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proofErr w:type="spellStart"/>
            <w:r w:rsidR="00760EBE">
              <w:rPr>
                <w:lang w:eastAsia="zh-CN"/>
              </w:rPr>
              <w:t>SCell</w:t>
            </w:r>
            <w:proofErr w:type="spellEnd"/>
            <w:r w:rsidR="00760EBE">
              <w:rPr>
                <w:lang w:eastAsia="zh-CN"/>
              </w:rPr>
              <w:t xml:space="preserve">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777777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 with that option the TRS location has to be fixed </w:t>
            </w:r>
            <w:proofErr w:type="spellStart"/>
            <w:r w:rsidR="00A90413" w:rsidRPr="00A90413">
              <w:rPr>
                <w:rFonts w:eastAsia="Times New Roman"/>
                <w:kern w:val="0"/>
              </w:rPr>
              <w:t>wrt</w:t>
            </w:r>
            <w:proofErr w:type="spellEnd"/>
            <w:r w:rsidR="00A90413">
              <w:rPr>
                <w:rFonts w:eastAsia="Times New Roman"/>
                <w:kern w:val="0"/>
              </w:rPr>
              <w:t>.</w:t>
            </w:r>
            <w:r w:rsidR="00A90413" w:rsidRPr="00A90413">
              <w:rPr>
                <w:rFonts w:eastAsia="Times New Roman"/>
                <w:kern w:val="0"/>
              </w:rPr>
              <w:t xml:space="preserve"> </w:t>
            </w:r>
            <w:proofErr w:type="spellStart"/>
            <w:r w:rsidR="00A90413" w:rsidRPr="00A90413">
              <w:rPr>
                <w:rFonts w:eastAsia="Times New Roman"/>
                <w:kern w:val="0"/>
              </w:rPr>
              <w:t>SCell</w:t>
            </w:r>
            <w:proofErr w:type="spellEnd"/>
            <w:r w:rsidR="00A90413" w:rsidRPr="00A90413">
              <w:rPr>
                <w:rFonts w:eastAsia="Times New Roman"/>
                <w:kern w:val="0"/>
              </w:rPr>
              <w:t xml:space="preserve">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bl>
    <w:p w14:paraId="4F491710" w14:textId="77777777" w:rsidR="002368B3" w:rsidRDefault="002368B3">
      <w:pPr>
        <w:ind w:leftChars="100" w:left="220"/>
      </w:pPr>
    </w:p>
    <w:p w14:paraId="4206AB49" w14:textId="77777777" w:rsidR="002368B3" w:rsidRDefault="00146DDA">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 xml:space="preserve">either 2.1.1 or 2.1.2. We do not see 2.1.2 providing a big restriction as </w:t>
            </w:r>
            <w:r>
              <w:rPr>
                <w:rFonts w:eastAsia="MS Mincho"/>
                <w:iCs/>
                <w:lang w:eastAsia="ja-JP"/>
              </w:rPr>
              <w:lastRenderedPageBreak/>
              <w:t>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MS Mincho"/>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5308949E" w14:textId="77777777" w:rsidR="002368B3" w:rsidRDefault="00146DDA">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w:t>
            </w:r>
            <w:r>
              <w:rPr>
                <w:rFonts w:eastAsiaTheme="minorEastAsia" w:hint="eastAsia"/>
                <w:iCs/>
                <w:lang w:eastAsia="zh-CN"/>
              </w:rPr>
              <w:lastRenderedPageBreak/>
              <w:t xml:space="preserve">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 xml:space="preserve">the delay of </w:t>
            </w:r>
            <w:proofErr w:type="spellStart"/>
            <w:r w:rsidRPr="00277F94">
              <w:rPr>
                <w:rFonts w:eastAsiaTheme="minorEastAsia" w:cs="Times"/>
                <w:lang w:eastAsia="zh-CN"/>
              </w:rPr>
              <w:t>SCell</w:t>
            </w:r>
            <w:proofErr w:type="spellEnd"/>
            <w:r w:rsidRPr="00277F94">
              <w:rPr>
                <w:rFonts w:eastAsiaTheme="minorEastAsia" w:cs="Times"/>
                <w:lang w:eastAsia="zh-CN"/>
              </w:rPr>
              <w:t xml:space="preserve">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 xml:space="preserve">Assuming one-shot detection is supported, we slightly prefer </w:t>
            </w:r>
            <w:proofErr w:type="spellStart"/>
            <w:r>
              <w:rPr>
                <w:lang w:eastAsia="ko-KR"/>
              </w:rPr>
              <w:t>Opt</w:t>
            </w:r>
            <w:proofErr w:type="spellEnd"/>
            <w:r>
              <w:rPr>
                <w:lang w:eastAsia="ko-KR"/>
              </w:rPr>
              <w:t xml:space="preserve"> 2.1</w:t>
            </w:r>
          </w:p>
        </w:tc>
      </w:tr>
    </w:tbl>
    <w:p w14:paraId="55D0012C" w14:textId="77777777" w:rsidR="002368B3" w:rsidRDefault="002368B3"/>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 xml:space="preserve">No, if additional periodic TRS has to be sent first as a QCL source, then the periodic TRS can be used as temporary RS for </w:t>
            </w:r>
            <w:proofErr w:type="spellStart"/>
            <w:r>
              <w:rPr>
                <w:rFonts w:eastAsiaTheme="minorEastAsia"/>
                <w:lang w:eastAsia="zh-CN"/>
              </w:rPr>
              <w:t>SCell</w:t>
            </w:r>
            <w:proofErr w:type="spellEnd"/>
            <w:r>
              <w:rPr>
                <w:rFonts w:eastAsiaTheme="minorEastAsia"/>
                <w:lang w:eastAsia="zh-CN"/>
              </w:rPr>
              <w:t xml:space="preserve">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w:t>
            </w:r>
            <w:proofErr w:type="spellStart"/>
            <w:r>
              <w:rPr>
                <w:rFonts w:eastAsia="MS Mincho"/>
                <w:lang w:eastAsia="ja-JP"/>
              </w:rPr>
              <w:t>SCell</w:t>
            </w:r>
            <w:proofErr w:type="spellEnd"/>
            <w:r>
              <w:rPr>
                <w:rFonts w:eastAsia="MS Mincho"/>
                <w:lang w:eastAsia="ja-JP"/>
              </w:rPr>
              <w:t xml:space="preserve">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w:t>
            </w:r>
            <w:r>
              <w:rPr>
                <w:rFonts w:eastAsia="MS Mincho"/>
                <w:lang w:eastAsia="ja-JP"/>
              </w:rPr>
              <w:lastRenderedPageBreak/>
              <w:t xml:space="preserve">P-TRS, the P-TRS shall be </w:t>
            </w:r>
            <w:proofErr w:type="spellStart"/>
            <w:r>
              <w:rPr>
                <w:rFonts w:eastAsia="MS Mincho"/>
                <w:lang w:eastAsia="ja-JP"/>
              </w:rPr>
              <w:t>QCLed</w:t>
            </w:r>
            <w:proofErr w:type="spellEnd"/>
            <w:r>
              <w:rPr>
                <w:rFonts w:eastAsia="MS Mincho"/>
                <w:lang w:eastAsia="ja-JP"/>
              </w:rPr>
              <w:t xml:space="preserve">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w:t>
            </w:r>
            <w:proofErr w:type="spellStart"/>
            <w:r>
              <w:rPr>
                <w:rFonts w:eastAsia="MS Mincho"/>
                <w:lang w:eastAsia="ja-JP"/>
              </w:rPr>
              <w:t>SCell</w:t>
            </w:r>
            <w:proofErr w:type="spellEnd"/>
            <w:r>
              <w:rPr>
                <w:rFonts w:eastAsia="MS Mincho"/>
                <w:lang w:eastAsia="ja-JP"/>
              </w:rPr>
              <w:t xml:space="preserve">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w:t>
            </w:r>
            <w:proofErr w:type="spellStart"/>
            <w:r>
              <w:rPr>
                <w:lang w:eastAsia="zh-CN"/>
              </w:rPr>
              <w:t>SCell</w:t>
            </w:r>
            <w:proofErr w:type="spellEnd"/>
            <w:r>
              <w:rPr>
                <w:lang w:eastAsia="zh-CN"/>
              </w:rPr>
              <w:t xml:space="preserve">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w:t>
            </w:r>
            <w:proofErr w:type="spellStart"/>
            <w:r>
              <w:rPr>
                <w:iCs/>
                <w:lang w:eastAsia="zh-CN"/>
              </w:rPr>
              <w:t>SCell</w:t>
            </w:r>
            <w:proofErr w:type="spellEnd"/>
            <w:r>
              <w:rPr>
                <w:iCs/>
                <w:lang w:eastAsia="zh-CN"/>
              </w:rPr>
              <w:t xml:space="preserve">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 xml:space="preserve">No. The temporary RS should be the first signal for detection upon </w:t>
            </w:r>
            <w:proofErr w:type="spellStart"/>
            <w:r>
              <w:rPr>
                <w:lang w:eastAsia="zh-CN"/>
              </w:rPr>
              <w:t>SCell</w:t>
            </w:r>
            <w:proofErr w:type="spellEnd"/>
            <w:r>
              <w:rPr>
                <w:lang w:eastAsia="zh-CN"/>
              </w:rPr>
              <w:t xml:space="preserve"> activation.</w:t>
            </w:r>
          </w:p>
        </w:tc>
      </w:tr>
    </w:tbl>
    <w:p w14:paraId="690FB7CA" w14:textId="77777777" w:rsidR="002368B3" w:rsidRDefault="002368B3">
      <w:pPr>
        <w:rPr>
          <w:rFonts w:eastAsia="MS Mincho"/>
          <w:lang w:eastAsia="ja-JP"/>
        </w:rPr>
      </w:pPr>
    </w:p>
    <w:p w14:paraId="1B0AAB02" w14:textId="77777777" w:rsidR="002368B3" w:rsidRDefault="002368B3">
      <w:pPr>
        <w:rPr>
          <w:rFonts w:eastAsia="MS Mincho"/>
          <w:lang w:eastAsia="ja-JP"/>
        </w:rPr>
      </w:pPr>
    </w:p>
    <w:p w14:paraId="034F316A" w14:textId="77777777" w:rsidR="002368B3"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 xml:space="preserve">In case of a known </w:t>
            </w:r>
            <w:proofErr w:type="spellStart"/>
            <w:r>
              <w:rPr>
                <w:rFonts w:eastAsiaTheme="minorEastAsia"/>
                <w:iCs/>
                <w:lang w:eastAsia="zh-CN"/>
              </w:rPr>
              <w:t>SCell</w:t>
            </w:r>
            <w:proofErr w:type="spellEnd"/>
            <w:r>
              <w:rPr>
                <w:rFonts w:eastAsiaTheme="minorEastAsia"/>
                <w:iCs/>
                <w:lang w:eastAsia="zh-CN"/>
              </w:rPr>
              <w:t xml:space="preserve">, the SSB measured by a UE for measurement report is still detectable according to the definition of known </w:t>
            </w:r>
            <w:proofErr w:type="spellStart"/>
            <w:r>
              <w:rPr>
                <w:rFonts w:eastAsiaTheme="minorEastAsia"/>
                <w:iCs/>
                <w:lang w:eastAsia="zh-CN"/>
              </w:rPr>
              <w:t>SCell</w:t>
            </w:r>
            <w:proofErr w:type="spellEnd"/>
            <w:r>
              <w:rPr>
                <w:rFonts w:eastAsiaTheme="minorEastAsia"/>
                <w:iCs/>
                <w:lang w:eastAsia="zh-CN"/>
              </w:rPr>
              <w:t xml:space="preserve">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w:t>
            </w:r>
            <w:proofErr w:type="spellStart"/>
            <w:r>
              <w:rPr>
                <w:lang w:eastAsia="zh-CN"/>
              </w:rPr>
              <w:t>SCell</w:t>
            </w:r>
            <w:proofErr w:type="spellEnd"/>
            <w:r>
              <w:rPr>
                <w:lang w:eastAsia="zh-CN"/>
              </w:rPr>
              <w:t xml:space="preserve">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t xml:space="preserve">In the legacy </w:t>
            </w:r>
            <w:proofErr w:type="spellStart"/>
            <w:r>
              <w:rPr>
                <w:iCs/>
                <w:lang w:eastAsia="zh-CN"/>
              </w:rPr>
              <w:t>SCell</w:t>
            </w:r>
            <w:proofErr w:type="spellEnd"/>
            <w:r>
              <w:rPr>
                <w:iCs/>
                <w:lang w:eastAsia="zh-CN"/>
              </w:rPr>
              <w:t xml:space="preserve">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w:t>
            </w:r>
            <w:proofErr w:type="spellStart"/>
            <w:r>
              <w:rPr>
                <w:iCs/>
                <w:lang w:eastAsia="zh-CN"/>
              </w:rPr>
              <w:t>SCell</w:t>
            </w:r>
            <w:proofErr w:type="spellEnd"/>
            <w:r>
              <w:rPr>
                <w:iCs/>
                <w:lang w:eastAsia="zh-CN"/>
              </w:rPr>
              <w:t xml:space="preserve">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 xml:space="preserve">For known cell, a QCL source of SSB can be determined for the temporary RS. However, as vivo commented, it doesn’t mean UE need to monitor the SSB first then the temporary RS, when UE receives a trigger for fast </w:t>
            </w:r>
            <w:proofErr w:type="spellStart"/>
            <w:r>
              <w:rPr>
                <w:lang w:eastAsia="ko-KR"/>
              </w:rPr>
              <w:t>SCell</w:t>
            </w:r>
            <w:proofErr w:type="spellEnd"/>
            <w:r>
              <w:rPr>
                <w:lang w:eastAsia="ko-KR"/>
              </w:rPr>
              <w:t xml:space="preserve"> activation</w:t>
            </w:r>
          </w:p>
        </w:tc>
      </w:tr>
    </w:tbl>
    <w:p w14:paraId="6EF26D8A" w14:textId="77777777" w:rsidR="002368B3" w:rsidRDefault="002368B3">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 xml:space="preserve">subsequent periodic TRS after </w:t>
      </w:r>
      <w:proofErr w:type="spellStart"/>
      <w:r>
        <w:rPr>
          <w:rFonts w:eastAsiaTheme="minorEastAsia"/>
          <w:lang w:eastAsia="zh-CN"/>
        </w:rPr>
        <w:t>SCell</w:t>
      </w:r>
      <w:proofErr w:type="spellEnd"/>
      <w:r>
        <w:rPr>
          <w:rFonts w:eastAsiaTheme="minorEastAsia"/>
          <w:lang w:eastAsia="zh-CN"/>
        </w:rPr>
        <w:t xml:space="preserve">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 xml:space="preserve">We support option 3.3.5. For option 3.3.1-3.3.4, we are not sure how these options can help to expedite the procedure of </w:t>
            </w:r>
            <w:proofErr w:type="spellStart"/>
            <w:r>
              <w:rPr>
                <w:rFonts w:eastAsiaTheme="minorEastAsia" w:hint="eastAsia"/>
                <w:iCs/>
                <w:lang w:eastAsia="zh-CN"/>
              </w:rPr>
              <w:t>SCell</w:t>
            </w:r>
            <w:proofErr w:type="spellEnd"/>
            <w:r>
              <w:rPr>
                <w:rFonts w:eastAsiaTheme="minorEastAsia" w:hint="eastAsia"/>
                <w:iCs/>
                <w:lang w:eastAsia="zh-CN"/>
              </w:rPr>
              <w:t xml:space="preserve">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A2B5332" w14:textId="77777777">
        <w:tc>
          <w:tcPr>
            <w:tcW w:w="2113" w:type="dxa"/>
          </w:tcPr>
          <w:p w14:paraId="709D4556" w14:textId="77777777" w:rsidR="004E5CB7" w:rsidRDefault="004E5CB7" w:rsidP="004E5CB7">
            <w:pPr>
              <w:spacing w:beforeLines="50" w:before="120"/>
              <w:rPr>
                <w:rFonts w:eastAsia="Malgun Gothic"/>
                <w:lang w:eastAsia="ko-KR"/>
              </w:rPr>
            </w:pPr>
          </w:p>
        </w:tc>
        <w:tc>
          <w:tcPr>
            <w:tcW w:w="7194" w:type="dxa"/>
          </w:tcPr>
          <w:p w14:paraId="5C79DD4A" w14:textId="77777777" w:rsidR="004E5CB7" w:rsidRDefault="004E5CB7" w:rsidP="004E5CB7">
            <w:pPr>
              <w:spacing w:beforeLines="50" w:before="120"/>
              <w:rPr>
                <w:lang w:eastAsia="ko-KR"/>
              </w:rPr>
            </w:pP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t xml:space="preserve">Issue-4: Timeline </w:t>
      </w:r>
      <w:r>
        <w:rPr>
          <w:szCs w:val="22"/>
          <w:lang w:eastAsia="zh-CN"/>
        </w:rPr>
        <w:t xml:space="preserve">for temporary RS and </w:t>
      </w:r>
      <w:proofErr w:type="spellStart"/>
      <w:r>
        <w:rPr>
          <w:szCs w:val="22"/>
          <w:lang w:eastAsia="zh-CN"/>
        </w:rPr>
        <w:t>SCell</w:t>
      </w:r>
      <w:proofErr w:type="spellEnd"/>
      <w:r>
        <w:rPr>
          <w:szCs w:val="22"/>
          <w:lang w:eastAsia="zh-CN"/>
        </w:rPr>
        <w:t xml:space="preserve"> activation</w:t>
      </w:r>
    </w:p>
    <w:p w14:paraId="4B18C710" w14:textId="77777777" w:rsidR="002368B3" w:rsidRDefault="00146DDA">
      <w:pPr>
        <w:rPr>
          <w:lang w:eastAsia="zh-CN"/>
        </w:rPr>
      </w:pPr>
      <w:r>
        <w:rPr>
          <w:lang w:eastAsia="zh-CN"/>
        </w:rPr>
        <w:t xml:space="preserve">Based on the triggering command, some timelines for temporary RS and </w:t>
      </w:r>
      <w:proofErr w:type="spellStart"/>
      <w:r>
        <w:rPr>
          <w:lang w:eastAsia="zh-CN"/>
        </w:rPr>
        <w:t>SCell</w:t>
      </w:r>
      <w:proofErr w:type="spellEnd"/>
      <w:r>
        <w:rPr>
          <w:lang w:eastAsia="zh-CN"/>
        </w:rPr>
        <w:t xml:space="preserve">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CEA8007"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BodyText"/>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w:t>
      </w:r>
      <w:proofErr w:type="spellStart"/>
      <w:r>
        <w:rPr>
          <w:b/>
          <w:lang w:eastAsia="zh-CN"/>
        </w:rPr>
        <w:t>SCell</w:t>
      </w:r>
      <w:proofErr w:type="spellEnd"/>
      <w:r>
        <w:rPr>
          <w:b/>
          <w:lang w:eastAsia="zh-CN"/>
        </w:rPr>
        <w:t xml:space="preserve">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 xml:space="preserve">With Alt.2.1.2 for Issue 1, the triggered A-TRS on to-be-activated </w:t>
            </w:r>
            <w:proofErr w:type="spellStart"/>
            <w:r>
              <w:rPr>
                <w:rFonts w:eastAsia="MS Mincho"/>
                <w:iCs/>
                <w:lang w:eastAsia="ja-JP"/>
              </w:rPr>
              <w:t>SCell</w:t>
            </w:r>
            <w:proofErr w:type="spellEnd"/>
            <w:r>
              <w:rPr>
                <w:rFonts w:eastAsia="MS Mincho"/>
                <w:iCs/>
                <w:lang w:eastAsia="ja-JP"/>
              </w:rPr>
              <w:t xml:space="preserve">(s) is used instead of SSB, if the UL DCI triggering the A-TRS is no earlier than slot n + k, where n is the slot where the PDSCH carrying the </w:t>
            </w:r>
            <w:proofErr w:type="spellStart"/>
            <w:r>
              <w:rPr>
                <w:rFonts w:eastAsia="MS Mincho"/>
                <w:iCs/>
                <w:lang w:eastAsia="ja-JP"/>
              </w:rPr>
              <w:t>SCell</w:t>
            </w:r>
            <w:proofErr w:type="spellEnd"/>
            <w:r>
              <w:rPr>
                <w:rFonts w:eastAsia="MS Mincho"/>
                <w:iCs/>
                <w:lang w:eastAsia="ja-JP"/>
              </w:rPr>
              <w:t xml:space="preserve">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trouble-maker. Instead, the timeline of TRS transmission should be associated with HARQ-ACK timing slot (Opt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 xml:space="preserve">It is more appropriate to discuss this issue after RAN1 has decided the triggering command for </w:t>
            </w:r>
            <w:proofErr w:type="spellStart"/>
            <w:r>
              <w:rPr>
                <w:lang w:eastAsia="zh-CN"/>
              </w:rPr>
              <w:t>SCell</w:t>
            </w:r>
            <w:proofErr w:type="spellEnd"/>
            <w:r>
              <w:rPr>
                <w:lang w:eastAsia="zh-CN"/>
              </w:rPr>
              <w:t xml:space="preserve">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proofErr w:type="spellStart"/>
            <w:r>
              <w:rPr>
                <w:rFonts w:eastAsia="MS Mincho"/>
                <w:lang w:eastAsia="ja-JP"/>
              </w:rPr>
              <w:t>Opt</w:t>
            </w:r>
            <w:proofErr w:type="spellEnd"/>
            <w:r>
              <w:rPr>
                <w:rFonts w:eastAsia="MS Mincho"/>
                <w:lang w:eastAsia="ja-JP"/>
              </w:rPr>
              <w:t xml:space="preserve"> 4.3 or 4.4. it </w:t>
            </w:r>
            <w:proofErr w:type="spellStart"/>
            <w:r>
              <w:rPr>
                <w:rFonts w:eastAsia="MS Mincho"/>
                <w:lang w:eastAsia="ja-JP"/>
              </w:rPr>
              <w:t>gNB</w:t>
            </w:r>
            <w:proofErr w:type="spellEnd"/>
            <w:r>
              <w:rPr>
                <w:rFonts w:eastAsia="MS Mincho"/>
                <w:lang w:eastAsia="ja-JP"/>
              </w:rPr>
              <w:t xml:space="preserve"> doesn’t detect the ACK feedback (UE doesn’t transmit HARQ-ACK or </w:t>
            </w:r>
            <w:proofErr w:type="spellStart"/>
            <w:r>
              <w:rPr>
                <w:rFonts w:eastAsia="MS Mincho"/>
                <w:lang w:eastAsia="ja-JP"/>
              </w:rPr>
              <w:t>gNB</w:t>
            </w:r>
            <w:proofErr w:type="spellEnd"/>
            <w:r>
              <w:rPr>
                <w:rFonts w:eastAsia="MS Mincho"/>
                <w:lang w:eastAsia="ja-JP"/>
              </w:rPr>
              <w:t xml:space="preserve"> misses the detection), </w:t>
            </w:r>
            <w:proofErr w:type="spellStart"/>
            <w:r>
              <w:rPr>
                <w:rFonts w:eastAsia="MS Mincho"/>
                <w:lang w:eastAsia="ja-JP"/>
              </w:rPr>
              <w:t>gNB</w:t>
            </w:r>
            <w:proofErr w:type="spellEnd"/>
            <w:r>
              <w:rPr>
                <w:rFonts w:eastAsia="MS Mincho"/>
                <w:lang w:eastAsia="ja-JP"/>
              </w:rPr>
              <w:t xml:space="preserve"> may not transmit the temporary RS. </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w:t>
      </w:r>
      <w:proofErr w:type="spellStart"/>
      <w:r>
        <w:t>SCell</w:t>
      </w:r>
      <w:proofErr w:type="spellEnd"/>
      <w:r>
        <w:t xml:space="preserve">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proofErr w:type="spellStart"/>
            <w:r>
              <w:rPr>
                <w:rFonts w:eastAsia="Malgun Gothic"/>
                <w:iCs/>
                <w:lang w:eastAsia="ko-KR"/>
              </w:rPr>
              <w:t>Opt</w:t>
            </w:r>
            <w:proofErr w:type="spellEnd"/>
            <w:r>
              <w:rPr>
                <w:rFonts w:eastAsia="Malgun Gothic"/>
                <w:iCs/>
                <w:lang w:eastAsia="ko-KR"/>
              </w:rPr>
              <w:t xml:space="preserve"> 5.1</w:t>
            </w:r>
          </w:p>
        </w:tc>
      </w:tr>
      <w:tr w:rsidR="003C4CEA" w14:paraId="30CDD308" w14:textId="77777777">
        <w:tc>
          <w:tcPr>
            <w:tcW w:w="2113" w:type="dxa"/>
          </w:tcPr>
          <w:p w14:paraId="52F2E87C" w14:textId="77777777" w:rsidR="003C4CEA" w:rsidRDefault="003C4CEA" w:rsidP="003C4CEA">
            <w:pPr>
              <w:spacing w:beforeLines="50" w:before="120"/>
              <w:rPr>
                <w:lang w:eastAsia="zh-CN"/>
              </w:rPr>
            </w:pPr>
          </w:p>
        </w:tc>
        <w:tc>
          <w:tcPr>
            <w:tcW w:w="7194" w:type="dxa"/>
          </w:tcPr>
          <w:p w14:paraId="4BCDCA11" w14:textId="77777777" w:rsidR="003C4CEA" w:rsidRDefault="003C4CEA" w:rsidP="003C4CEA">
            <w:pPr>
              <w:spacing w:beforeLines="50" w:before="120"/>
              <w:rPr>
                <w:lang w:eastAsia="zh-CN"/>
              </w:rPr>
            </w:pPr>
          </w:p>
        </w:tc>
      </w:tr>
      <w:tr w:rsidR="003C4CEA" w14:paraId="7E93517B" w14:textId="77777777">
        <w:tc>
          <w:tcPr>
            <w:tcW w:w="2113" w:type="dxa"/>
          </w:tcPr>
          <w:p w14:paraId="6325A01D" w14:textId="77777777" w:rsidR="003C4CEA" w:rsidRDefault="003C4CEA" w:rsidP="003C4CEA">
            <w:pPr>
              <w:spacing w:beforeLines="50" w:before="120"/>
              <w:rPr>
                <w:iCs/>
                <w:lang w:eastAsia="zh-CN"/>
              </w:rPr>
            </w:pPr>
          </w:p>
        </w:tc>
        <w:tc>
          <w:tcPr>
            <w:tcW w:w="7194" w:type="dxa"/>
          </w:tcPr>
          <w:p w14:paraId="357C59F1" w14:textId="77777777" w:rsidR="003C4CEA" w:rsidRDefault="003C4CEA" w:rsidP="003C4CEA">
            <w:pPr>
              <w:spacing w:beforeLines="50" w:before="120"/>
              <w:rPr>
                <w:iCs/>
                <w:lang w:eastAsia="zh-CN"/>
              </w:rPr>
            </w:pP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 xml:space="preserve">t is not clear what the BS assistance information refers to in the question here. </w:t>
            </w:r>
            <w:r>
              <w:rPr>
                <w:lang w:eastAsia="zh-CN"/>
              </w:rPr>
              <w:lastRenderedPageBreak/>
              <w:t>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w:t>
            </w:r>
            <w:proofErr w:type="spellStart"/>
            <w:r>
              <w:rPr>
                <w:rFonts w:eastAsia="MS Mincho"/>
                <w:iCs/>
                <w:lang w:eastAsia="ja-JP"/>
              </w:rPr>
              <w:t>gNB</w:t>
            </w:r>
            <w:proofErr w:type="spellEnd"/>
            <w:r>
              <w:rPr>
                <w:rFonts w:eastAsia="MS Mincho"/>
                <w:iCs/>
                <w:lang w:eastAsia="ja-JP"/>
              </w:rPr>
              <w:t xml:space="preserve">. Here it can be a </w:t>
            </w:r>
            <w:proofErr w:type="spellStart"/>
            <w:r>
              <w:rPr>
                <w:rFonts w:eastAsia="MS Mincho"/>
                <w:iCs/>
                <w:lang w:eastAsia="ja-JP"/>
              </w:rPr>
              <w:t>gNB</w:t>
            </w:r>
            <w:proofErr w:type="spellEnd"/>
            <w:r>
              <w:rPr>
                <w:rFonts w:eastAsia="MS Mincho"/>
                <w:iCs/>
                <w:lang w:eastAsia="ja-JP"/>
              </w:rPr>
              <w:t xml:space="preserve"> decision to signal the BS assistance information or not based on the </w:t>
            </w:r>
            <w:proofErr w:type="spellStart"/>
            <w:r>
              <w:rPr>
                <w:rFonts w:eastAsia="MS Mincho"/>
                <w:iCs/>
                <w:lang w:eastAsia="ja-JP"/>
              </w:rPr>
              <w:t>gNB’s</w:t>
            </w:r>
            <w:proofErr w:type="spellEnd"/>
            <w:r>
              <w:rPr>
                <w:rFonts w:eastAsia="MS Mincho"/>
                <w:iCs/>
                <w:lang w:eastAsia="ja-JP"/>
              </w:rPr>
              <w:t xml:space="preserve">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 xml:space="preserve">We share the similar views with </w:t>
            </w:r>
            <w:proofErr w:type="spellStart"/>
            <w:r>
              <w:rPr>
                <w:rFonts w:eastAsiaTheme="minorEastAsia" w:hint="eastAsia"/>
                <w:lang w:eastAsia="zh-CN"/>
              </w:rPr>
              <w:t>Futurewei</w:t>
            </w:r>
            <w:proofErr w:type="spellEnd"/>
            <w:r>
              <w:rPr>
                <w:rFonts w:eastAsiaTheme="minorEastAsia" w:hint="eastAsia"/>
                <w:lang w:eastAsia="zh-CN"/>
              </w:rPr>
              <w:t>.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F311A0D" w14:textId="77777777" w:rsidR="003C4CEA" w:rsidRDefault="003C4CEA" w:rsidP="003C4CEA">
            <w:pPr>
              <w:spacing w:beforeLines="50" w:before="120"/>
              <w:rPr>
                <w:rFonts w:eastAsiaTheme="minorEastAsia"/>
                <w:lang w:eastAsia="zh-CN"/>
              </w:rPr>
            </w:pPr>
          </w:p>
        </w:tc>
      </w:tr>
      <w:tr w:rsidR="003C4CEA" w14:paraId="6596D736" w14:textId="77777777">
        <w:tc>
          <w:tcPr>
            <w:tcW w:w="2113" w:type="dxa"/>
          </w:tcPr>
          <w:p w14:paraId="43EBFE9B" w14:textId="77777777" w:rsidR="003C4CEA" w:rsidRDefault="003C4CEA" w:rsidP="003C4CEA">
            <w:pPr>
              <w:spacing w:beforeLines="50" w:before="120"/>
              <w:rPr>
                <w:lang w:eastAsia="zh-CN"/>
              </w:rPr>
            </w:pPr>
          </w:p>
        </w:tc>
        <w:tc>
          <w:tcPr>
            <w:tcW w:w="7194" w:type="dxa"/>
          </w:tcPr>
          <w:p w14:paraId="4F936BAE" w14:textId="77777777" w:rsidR="003C4CEA" w:rsidRDefault="003C4CEA" w:rsidP="003C4CEA">
            <w:pPr>
              <w:spacing w:beforeLines="50" w:before="120"/>
              <w:rPr>
                <w:lang w:eastAsia="zh-CN"/>
              </w:rPr>
            </w:pP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”[4]</w:t>
      </w:r>
    </w:p>
    <w:p w14:paraId="63CF957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being activated [12]</w:t>
      </w:r>
    </w:p>
    <w:p w14:paraId="2DA513ED" w14:textId="77777777" w:rsidR="002368B3" w:rsidRDefault="00146DDA">
      <w:pPr>
        <w:ind w:left="100"/>
        <w:rPr>
          <w:i/>
          <w:lang w:eastAsia="zh-CN"/>
        </w:rPr>
      </w:pPr>
      <w:r>
        <w:rPr>
          <w:i/>
          <w:lang w:eastAsia="zh-CN"/>
        </w:rPr>
        <w:t xml:space="preserve">“The group-common DCI can include fields at least for bitmap for </w:t>
      </w:r>
      <w:proofErr w:type="spellStart"/>
      <w:r>
        <w:rPr>
          <w:i/>
          <w:lang w:eastAsia="zh-CN"/>
        </w:rPr>
        <w:t>SCell</w:t>
      </w:r>
      <w:proofErr w:type="spellEnd"/>
      <w:r>
        <w:rPr>
          <w:i/>
          <w:lang w:eastAsia="zh-CN"/>
        </w:rPr>
        <w:t xml:space="preserve">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w:t>
      </w:r>
      <w:proofErr w:type="spellStart"/>
      <w:r>
        <w:rPr>
          <w:i/>
          <w:lang w:eastAsia="zh-CN"/>
        </w:rPr>
        <w:t>SCell</w:t>
      </w:r>
      <w:proofErr w:type="spellEnd"/>
      <w:r>
        <w:rPr>
          <w:i/>
          <w:lang w:eastAsia="zh-CN"/>
        </w:rPr>
        <w:t xml:space="preserve">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6A78F684" w14:textId="77777777">
        <w:tc>
          <w:tcPr>
            <w:tcW w:w="2113" w:type="dxa"/>
          </w:tcPr>
          <w:p w14:paraId="362407BD" w14:textId="77777777" w:rsidR="00A52439" w:rsidRDefault="00A52439" w:rsidP="001766A2">
            <w:pPr>
              <w:spacing w:beforeLines="50" w:before="120"/>
              <w:rPr>
                <w:lang w:eastAsia="zh-CN"/>
              </w:rPr>
            </w:pPr>
            <w:r>
              <w:rPr>
                <w:rFonts w:hint="eastAsia"/>
                <w:lang w:eastAsia="zh-CN"/>
              </w:rPr>
              <w:t>CATT</w:t>
            </w:r>
          </w:p>
        </w:tc>
        <w:tc>
          <w:tcPr>
            <w:tcW w:w="7194" w:type="dxa"/>
          </w:tcPr>
          <w:p w14:paraId="1F49BA33" w14:textId="77777777" w:rsidR="00A52439" w:rsidRDefault="00A52439" w:rsidP="001766A2">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proofErr w:type="spellStart"/>
            <w:r>
              <w:rPr>
                <w:rFonts w:eastAsia="MS Mincho"/>
                <w:iCs/>
                <w:lang w:eastAsia="ja-JP"/>
              </w:rPr>
              <w:t>Opt</w:t>
            </w:r>
            <w:proofErr w:type="spellEnd"/>
            <w:r>
              <w:rPr>
                <w:rFonts w:eastAsia="MS Mincho"/>
                <w:iCs/>
                <w:lang w:eastAsia="ja-JP"/>
              </w:rPr>
              <w:t xml:space="preserve"> 7.1</w:t>
            </w:r>
            <w:r>
              <w:rPr>
                <w:rFonts w:eastAsia="MS Mincho"/>
                <w:iCs/>
                <w:lang w:eastAsia="ja-JP"/>
              </w:rPr>
              <w:t>.</w:t>
            </w:r>
            <w:r>
              <w:rPr>
                <w:lang w:eastAsia="zh-CN"/>
              </w:rPr>
              <w:t xml:space="preserve"> </w:t>
            </w:r>
            <w:r>
              <w:rPr>
                <w:lang w:eastAsia="zh-CN"/>
              </w:rPr>
              <w:t>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388F975" w14:textId="77777777" w:rsidR="003C4CEA" w:rsidRDefault="003C4CEA" w:rsidP="003C4CEA">
            <w:pPr>
              <w:spacing w:beforeLines="50" w:before="120"/>
              <w:rPr>
                <w:rFonts w:eastAsiaTheme="minorEastAsia"/>
                <w:lang w:eastAsia="zh-CN"/>
              </w:rPr>
            </w:pPr>
          </w:p>
        </w:tc>
      </w:tr>
      <w:tr w:rsidR="003C4CEA" w14:paraId="2F8B212B" w14:textId="77777777">
        <w:tc>
          <w:tcPr>
            <w:tcW w:w="2113" w:type="dxa"/>
          </w:tcPr>
          <w:p w14:paraId="6358506D" w14:textId="77777777" w:rsidR="003C4CEA" w:rsidRDefault="003C4CEA" w:rsidP="003C4CEA">
            <w:pPr>
              <w:spacing w:beforeLines="50" w:before="120"/>
              <w:rPr>
                <w:lang w:eastAsia="zh-CN"/>
              </w:rPr>
            </w:pPr>
          </w:p>
        </w:tc>
        <w:tc>
          <w:tcPr>
            <w:tcW w:w="7194" w:type="dxa"/>
          </w:tcPr>
          <w:p w14:paraId="4E124FC5" w14:textId="77777777" w:rsidR="003C4CEA" w:rsidRDefault="003C4CEA" w:rsidP="003C4CEA">
            <w:pPr>
              <w:spacing w:beforeLines="50" w:before="120"/>
              <w:rPr>
                <w:lang w:eastAsia="zh-CN"/>
              </w:rPr>
            </w:pP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 xml:space="preserve">Same view with Nokia. It should be discussed after the solution on known </w:t>
            </w:r>
            <w:proofErr w:type="spellStart"/>
            <w:r>
              <w:rPr>
                <w:rFonts w:eastAsiaTheme="minorEastAsia" w:hint="eastAsia"/>
                <w:lang w:eastAsia="zh-CN"/>
              </w:rPr>
              <w:t>SCell</w:t>
            </w:r>
            <w:proofErr w:type="spellEnd"/>
            <w:r>
              <w:rPr>
                <w:rFonts w:eastAsiaTheme="minorEastAsia" w:hint="eastAsia"/>
                <w:lang w:eastAsia="zh-CN"/>
              </w:rPr>
              <w:t xml:space="preserve">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77777777" w:rsidR="003C4CEA" w:rsidRDefault="003C4CEA" w:rsidP="003C4CE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D1F6E4F" w14:textId="77777777" w:rsidR="003C4CEA" w:rsidRDefault="003C4CEA" w:rsidP="003C4CEA">
            <w:pPr>
              <w:spacing w:beforeLines="50" w:before="120"/>
              <w:rPr>
                <w:rFonts w:eastAsiaTheme="minorEastAsia"/>
                <w:lang w:eastAsia="zh-CN"/>
              </w:rPr>
            </w:pPr>
          </w:p>
        </w:tc>
      </w:tr>
      <w:tr w:rsidR="003C4CEA" w14:paraId="21F9BDD9" w14:textId="77777777">
        <w:tc>
          <w:tcPr>
            <w:tcW w:w="2113" w:type="dxa"/>
          </w:tcPr>
          <w:p w14:paraId="73DA2E3F" w14:textId="77777777" w:rsidR="003C4CEA" w:rsidRDefault="003C4CEA" w:rsidP="003C4CEA">
            <w:pPr>
              <w:spacing w:beforeLines="50" w:before="120"/>
              <w:rPr>
                <w:lang w:eastAsia="zh-CN"/>
              </w:rPr>
            </w:pPr>
          </w:p>
        </w:tc>
        <w:tc>
          <w:tcPr>
            <w:tcW w:w="7194" w:type="dxa"/>
          </w:tcPr>
          <w:p w14:paraId="142D1E8D" w14:textId="77777777" w:rsidR="003C4CEA" w:rsidRDefault="003C4CEA" w:rsidP="003C4CEA">
            <w:pPr>
              <w:spacing w:beforeLines="50" w:before="120"/>
              <w:rPr>
                <w:lang w:eastAsia="zh-CN"/>
              </w:rPr>
            </w:pP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77777777" w:rsidR="003C4CEA" w:rsidRDefault="003C4CEA" w:rsidP="003C4CEA">
            <w:pPr>
              <w:spacing w:beforeLines="50" w:before="120"/>
              <w:rPr>
                <w:rFonts w:eastAsiaTheme="minorEastAsia"/>
                <w:lang w:eastAsia="zh-CN"/>
              </w:rPr>
            </w:pPr>
          </w:p>
        </w:tc>
        <w:tc>
          <w:tcPr>
            <w:tcW w:w="7194" w:type="dxa"/>
          </w:tcPr>
          <w:p w14:paraId="7547FD85" w14:textId="77777777" w:rsidR="003C4CEA" w:rsidRDefault="003C4CEA" w:rsidP="003C4CEA">
            <w:pPr>
              <w:spacing w:beforeLines="50" w:before="120"/>
              <w:rPr>
                <w:rFonts w:eastAsiaTheme="minorEastAsia"/>
                <w:lang w:eastAsia="zh-CN"/>
              </w:rPr>
            </w:pPr>
          </w:p>
        </w:tc>
      </w:tr>
      <w:tr w:rsidR="003C4CEA" w14:paraId="76D90094" w14:textId="77777777">
        <w:tc>
          <w:tcPr>
            <w:tcW w:w="2113" w:type="dxa"/>
          </w:tcPr>
          <w:p w14:paraId="540B057B" w14:textId="77777777" w:rsidR="003C4CEA" w:rsidRDefault="003C4CEA" w:rsidP="003C4CEA">
            <w:pPr>
              <w:spacing w:beforeLines="50" w:before="120"/>
              <w:rPr>
                <w:lang w:eastAsia="zh-CN"/>
              </w:rPr>
            </w:pPr>
          </w:p>
        </w:tc>
        <w:tc>
          <w:tcPr>
            <w:tcW w:w="7194" w:type="dxa"/>
          </w:tcPr>
          <w:p w14:paraId="45DE2908" w14:textId="77777777" w:rsidR="003C4CEA" w:rsidRDefault="003C4CEA" w:rsidP="003C4CEA">
            <w:pPr>
              <w:spacing w:beforeLines="50" w:before="120"/>
              <w:rPr>
                <w:lang w:eastAsia="zh-CN"/>
              </w:rPr>
            </w:pP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1766A2">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1766A2">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 xml:space="preserve">Yes, assuming CSI report is needed in the </w:t>
            </w:r>
            <w:proofErr w:type="spellStart"/>
            <w:r>
              <w:rPr>
                <w:rFonts w:eastAsia="MS Mincho"/>
                <w:lang w:eastAsia="ja-JP"/>
              </w:rPr>
              <w:t>SCell</w:t>
            </w:r>
            <w:proofErr w:type="spellEnd"/>
            <w:r>
              <w:rPr>
                <w:rFonts w:eastAsia="MS Mincho"/>
                <w:lang w:eastAsia="ja-JP"/>
              </w:rPr>
              <w:t xml:space="preserve">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9B47FA9" w14:textId="77777777" w:rsidR="003C4CEA" w:rsidRDefault="003C4CEA" w:rsidP="003C4CEA">
            <w:pPr>
              <w:spacing w:beforeLines="50" w:before="120"/>
              <w:rPr>
                <w:rFonts w:eastAsia="Malgun Gothic"/>
                <w:lang w:eastAsia="ko-KR"/>
              </w:rPr>
            </w:pPr>
          </w:p>
        </w:tc>
      </w:tr>
      <w:tr w:rsidR="003C4CEA" w14:paraId="1A9366C8" w14:textId="77777777">
        <w:tc>
          <w:tcPr>
            <w:tcW w:w="2113" w:type="dxa"/>
          </w:tcPr>
          <w:p w14:paraId="52FD77E7" w14:textId="77777777" w:rsidR="003C4CEA" w:rsidRDefault="003C4CEA" w:rsidP="003C4CEA">
            <w:pPr>
              <w:spacing w:beforeLines="50" w:before="120"/>
              <w:rPr>
                <w:rFonts w:eastAsiaTheme="minorEastAsia"/>
                <w:lang w:eastAsia="zh-CN"/>
              </w:rPr>
            </w:pPr>
          </w:p>
        </w:tc>
        <w:tc>
          <w:tcPr>
            <w:tcW w:w="7194" w:type="dxa"/>
          </w:tcPr>
          <w:p w14:paraId="60EDB707" w14:textId="77777777" w:rsidR="003C4CEA" w:rsidRDefault="003C4CEA" w:rsidP="003C4CEA">
            <w:pPr>
              <w:spacing w:beforeLines="50" w:before="120"/>
              <w:rPr>
                <w:rFonts w:eastAsiaTheme="minorEastAsia"/>
                <w:lang w:eastAsia="zh-CN"/>
              </w:rPr>
            </w:pPr>
          </w:p>
        </w:tc>
      </w:tr>
    </w:tbl>
    <w:p w14:paraId="23DAB4F7" w14:textId="77777777" w:rsidR="002368B3" w:rsidRDefault="002368B3"/>
    <w:p w14:paraId="185D24F3" w14:textId="77777777" w:rsidR="002368B3" w:rsidRDefault="00146DDA">
      <w:r>
        <w:rPr>
          <w:b/>
        </w:rPr>
        <w:t>Question G4:</w:t>
      </w:r>
      <w:r>
        <w:tab/>
        <w:t xml:space="preserve"> Whether or not support additional functionality of temporary RS during </w:t>
      </w:r>
      <w:proofErr w:type="spellStart"/>
      <w:r>
        <w:t>SCell</w:t>
      </w:r>
      <w:proofErr w:type="spellEnd"/>
      <w:r>
        <w:t xml:space="preserve">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1766A2">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1766A2">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77777777" w:rsidR="003C4CEA" w:rsidRDefault="003C4CEA" w:rsidP="003C4CEA">
            <w:pPr>
              <w:spacing w:beforeLines="50" w:before="120"/>
              <w:rPr>
                <w:rFonts w:eastAsiaTheme="minorEastAsia"/>
                <w:lang w:eastAsia="zh-CN"/>
              </w:rPr>
            </w:pPr>
          </w:p>
        </w:tc>
        <w:tc>
          <w:tcPr>
            <w:tcW w:w="7194" w:type="dxa"/>
          </w:tcPr>
          <w:p w14:paraId="2C66ABA9" w14:textId="77777777" w:rsidR="003C4CEA" w:rsidRDefault="003C4CEA" w:rsidP="003C4CEA">
            <w:pPr>
              <w:spacing w:beforeLines="50" w:before="120"/>
              <w:rPr>
                <w:rFonts w:eastAsiaTheme="minorEastAsia"/>
                <w:lang w:eastAsia="zh-CN"/>
              </w:rPr>
            </w:pP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w:t>
      </w:r>
      <w:proofErr w:type="spellStart"/>
      <w:r>
        <w:t>SCell</w:t>
      </w:r>
      <w:proofErr w:type="spellEnd"/>
      <w:r>
        <w:t xml:space="preserve">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w:t>
            </w:r>
            <w:proofErr w:type="spellStart"/>
            <w:r>
              <w:rPr>
                <w:lang w:eastAsia="zh-CN"/>
              </w:rPr>
              <w:t>SCell</w:t>
            </w:r>
            <w:proofErr w:type="spellEnd"/>
            <w:r>
              <w:rPr>
                <w:lang w:eastAsia="zh-CN"/>
              </w:rPr>
              <w:t xml:space="preserve">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1766A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1766A2">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880EE66" w14:textId="77777777" w:rsidR="003C4CEA" w:rsidRDefault="003C4CEA" w:rsidP="003C4CEA">
            <w:pPr>
              <w:spacing w:beforeLines="50" w:before="120"/>
              <w:rPr>
                <w:rFonts w:eastAsiaTheme="minorEastAsia"/>
                <w:lang w:eastAsia="zh-CN"/>
              </w:rPr>
            </w:pP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58C0A5C" w14:textId="77777777" w:rsidR="003C4CEA" w:rsidRDefault="003C4CEA" w:rsidP="003C4CEA">
            <w:pPr>
              <w:spacing w:beforeLines="50" w:before="120"/>
              <w:rPr>
                <w:rFonts w:eastAsiaTheme="minorEastAsia"/>
                <w:lang w:eastAsia="zh-CN"/>
              </w:rPr>
            </w:pP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1766A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1766A2">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97C6E99" w14:textId="77777777" w:rsidR="003C4CEA" w:rsidRDefault="003C4CEA" w:rsidP="003C4CEA">
            <w:pPr>
              <w:spacing w:beforeLines="50" w:before="120"/>
              <w:rPr>
                <w:rFonts w:eastAsiaTheme="minorEastAsia"/>
                <w:lang w:eastAsia="zh-CN"/>
              </w:rPr>
            </w:pP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3175FF1" w14:textId="77777777" w:rsidR="003C4CEA" w:rsidRDefault="003C4CEA" w:rsidP="003C4CEA">
            <w:pPr>
              <w:spacing w:beforeLines="50" w:before="120"/>
              <w:rPr>
                <w:rFonts w:eastAsiaTheme="minorEastAsia"/>
                <w:lang w:eastAsia="zh-CN"/>
              </w:rPr>
            </w:pP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1766A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1766A2">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5203E6F" w14:textId="77777777" w:rsidR="003C4CEA" w:rsidRDefault="003C4CEA" w:rsidP="003C4CEA">
            <w:pPr>
              <w:spacing w:beforeLines="50" w:before="120"/>
              <w:rPr>
                <w:rFonts w:eastAsiaTheme="minorEastAsia"/>
                <w:lang w:eastAsia="zh-CN"/>
              </w:rPr>
            </w:pP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FD7C437" w14:textId="77777777" w:rsidR="003C4CEA" w:rsidRDefault="003C4CEA" w:rsidP="003C4CEA">
            <w:pPr>
              <w:spacing w:beforeLines="50" w:before="120"/>
              <w:rPr>
                <w:rFonts w:eastAsiaTheme="minorEastAsia"/>
                <w:lang w:eastAsia="zh-CN"/>
              </w:rPr>
            </w:pP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Heading1"/>
        <w:numPr>
          <w:ilvl w:val="0"/>
          <w:numId w:val="0"/>
        </w:numPr>
        <w:ind w:left="432" w:hanging="432"/>
      </w:pPr>
      <w:bookmarkStart w:id="8" w:name="_Ref124589665"/>
      <w:bookmarkStart w:id="9" w:name="_Ref124671424"/>
      <w:bookmarkStart w:id="10" w:name="_Ref71620620"/>
      <w:r>
        <w:t>References</w:t>
      </w:r>
    </w:p>
    <w:bookmarkEnd w:id="1"/>
    <w:bookmarkEnd w:id="8"/>
    <w:bookmarkEnd w:id="9"/>
    <w:bookmarkEnd w:id="10"/>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14:paraId="70AEA49C" w14:textId="77777777" w:rsidR="002368B3" w:rsidRDefault="00D75904">
      <w:pPr>
        <w:pStyle w:val="ListParagraph"/>
        <w:numPr>
          <w:ilvl w:val="0"/>
          <w:numId w:val="19"/>
        </w:numPr>
        <w:rPr>
          <w:rFonts w:ascii="Times New Roman" w:hAnsi="Times New Roman"/>
          <w:sz w:val="22"/>
          <w:szCs w:val="22"/>
          <w:lang w:eastAsia="zh-CN"/>
        </w:rPr>
      </w:pPr>
      <w:hyperlink r:id="rId14"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 xml:space="preserve">Discussion on Support Efficient Activation 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D75904">
      <w:pPr>
        <w:pStyle w:val="ListParagraph"/>
        <w:numPr>
          <w:ilvl w:val="0"/>
          <w:numId w:val="19"/>
        </w:numPr>
        <w:rPr>
          <w:rFonts w:ascii="Times New Roman" w:hAnsi="Times New Roman"/>
          <w:sz w:val="22"/>
          <w:szCs w:val="22"/>
          <w:lang w:eastAsia="zh-CN"/>
        </w:rPr>
      </w:pPr>
      <w:hyperlink r:id="rId15"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14:paraId="2256816F" w14:textId="77777777" w:rsidR="002368B3" w:rsidRDefault="00D75904">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14:paraId="6BB043E2" w14:textId="77777777" w:rsidR="002368B3" w:rsidRDefault="00D75904">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 xml:space="preserve">Discussion on efficient activation and de-activation mechanism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CATT</w:t>
      </w:r>
    </w:p>
    <w:p w14:paraId="642916A8" w14:textId="77777777" w:rsidR="002368B3" w:rsidRDefault="00D75904">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14:paraId="1757180E" w14:textId="77777777" w:rsidR="002368B3" w:rsidRDefault="00D75904">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14:paraId="03428F95" w14:textId="77777777" w:rsidR="002368B3" w:rsidRDefault="00D75904">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14:paraId="2B8AE6FA" w14:textId="77777777" w:rsidR="002368B3" w:rsidRDefault="00D75904">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14:paraId="0ACBBFDF" w14:textId="77777777" w:rsidR="002368B3" w:rsidRDefault="00D75904">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14:paraId="458C7739" w14:textId="77777777" w:rsidR="002368B3" w:rsidRDefault="00D75904">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14:paraId="38C69BCD" w14:textId="77777777" w:rsidR="002368B3" w:rsidRDefault="00D75904">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14:paraId="3653D600" w14:textId="77777777" w:rsidR="002368B3" w:rsidRDefault="00D75904">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 xml:space="preserve">Fast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14:paraId="49457F43" w14:textId="77777777" w:rsidR="002368B3" w:rsidRDefault="00D75904">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14:paraId="0A300F33" w14:textId="77777777" w:rsidR="002368B3" w:rsidRDefault="00D75904">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14:paraId="70C3D38B" w14:textId="77777777" w:rsidR="002368B3" w:rsidRDefault="00D75904">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 xml:space="preserve">Reduced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Ericsson</w:t>
      </w:r>
    </w:p>
    <w:p w14:paraId="2397684B" w14:textId="77777777" w:rsidR="002368B3" w:rsidRDefault="00D75904">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 xml:space="preserve">Efficient activation/deactivation of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14:paraId="0288D533" w14:textId="77777777" w:rsidR="002368B3" w:rsidRDefault="00D75904">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lastRenderedPageBreak/>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 xml:space="preserve">FFS handling of  </w:t>
            </w:r>
            <w:proofErr w:type="spellStart"/>
            <w:r>
              <w:rPr>
                <w:rFonts w:eastAsia="Times New Roman"/>
                <w:lang w:eastAsia="zh-CN"/>
              </w:rPr>
              <w:t>SCell</w:t>
            </w:r>
            <w:proofErr w:type="spellEnd"/>
            <w:r>
              <w:rPr>
                <w:rFonts w:eastAsia="Times New Roman"/>
                <w:lang w:eastAsia="zh-CN"/>
              </w:rPr>
              <w:t xml:space="preserve">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6786" w14:textId="77777777" w:rsidR="00405FF5" w:rsidRDefault="00405FF5" w:rsidP="002368B3">
      <w:pPr>
        <w:spacing w:after="0"/>
      </w:pPr>
      <w:r>
        <w:separator/>
      </w:r>
    </w:p>
  </w:endnote>
  <w:endnote w:type="continuationSeparator" w:id="0">
    <w:p w14:paraId="02F56F2C" w14:textId="77777777" w:rsidR="00405FF5" w:rsidRDefault="00405FF5"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40FEC" w14:textId="77777777" w:rsidR="00405FF5" w:rsidRDefault="00405FF5">
      <w:pPr>
        <w:spacing w:after="0"/>
      </w:pPr>
      <w:r>
        <w:separator/>
      </w:r>
    </w:p>
  </w:footnote>
  <w:footnote w:type="continuationSeparator" w:id="0">
    <w:p w14:paraId="1A0AE4D6" w14:textId="77777777" w:rsidR="00405FF5" w:rsidRDefault="00405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9"/>
  </w:num>
  <w:num w:numId="3">
    <w:abstractNumId w:val="13"/>
  </w:num>
  <w:num w:numId="4">
    <w:abstractNumId w:val="23"/>
    <w:lvlOverride w:ilvl="0">
      <w:startOverride w:val="1"/>
    </w:lvlOverride>
  </w:num>
  <w:num w:numId="5">
    <w:abstractNumId w:val="12"/>
  </w:num>
  <w:num w:numId="6">
    <w:abstractNumId w:val="6"/>
  </w:num>
  <w:num w:numId="7">
    <w:abstractNumId w:val="5"/>
  </w:num>
  <w:num w:numId="8">
    <w:abstractNumId w:val="11"/>
  </w:num>
  <w:num w:numId="9">
    <w:abstractNumId w:val="4"/>
  </w:num>
  <w:num w:numId="10">
    <w:abstractNumId w:val="21"/>
  </w:num>
  <w:num w:numId="11">
    <w:abstractNumId w:val="17"/>
  </w:num>
  <w:num w:numId="12">
    <w:abstractNumId w:val="0"/>
  </w:num>
  <w:num w:numId="13">
    <w:abstractNumId w:val="22"/>
  </w:num>
  <w:num w:numId="14">
    <w:abstractNumId w:val="3"/>
  </w:num>
  <w:num w:numId="15">
    <w:abstractNumId w:val="16"/>
  </w:num>
  <w:num w:numId="16">
    <w:abstractNumId w:val="14"/>
  </w:num>
  <w:num w:numId="17">
    <w:abstractNumId w:val="20"/>
  </w:num>
  <w:num w:numId="18">
    <w:abstractNumId w:val="1"/>
  </w:num>
  <w:num w:numId="19">
    <w:abstractNumId w:val="8"/>
  </w:num>
  <w:num w:numId="20">
    <w:abstractNumId w:val="18"/>
  </w:num>
  <w:num w:numId="21">
    <w:abstractNumId w:val="2"/>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B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2368B3"/>
    <w:rPr>
      <w:rFonts w:ascii="SimSun" w:hAnsi="SimSun"/>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3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8D4CC-948A-4CB9-A85C-B9926AFF82DE}">
  <ds:schemaRefs>
    <ds:schemaRef ds:uri="http://schemas.openxmlformats.org/officeDocument/2006/bibliography"/>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87EE12-8A94-459D-BF69-AC7FB04B9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7396</Words>
  <Characters>42163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2</cp:revision>
  <cp:lastPrinted>2007-06-18T22:08:00Z</cp:lastPrinted>
  <dcterms:created xsi:type="dcterms:W3CDTF">2021-01-27T09:38:00Z</dcterms:created>
  <dcterms:modified xsi:type="dcterms:W3CDTF">2021-01-27T09:38:00Z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