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E22B1" id="DtsShapeName" o:spid="_x0000_s1026" alt="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hint="eastAsia"/>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lastRenderedPageBreak/>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lastRenderedPageBreak/>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CD40B8">
        <w:trPr>
          <w:trHeight w:val="253"/>
          <w:jc w:val="center"/>
        </w:trPr>
        <w:tc>
          <w:tcPr>
            <w:tcW w:w="1555" w:type="dxa"/>
          </w:tcPr>
          <w:p w14:paraId="7EC99912" w14:textId="77777777" w:rsidR="0015529C" w:rsidRPr="0015529C" w:rsidRDefault="0015529C" w:rsidP="00CD40B8">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CD40B8">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Heading3"/>
        <w:rPr>
          <w:lang w:eastAsia="zh-CN"/>
        </w:rPr>
      </w:pPr>
      <w:bookmarkStart w:id="21" w:name="_Ref62477270"/>
      <w:r>
        <w:rPr>
          <w:lang w:eastAsia="zh-CN"/>
        </w:rPr>
        <w:t>For NACK-only based feedback</w:t>
      </w:r>
      <w:bookmarkEnd w:id="21"/>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lastRenderedPageBreak/>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lastRenderedPageBreak/>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CD40B8">
        <w:trPr>
          <w:trHeight w:val="253"/>
          <w:jc w:val="center"/>
        </w:trPr>
        <w:tc>
          <w:tcPr>
            <w:tcW w:w="1555" w:type="dxa"/>
          </w:tcPr>
          <w:p w14:paraId="48FF58FD" w14:textId="77777777" w:rsidR="0015529C" w:rsidRPr="0015529C" w:rsidRDefault="0015529C" w:rsidP="00CD40B8">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CD40B8">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Heading2"/>
        <w:rPr>
          <w:lang w:eastAsia="zh-CN"/>
        </w:rPr>
      </w:pPr>
      <w:bookmarkStart w:id="24" w:name="_Ref55034632"/>
      <w:r w:rsidRPr="005154E2">
        <w:rPr>
          <w:rFonts w:hint="eastAsia"/>
          <w:lang w:eastAsia="zh-CN"/>
        </w:rPr>
        <w:t>H</w:t>
      </w:r>
      <w:r w:rsidRPr="005154E2">
        <w:rPr>
          <w:lang w:eastAsia="zh-CN"/>
        </w:rPr>
        <w:t>ARQ-ACK codebook</w:t>
      </w:r>
      <w:bookmarkEnd w:id="24"/>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lastRenderedPageBreak/>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lastRenderedPageBreak/>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32"/>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Heading3"/>
        <w:rPr>
          <w:lang w:eastAsia="zh-CN"/>
        </w:rPr>
      </w:pPr>
      <w:bookmarkStart w:id="35" w:name="_Ref62477295"/>
      <w:r>
        <w:rPr>
          <w:rFonts w:hint="eastAsia"/>
          <w:lang w:eastAsia="zh-CN"/>
        </w:rPr>
        <w:t>T</w:t>
      </w:r>
      <w:r>
        <w:rPr>
          <w:lang w:eastAsia="zh-CN"/>
        </w:rPr>
        <w:t>ype-2 HARQ codebook</w:t>
      </w:r>
      <w:bookmarkEnd w:id="35"/>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36"/>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lastRenderedPageBreak/>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38" w:name="_Ref62477545"/>
      <w:r w:rsidRPr="005154E2">
        <w:rPr>
          <w:lang w:eastAsia="zh-CN"/>
        </w:rPr>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Heading3"/>
        <w:rPr>
          <w:lang w:eastAsia="zh-CN"/>
        </w:rPr>
      </w:pPr>
      <w:bookmarkStart w:id="39" w:name="_Ref62477305"/>
      <w:r>
        <w:rPr>
          <w:lang w:eastAsia="zh-CN"/>
        </w:rPr>
        <w:t xml:space="preserve">Enh </w:t>
      </w:r>
      <w:r>
        <w:rPr>
          <w:rFonts w:hint="eastAsia"/>
          <w:lang w:eastAsia="zh-CN"/>
        </w:rPr>
        <w:t>T</w:t>
      </w:r>
      <w:r>
        <w:rPr>
          <w:lang w:eastAsia="zh-CN"/>
        </w:rPr>
        <w:t>ype-2 / Type 3 HARQ codebook</w:t>
      </w:r>
      <w:bookmarkEnd w:id="39"/>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lastRenderedPageBreak/>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4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lastRenderedPageBreak/>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Heading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lastRenderedPageBreak/>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Heading3"/>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Heading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 xml:space="preserve">for MBS will always be dropped when colliding with HARQ-ACK feedback for unicast, it impliedly means the priority of the feedback for MBS is lower </w:t>
      </w:r>
      <w:r w:rsidR="006104C3" w:rsidRPr="00AA12C9">
        <w:rPr>
          <w:rFonts w:eastAsiaTheme="minorEastAsia"/>
          <w:sz w:val="20"/>
          <w:szCs w:val="20"/>
          <w:lang w:val="en-GB" w:eastAsia="zh-CN"/>
        </w:rPr>
        <w:lastRenderedPageBreak/>
        <w:t>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agree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Heading3"/>
        <w:rPr>
          <w:lang w:eastAsia="zh-CN"/>
        </w:rPr>
      </w:pPr>
      <w:bookmarkStart w:id="47" w:name="_Ref62477324"/>
      <w:r>
        <w:rPr>
          <w:sz w:val="20"/>
          <w:szCs w:val="20"/>
          <w:lang w:val="en-GB" w:eastAsia="zh-CN"/>
        </w:rPr>
        <w:lastRenderedPageBreak/>
        <w:t>Multiplexing/prioritizing</w:t>
      </w:r>
      <w:bookmarkEnd w:id="47"/>
    </w:p>
    <w:p w14:paraId="203F6A4E" w14:textId="77777777" w:rsidR="00A669BC" w:rsidRPr="005154E2" w:rsidRDefault="00A669BC" w:rsidP="00A669BC">
      <w:pPr>
        <w:pStyle w:val="Heading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hint="eastAsia"/>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9EF5D81" w14:textId="0B0345E6" w:rsidR="0051627F" w:rsidRDefault="0051627F" w:rsidP="0051627F">
            <w:pPr>
              <w:spacing w:after="0"/>
              <w:rPr>
                <w:rFonts w:eastAsiaTheme="minorEastAsia" w:hint="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lastRenderedPageBreak/>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55" w:name="_Ref62477583"/>
      <w:r w:rsidRPr="005154E2">
        <w:rPr>
          <w:lang w:eastAsia="zh-CN"/>
        </w:rPr>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hint="eastAsia"/>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2DB31AA7" w:rsidR="00D1206E" w:rsidRPr="005154E2" w:rsidRDefault="00D1206E" w:rsidP="00D1206E">
      <w:pPr>
        <w:pStyle w:val="Heading2"/>
        <w:rPr>
          <w:lang w:eastAsia="zh-CN"/>
        </w:rPr>
      </w:pPr>
      <w:bookmarkStart w:id="56" w:name="_Ref55061738"/>
      <w:r w:rsidRPr="005154E2">
        <w:rPr>
          <w:lang w:eastAsia="zh-CN"/>
        </w:rPr>
        <w:lastRenderedPageBreak/>
        <w:t>Retransmission</w:t>
      </w:r>
      <w:bookmarkEnd w:id="56"/>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lastRenderedPageBreak/>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59" w:name="_Ref62477343"/>
      <w:r>
        <w:rPr>
          <w:lang w:eastAsia="zh-CN"/>
        </w:rPr>
        <w:t>Retransmission schemes</w:t>
      </w:r>
      <w:bookmarkEnd w:id="59"/>
    </w:p>
    <w:p w14:paraId="61EC47F4" w14:textId="77777777" w:rsidR="008C14F7" w:rsidRPr="005154E2" w:rsidRDefault="008C14F7" w:rsidP="00B54367">
      <w:pPr>
        <w:pStyle w:val="Heading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lastRenderedPageBreak/>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lastRenderedPageBreak/>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hint="eastAsia"/>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hint="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Heading3"/>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Heading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3D97AE8E"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6E6523">
              <w:rPr>
                <w:rFonts w:eastAsiaTheme="minorEastAsia" w:hint="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hint="eastAsia"/>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lastRenderedPageBreak/>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hint="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bl>
    <w:p w14:paraId="390D68EA" w14:textId="77777777" w:rsidR="008C14F7" w:rsidRPr="00911A3E" w:rsidRDefault="008C14F7" w:rsidP="008C14F7">
      <w:pPr>
        <w:rPr>
          <w:lang w:eastAsia="zh-CN"/>
        </w:rPr>
      </w:pPr>
    </w:p>
    <w:p w14:paraId="6BD54932" w14:textId="77777777" w:rsidR="007F457C" w:rsidRPr="005154E2" w:rsidRDefault="007F457C" w:rsidP="00832E36">
      <w:pPr>
        <w:rPr>
          <w:lang w:eastAsia="zh-CN"/>
        </w:rPr>
      </w:pPr>
    </w:p>
    <w:p w14:paraId="65359F30" w14:textId="7CF6E225" w:rsidR="00B13550" w:rsidRPr="005154E2" w:rsidRDefault="003B5DEE" w:rsidP="00B13550">
      <w:pPr>
        <w:pStyle w:val="Heading1"/>
        <w:rPr>
          <w:lang w:eastAsia="ja-JP"/>
        </w:rPr>
      </w:pPr>
      <w:bookmarkStart w:id="67" w:name="_Ref55063163"/>
      <w:r w:rsidRPr="005154E2">
        <w:rPr>
          <w:rFonts w:hint="eastAsia"/>
          <w:lang w:eastAsia="zh-CN"/>
        </w:rPr>
        <w:lastRenderedPageBreak/>
        <w:t>C</w:t>
      </w:r>
      <w:r w:rsidRPr="005154E2">
        <w:rPr>
          <w:lang w:eastAsia="zh-CN"/>
        </w:rPr>
        <w:t>SI feedback</w:t>
      </w:r>
      <w:bookmarkEnd w:id="67"/>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lastRenderedPageBreak/>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hint="eastAsia"/>
                <w:sz w:val="20"/>
                <w:lang w:val="en-GB" w:eastAsia="zh-CN"/>
              </w:rPr>
            </w:pPr>
            <w:bookmarkStart w:id="72" w:name="_GoBack" w:colFirst="0" w:colLast="0"/>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hint="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bookmarkEnd w:id="72"/>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3"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3"/>
    </w:p>
    <w:p w14:paraId="2744C0D0" w14:textId="00B7E80D" w:rsidR="00750B00" w:rsidRDefault="00750B00" w:rsidP="00750B00">
      <w:pPr>
        <w:pStyle w:val="3GPPAgreements"/>
      </w:pPr>
      <w:bookmarkStart w:id="74"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4"/>
    </w:p>
    <w:p w14:paraId="47A59A0C" w14:textId="5B9B271E" w:rsidR="00321DAB" w:rsidRDefault="00321DAB" w:rsidP="00321DAB">
      <w:pPr>
        <w:pStyle w:val="3GPPAgreements"/>
      </w:pPr>
      <w:bookmarkStart w:id="75"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5"/>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77777777" w:rsidR="008C14F7" w:rsidRPr="0042477E" w:rsidRDefault="008C14F7" w:rsidP="003779BA">
            <w:pPr>
              <w:snapToGrid/>
              <w:spacing w:after="0"/>
              <w:rPr>
                <w:rFonts w:eastAsiaTheme="minorEastAsia"/>
                <w:sz w:val="20"/>
                <w:lang w:val="en-GB" w:eastAsia="zh-CN"/>
              </w:rPr>
            </w:pPr>
          </w:p>
        </w:tc>
        <w:tc>
          <w:tcPr>
            <w:tcW w:w="7801" w:type="dxa"/>
          </w:tcPr>
          <w:p w14:paraId="2A9DCE45" w14:textId="77777777" w:rsidR="008C14F7" w:rsidRPr="0042477E" w:rsidRDefault="008C14F7" w:rsidP="003779BA">
            <w:pPr>
              <w:snapToGrid/>
              <w:spacing w:after="0"/>
              <w:rPr>
                <w:rFonts w:eastAsia="Malgun Gothic"/>
                <w:sz w:val="20"/>
                <w:lang w:val="en-GB" w:eastAsia="ko-KR"/>
              </w:rPr>
            </w:pPr>
          </w:p>
        </w:tc>
      </w:tr>
      <w:tr w:rsidR="008C14F7" w:rsidRPr="005154E2" w14:paraId="3A898E32" w14:textId="77777777" w:rsidTr="003779BA">
        <w:trPr>
          <w:trHeight w:val="253"/>
          <w:jc w:val="center"/>
        </w:trPr>
        <w:tc>
          <w:tcPr>
            <w:tcW w:w="1555" w:type="dxa"/>
          </w:tcPr>
          <w:p w14:paraId="0A90DCCA" w14:textId="77777777" w:rsidR="008C14F7" w:rsidRPr="005154E2" w:rsidRDefault="008C14F7" w:rsidP="003779BA">
            <w:pPr>
              <w:spacing w:after="0"/>
              <w:rPr>
                <w:rFonts w:eastAsiaTheme="minorEastAsia" w:cstheme="minorHAnsi"/>
                <w:sz w:val="16"/>
                <w:szCs w:val="16"/>
                <w:lang w:eastAsia="zh-CN"/>
              </w:rPr>
            </w:pPr>
          </w:p>
        </w:tc>
        <w:tc>
          <w:tcPr>
            <w:tcW w:w="7801" w:type="dxa"/>
          </w:tcPr>
          <w:p w14:paraId="7272D606" w14:textId="77777777" w:rsidR="008C14F7" w:rsidRPr="005154E2" w:rsidRDefault="008C14F7" w:rsidP="003779BA">
            <w:pPr>
              <w:spacing w:after="0"/>
              <w:rPr>
                <w:rFonts w:eastAsiaTheme="minorEastAsia"/>
                <w:sz w:val="16"/>
                <w:szCs w:val="16"/>
                <w:lang w:eastAsia="zh-CN"/>
              </w:rPr>
            </w:pPr>
          </w:p>
        </w:tc>
      </w:tr>
    </w:tbl>
    <w:p w14:paraId="4A20DF9E" w14:textId="77777777"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76" w:name="_Ref124589665"/>
      <w:bookmarkStart w:id="77" w:name="_Ref71620620"/>
      <w:bookmarkStart w:id="78" w:name="_Ref124671424"/>
      <w:r w:rsidRPr="005154E2">
        <w:t>References</w:t>
      </w:r>
    </w:p>
    <w:bookmarkEnd w:id="2"/>
    <w:bookmarkEnd w:id="76"/>
    <w:bookmarkEnd w:id="77"/>
    <w:bookmarkEnd w:id="78"/>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D96D3B"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D96D3B"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D96D3B"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D96D3B"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D96D3B"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D96D3B"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D96D3B"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D96D3B"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D96D3B"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D96D3B"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D96D3B"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D96D3B"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D96D3B"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D96D3B"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D96D3B"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D96D3B"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D96D3B"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D96D3B"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D96D3B"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D96D3B"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D96D3B"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lastRenderedPageBreak/>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0C11" w14:textId="77777777" w:rsidR="00D96D3B" w:rsidRDefault="00D96D3B">
      <w:r>
        <w:separator/>
      </w:r>
    </w:p>
  </w:endnote>
  <w:endnote w:type="continuationSeparator" w:id="0">
    <w:p w14:paraId="63219E8B" w14:textId="77777777" w:rsidR="00D96D3B" w:rsidRDefault="00D96D3B">
      <w:r>
        <w:continuationSeparator/>
      </w:r>
    </w:p>
  </w:endnote>
  <w:endnote w:type="continuationNotice" w:id="1">
    <w:p w14:paraId="03230BA7" w14:textId="77777777" w:rsidR="00D96D3B" w:rsidRDefault="00D96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B486" w14:textId="77777777" w:rsidR="00D96D3B" w:rsidRDefault="00D96D3B">
      <w:r>
        <w:separator/>
      </w:r>
    </w:p>
  </w:footnote>
  <w:footnote w:type="continuationSeparator" w:id="0">
    <w:p w14:paraId="3EA7CF6C" w14:textId="77777777" w:rsidR="00D96D3B" w:rsidRDefault="00D96D3B">
      <w:r>
        <w:continuationSeparator/>
      </w:r>
    </w:p>
  </w:footnote>
  <w:footnote w:type="continuationNotice" w:id="1">
    <w:p w14:paraId="47A697AE" w14:textId="77777777" w:rsidR="00D96D3B" w:rsidRDefault="00D96D3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7"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6"/>
  </w:num>
  <w:num w:numId="2">
    <w:abstractNumId w:val="5"/>
  </w:num>
  <w:num w:numId="3">
    <w:abstractNumId w:val="10"/>
  </w:num>
  <w:num w:numId="4">
    <w:abstractNumId w:val="13"/>
  </w:num>
  <w:num w:numId="5">
    <w:abstractNumId w:val="8"/>
  </w:num>
  <w:num w:numId="6">
    <w:abstractNumId w:val="15"/>
  </w:num>
  <w:num w:numId="7">
    <w:abstractNumId w:val="7"/>
    <w:lvlOverride w:ilvl="0">
      <w:startOverride w:val="1"/>
    </w:lvlOverride>
  </w:num>
  <w:num w:numId="8">
    <w:abstractNumId w:val="12"/>
  </w:num>
  <w:num w:numId="9">
    <w:abstractNumId w:val="11"/>
  </w:num>
  <w:num w:numId="10">
    <w:abstractNumId w:val="16"/>
  </w:num>
  <w:num w:numId="11">
    <w:abstractNumId w:val="2"/>
  </w:num>
  <w:num w:numId="12">
    <w:abstractNumId w:val="3"/>
  </w:num>
  <w:num w:numId="13">
    <w:abstractNumId w:val="4"/>
  </w:num>
  <w:num w:numId="14">
    <w:abstractNumId w:val="8"/>
  </w:num>
  <w:num w:numId="15">
    <w:abstractNumId w:val="0"/>
  </w:num>
  <w:num w:numId="16">
    <w:abstractNumId w:val="9"/>
  </w:num>
  <w:num w:numId="17">
    <w:abstractNumId w:val="14"/>
  </w:num>
  <w:num w:numId="18">
    <w:abstractNumId w:val="7"/>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8EA"/>
    <w:rsid w:val="00195E0E"/>
    <w:rsid w:val="001968D7"/>
    <w:rsid w:val="0019695D"/>
    <w:rsid w:val="00197BE6"/>
    <w:rsid w:val="00197D86"/>
    <w:rsid w:val="001A180D"/>
    <w:rsid w:val="001A1BAC"/>
    <w:rsid w:val="001A22B3"/>
    <w:rsid w:val="001A23CE"/>
    <w:rsid w:val="001A2C89"/>
    <w:rsid w:val="001A3253"/>
    <w:rsid w:val="001A3A55"/>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F1F"/>
    <w:rsid w:val="0024663B"/>
    <w:rsid w:val="002468D5"/>
    <w:rsid w:val="002469BE"/>
    <w:rsid w:val="00246A0E"/>
    <w:rsid w:val="00247103"/>
    <w:rsid w:val="00247420"/>
    <w:rsid w:val="00250067"/>
    <w:rsid w:val="002504FA"/>
    <w:rsid w:val="00250F22"/>
    <w:rsid w:val="002516DE"/>
    <w:rsid w:val="00251F2E"/>
    <w:rsid w:val="00251F81"/>
    <w:rsid w:val="0025266D"/>
    <w:rsid w:val="002529DB"/>
    <w:rsid w:val="00252BE0"/>
    <w:rsid w:val="002532E5"/>
    <w:rsid w:val="00253588"/>
    <w:rsid w:val="002546F4"/>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C65"/>
    <w:rsid w:val="002E3DD9"/>
    <w:rsid w:val="002E3E04"/>
    <w:rsid w:val="002E3F5B"/>
    <w:rsid w:val="002E4362"/>
    <w:rsid w:val="002E48E7"/>
    <w:rsid w:val="002E4C77"/>
    <w:rsid w:val="002E56AC"/>
    <w:rsid w:val="002E5834"/>
    <w:rsid w:val="002E63D9"/>
    <w:rsid w:val="002E640E"/>
    <w:rsid w:val="002E6769"/>
    <w:rsid w:val="002E71EF"/>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3407"/>
    <w:rsid w:val="00404534"/>
    <w:rsid w:val="00404662"/>
    <w:rsid w:val="004047C3"/>
    <w:rsid w:val="004047C4"/>
    <w:rsid w:val="0040570B"/>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255"/>
    <w:rsid w:val="004372FC"/>
    <w:rsid w:val="00441479"/>
    <w:rsid w:val="004418FA"/>
    <w:rsid w:val="00441DB3"/>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D4C"/>
    <w:rsid w:val="004D7E91"/>
    <w:rsid w:val="004E003A"/>
    <w:rsid w:val="004E0768"/>
    <w:rsid w:val="004E0B41"/>
    <w:rsid w:val="004E0C70"/>
    <w:rsid w:val="004E1A31"/>
    <w:rsid w:val="004E267C"/>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F30"/>
    <w:rsid w:val="0077175C"/>
    <w:rsid w:val="00771870"/>
    <w:rsid w:val="00771A49"/>
    <w:rsid w:val="00771BF9"/>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6FE"/>
    <w:rsid w:val="007D6F34"/>
    <w:rsid w:val="007D7175"/>
    <w:rsid w:val="007D71AE"/>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6833"/>
    <w:rsid w:val="00856840"/>
    <w:rsid w:val="00857260"/>
    <w:rsid w:val="008576B9"/>
    <w:rsid w:val="00857B68"/>
    <w:rsid w:val="0086087C"/>
    <w:rsid w:val="00860D8C"/>
    <w:rsid w:val="00860D8E"/>
    <w:rsid w:val="00861C52"/>
    <w:rsid w:val="0086226F"/>
    <w:rsid w:val="00862382"/>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94B"/>
    <w:rsid w:val="00924FF8"/>
    <w:rsid w:val="00925BA8"/>
    <w:rsid w:val="0092668B"/>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3102"/>
    <w:rsid w:val="00D033F1"/>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DE4AA2D6-31EC-4A58-A619-BAE93F9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2.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4.xml><?xml version="1.0" encoding="utf-8"?>
<ds:datastoreItem xmlns:ds="http://schemas.openxmlformats.org/officeDocument/2006/customXml" ds:itemID="{3E69ABEE-CBE9-4776-A9F7-8A82E66B3A9F}">
  <ds:schemaRefs>
    <ds:schemaRef ds:uri="Microsoft.SharePoint.Taxonomy.ContentTypeSync"/>
  </ds:schemaRefs>
</ds:datastoreItem>
</file>

<file path=customXml/itemProps5.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6B53F2-A0C6-45CA-8702-BFC9B37D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12413</Words>
  <Characters>70756</Characters>
  <Application>Microsoft Office Word</Application>
  <DocSecurity>0</DocSecurity>
  <Lines>589</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83003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Xiajinhuan</cp:lastModifiedBy>
  <cp:revision>6</cp:revision>
  <cp:lastPrinted>2007-06-18T22:08:00Z</cp:lastPrinted>
  <dcterms:created xsi:type="dcterms:W3CDTF">2021-01-26T02:49:00Z</dcterms:created>
  <dcterms:modified xsi:type="dcterms:W3CDTF">2021-01-26T02:55:00Z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