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D5EB437"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96BBF">
        <w:rPr>
          <w:rFonts w:eastAsia="宋体"/>
          <w:sz w:val="22"/>
          <w:szCs w:val="22"/>
          <w:lang w:eastAsia="zh-CN"/>
        </w:rPr>
        <w:t>2079</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微软雅黑"/>
          <w:b/>
          <w:sz w:val="20"/>
          <w:szCs w:val="20"/>
        </w:rPr>
      </w:pPr>
      <w:r w:rsidRPr="008D60C6">
        <w:rPr>
          <w:rFonts w:eastAsia="微软雅黑" w:hint="eastAsia"/>
          <w:b/>
          <w:sz w:val="20"/>
          <w:szCs w:val="20"/>
        </w:rPr>
        <w:t>T</w:t>
      </w:r>
      <w:r w:rsidRPr="008D60C6">
        <w:rPr>
          <w:rFonts w:eastAsia="微软雅黑"/>
          <w:b/>
          <w:sz w:val="20"/>
          <w:szCs w:val="20"/>
        </w:rPr>
        <w:t xml:space="preserve">able </w:t>
      </w:r>
      <w:r w:rsidR="004D60AE">
        <w:rPr>
          <w:rFonts w:eastAsia="微软雅黑"/>
          <w:b/>
          <w:sz w:val="20"/>
          <w:szCs w:val="20"/>
        </w:rPr>
        <w:t>2-</w:t>
      </w:r>
      <w:r w:rsidRPr="008D60C6">
        <w:rPr>
          <w:rFonts w:eastAsia="微软雅黑"/>
          <w:b/>
          <w:sz w:val="20"/>
          <w:szCs w:val="20"/>
        </w:rPr>
        <w:t>1</w:t>
      </w:r>
    </w:p>
    <w:tbl>
      <w:tblPr>
        <w:tblStyle w:val="af"/>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w:t>
            </w:r>
          </w:p>
        </w:tc>
        <w:tc>
          <w:tcPr>
            <w:tcW w:w="0" w:type="auto"/>
          </w:tcPr>
          <w:p w14:paraId="0717D729" w14:textId="38B64555" w:rsidR="00A170C5" w:rsidRDefault="00A170C5" w:rsidP="005A6125">
            <w:pPr>
              <w:widowControl w:val="0"/>
              <w:snapToGrid w:val="0"/>
              <w:spacing w:before="120" w:after="120" w:line="240" w:lineRule="auto"/>
              <w:rPr>
                <w:rFonts w:eastAsia="微软雅黑"/>
                <w:sz w:val="20"/>
                <w:szCs w:val="20"/>
              </w:rPr>
            </w:pPr>
            <w:r w:rsidRPr="00F471AC">
              <w:rPr>
                <w:rFonts w:eastAsia="微软雅黑"/>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5A6125">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w:t>
            </w:r>
          </w:p>
        </w:tc>
        <w:tc>
          <w:tcPr>
            <w:tcW w:w="0" w:type="auto"/>
          </w:tcPr>
          <w:p w14:paraId="532581C9" w14:textId="37F9BECE" w:rsidR="00A170C5" w:rsidRDefault="00A170C5" w:rsidP="005A6125">
            <w:pPr>
              <w:widowControl w:val="0"/>
              <w:snapToGrid w:val="0"/>
              <w:spacing w:before="120" w:after="120" w:line="240" w:lineRule="auto"/>
              <w:rPr>
                <w:rFonts w:eastAsia="微软雅黑"/>
                <w:sz w:val="20"/>
                <w:szCs w:val="20"/>
              </w:rPr>
            </w:pPr>
            <w:r w:rsidRPr="008C6D01">
              <w:rPr>
                <w:rFonts w:eastAsia="微软雅黑"/>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微软雅黑"/>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C3EC1B3" w14:textId="77777777" w:rsidR="00C4607E" w:rsidRDefault="00C4607E" w:rsidP="0046520D">
      <w:pPr>
        <w:widowControl w:val="0"/>
        <w:snapToGrid w:val="0"/>
        <w:spacing w:before="120" w:after="120" w:line="240" w:lineRule="auto"/>
        <w:jc w:val="both"/>
        <w:rPr>
          <w:rFonts w:eastAsia="微软雅黑"/>
          <w:sz w:val="20"/>
          <w:szCs w:val="20"/>
        </w:rPr>
      </w:pPr>
    </w:p>
    <w:p w14:paraId="4F9EEB35" w14:textId="798A5E45" w:rsidR="0046520D" w:rsidRPr="00F15980" w:rsidRDefault="0046520D" w:rsidP="0046520D">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NEC, CMCC, Xiaomi, Qualcomm, Ericsson, Sharp, InterDigital, CATT, vivo, MediaTek, Intel, </w:t>
      </w:r>
      <w:r w:rsidRPr="00F15980">
        <w:rPr>
          <w:rFonts w:eastAsia="微软雅黑" w:hint="eastAsia"/>
          <w:sz w:val="20"/>
          <w:szCs w:val="20"/>
        </w:rPr>
        <w:t>L</w:t>
      </w:r>
      <w:r w:rsidRPr="00F15980">
        <w:rPr>
          <w:rFonts w:eastAsia="微软雅黑"/>
          <w:sz w:val="20"/>
          <w:szCs w:val="20"/>
        </w:rPr>
        <w:t>enovo, MotM</w:t>
      </w:r>
      <w:r>
        <w:rPr>
          <w:rFonts w:eastAsia="微软雅黑" w:hint="eastAsia"/>
          <w:sz w:val="20"/>
          <w:szCs w:val="20"/>
        </w:rPr>
        <w:t>,</w:t>
      </w:r>
      <w:r>
        <w:rPr>
          <w:rFonts w:eastAsia="微软雅黑"/>
          <w:sz w:val="20"/>
          <w:szCs w:val="20"/>
        </w:rPr>
        <w:t xml:space="preserve"> Samsung</w:t>
      </w:r>
      <w:r w:rsidR="009F1072">
        <w:rPr>
          <w:rFonts w:eastAsia="微软雅黑"/>
          <w:sz w:val="20"/>
          <w:szCs w:val="20"/>
        </w:rPr>
        <w:t>, Apple</w:t>
      </w:r>
    </w:p>
    <w:p w14:paraId="1EB237F5" w14:textId="03078A4B" w:rsidR="0046520D" w:rsidRPr="00F15980" w:rsidRDefault="0046520D" w:rsidP="0046520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Pr="00F15980">
        <w:rPr>
          <w:rFonts w:eastAsia="微软雅黑"/>
          <w:sz w:val="20"/>
          <w:szCs w:val="20"/>
        </w:rPr>
        <w:t xml:space="preserve"> LG, OPPO, Huawei, HiSilicon, Spreadtrum</w:t>
      </w:r>
      <w:r w:rsidR="00DE79AF">
        <w:rPr>
          <w:rFonts w:eastAsia="微软雅黑"/>
          <w:sz w:val="20"/>
          <w:szCs w:val="20"/>
        </w:rPr>
        <w:t>.</w:t>
      </w:r>
      <w:r w:rsidRPr="00F15980">
        <w:rPr>
          <w:rFonts w:eastAsia="微软雅黑"/>
          <w:sz w:val="20"/>
          <w:szCs w:val="20"/>
        </w:rPr>
        <w:t xml:space="preserve"> (</w:t>
      </w:r>
      <w:r w:rsidR="00A1573C">
        <w:rPr>
          <w:rFonts w:eastAsia="微软雅黑"/>
          <w:sz w:val="20"/>
          <w:szCs w:val="20"/>
        </w:rPr>
        <w:t>S</w:t>
      </w:r>
      <w:r w:rsidRPr="00F15980">
        <w:rPr>
          <w:rFonts w:eastAsia="微软雅黑"/>
          <w:sz w:val="20"/>
          <w:szCs w:val="20"/>
        </w:rPr>
        <w:t>upport Opt</w:t>
      </w:r>
      <w:r w:rsidR="00A1573C">
        <w:rPr>
          <w:rFonts w:eastAsia="微软雅黑"/>
          <w:sz w:val="20"/>
          <w:szCs w:val="20"/>
        </w:rPr>
        <w:t>.</w:t>
      </w:r>
      <w:r w:rsidRPr="00F15980">
        <w:rPr>
          <w:rFonts w:eastAsia="微软雅黑"/>
          <w:sz w:val="20"/>
          <w:szCs w:val="20"/>
        </w:rPr>
        <w:t xml:space="preserve"> 1</w:t>
      </w:r>
      <w:r w:rsidR="00A1573C">
        <w:rPr>
          <w:rFonts w:eastAsia="微软雅黑"/>
          <w:sz w:val="20"/>
          <w:szCs w:val="20"/>
        </w:rPr>
        <w:t xml:space="preserve"> instead</w:t>
      </w:r>
      <w:r w:rsidRPr="00F15980">
        <w:rPr>
          <w:rFonts w:eastAsia="微软雅黑"/>
          <w:sz w:val="20"/>
          <w:szCs w:val="20"/>
        </w:rPr>
        <w:t>)</w:t>
      </w:r>
    </w:p>
    <w:p w14:paraId="0891776B" w14:textId="77777777" w:rsidR="0046520D" w:rsidRDefault="0046520D">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6121" w14:paraId="16ABEE55" w14:textId="77777777" w:rsidTr="005A6125">
        <w:tc>
          <w:tcPr>
            <w:tcW w:w="2405" w:type="dxa"/>
            <w:shd w:val="clear" w:color="auto" w:fill="E2EFD9" w:themeFill="accent6" w:themeFillTint="33"/>
          </w:tcPr>
          <w:p w14:paraId="5BEA6C13" w14:textId="77777777" w:rsidR="00676121" w:rsidRDefault="00676121"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B40F961" w14:textId="77777777" w:rsidR="00676121" w:rsidRDefault="00676121"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6121" w14:paraId="645D2036" w14:textId="77777777" w:rsidTr="005A6125">
        <w:tc>
          <w:tcPr>
            <w:tcW w:w="2405" w:type="dxa"/>
          </w:tcPr>
          <w:p w14:paraId="5CE30287" w14:textId="06E71CBB" w:rsidR="00676121" w:rsidRDefault="00AD41DE"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A414" w14:textId="77777777" w:rsidR="00676121" w:rsidRDefault="00AD41DE" w:rsidP="005A6125">
            <w:pPr>
              <w:widowControl w:val="0"/>
              <w:snapToGrid w:val="0"/>
              <w:spacing w:before="120" w:after="120" w:line="240" w:lineRule="auto"/>
              <w:rPr>
                <w:rFonts w:eastAsia="微软雅黑"/>
                <w:sz w:val="20"/>
                <w:szCs w:val="20"/>
              </w:rPr>
            </w:pPr>
            <w:r>
              <w:rPr>
                <w:rFonts w:eastAsia="微软雅黑"/>
                <w:sz w:val="20"/>
                <w:szCs w:val="20"/>
              </w:rPr>
              <w:t>Not support.</w:t>
            </w:r>
          </w:p>
          <w:p w14:paraId="2E9A1213" w14:textId="77777777" w:rsidR="00AD41DE" w:rsidRDefault="00AD41DE" w:rsidP="005A6125">
            <w:pPr>
              <w:widowControl w:val="0"/>
              <w:snapToGrid w:val="0"/>
              <w:spacing w:before="120" w:after="120" w:line="240" w:lineRule="auto"/>
              <w:rPr>
                <w:rFonts w:eastAsia="微软雅黑"/>
                <w:sz w:val="20"/>
                <w:szCs w:val="20"/>
              </w:rPr>
            </w:pPr>
            <w:r>
              <w:rPr>
                <w:rFonts w:eastAsia="微软雅黑"/>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微软雅黑"/>
                <w:iCs/>
                <w:szCs w:val="20"/>
              </w:rPr>
            </w:pPr>
            <w:r>
              <w:rPr>
                <w:rFonts w:eastAsia="微软雅黑"/>
                <w:sz w:val="20"/>
                <w:szCs w:val="20"/>
              </w:rPr>
              <w:t>According the agreement of GTW session, a</w:t>
            </w:r>
            <w:r w:rsidRPr="00E62D8D">
              <w:rPr>
                <w:rFonts w:eastAsia="微软雅黑"/>
                <w:sz w:val="20"/>
                <w:szCs w:val="20"/>
              </w:rPr>
              <w:t xml:space="preserve"> list of t values is configured in RRC for each SRS resource set. Let assume that for option 2, Rel-15 RRC configured offset set is T0, and the a list of t values is {t0, t1, .. }. If a list of t values  { N0+t0, N0+t1, …} is configured for option 1,  then option 1 will achieve the same purpose of option 2.</w:t>
            </w:r>
            <w:r w:rsidR="00E62D8D" w:rsidRPr="00E62D8D">
              <w:rPr>
                <w:rFonts w:eastAsia="微软雅黑"/>
                <w:sz w:val="20"/>
                <w:szCs w:val="20"/>
              </w:rPr>
              <w:t xml:space="preserve"> In summary, we don’t see</w:t>
            </w:r>
            <w:r w:rsidR="00E62D8D">
              <w:rPr>
                <w:rFonts w:eastAsia="微软雅黑"/>
                <w:sz w:val="20"/>
                <w:szCs w:val="20"/>
              </w:rPr>
              <w:t xml:space="preserve"> any additional flexibility of option 2</w:t>
            </w:r>
            <w:r w:rsidR="00E62D8D">
              <w:rPr>
                <w:rFonts w:eastAsia="微软雅黑"/>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微软雅黑"/>
                <w:sz w:val="20"/>
                <w:szCs w:val="20"/>
              </w:rPr>
            </w:pPr>
            <w:r>
              <w:rPr>
                <w:rFonts w:eastAsia="微软雅黑"/>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5A6125">
        <w:tc>
          <w:tcPr>
            <w:tcW w:w="2405" w:type="dxa"/>
          </w:tcPr>
          <w:p w14:paraId="63A99F9E" w14:textId="0CEE30A6"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w:t>
            </w:r>
            <w:r>
              <w:rPr>
                <w:rFonts w:eastAsia="微软雅黑" w:hint="eastAsia"/>
                <w:sz w:val="20"/>
                <w:szCs w:val="20"/>
              </w:rPr>
              <w:t>,</w:t>
            </w:r>
            <w:r>
              <w:rPr>
                <w:rFonts w:eastAsia="微软雅黑"/>
                <w:sz w:val="20"/>
                <w:szCs w:val="20"/>
              </w:rPr>
              <w:t xml:space="preserve"> HiSilicon</w:t>
            </w:r>
          </w:p>
        </w:tc>
        <w:tc>
          <w:tcPr>
            <w:tcW w:w="6945" w:type="dxa"/>
          </w:tcPr>
          <w:p w14:paraId="28CCFD1D" w14:textId="77777777" w:rsidR="0001098C" w:rsidRPr="00ED0A58" w:rsidRDefault="0001098C" w:rsidP="0001098C">
            <w:pPr>
              <w:widowControl w:val="0"/>
              <w:snapToGrid w:val="0"/>
              <w:spacing w:before="120" w:after="120" w:line="240" w:lineRule="auto"/>
              <w:rPr>
                <w:rFonts w:eastAsia="微软雅黑"/>
                <w:b/>
                <w:sz w:val="20"/>
                <w:szCs w:val="20"/>
              </w:rPr>
            </w:pPr>
            <w:r w:rsidRPr="00ED0A58">
              <w:rPr>
                <w:rFonts w:eastAsia="微软雅黑"/>
                <w:b/>
                <w:sz w:val="20"/>
                <w:szCs w:val="20"/>
              </w:rPr>
              <w:t>Support Option-1.</w:t>
            </w:r>
          </w:p>
          <w:p w14:paraId="5B170CD6" w14:textId="2BDF8FE8"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single SRS set case</w:t>
            </w:r>
            <w:r>
              <w:rPr>
                <w:rFonts w:eastAsia="微软雅黑"/>
                <w:sz w:val="20"/>
                <w:szCs w:val="20"/>
              </w:rPr>
              <w:t xml:space="preserve">: If the </w:t>
            </w:r>
            <w:r w:rsidRPr="003F0CD8">
              <w:rPr>
                <w:rFonts w:eastAsia="微软雅黑"/>
                <w:i/>
                <w:sz w:val="20"/>
                <w:szCs w:val="20"/>
              </w:rPr>
              <w:t>slotoffset</w:t>
            </w:r>
            <w:r>
              <w:rPr>
                <w:rFonts w:eastAsia="微软雅黑"/>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Example-1:</w:t>
            </w:r>
          </w:p>
          <w:p w14:paraId="3B4EFD24" w14:textId="77777777" w:rsidR="0001098C" w:rsidRDefault="0001098C" w:rsidP="0001098C">
            <w:pPr>
              <w:widowControl w:val="0"/>
              <w:snapToGrid w:val="0"/>
              <w:spacing w:before="120" w:after="120" w:line="240" w:lineRule="auto"/>
              <w:rPr>
                <w:rFonts w:eastAsia="微软雅黑"/>
                <w:sz w:val="20"/>
                <w:szCs w:val="20"/>
              </w:rPr>
            </w:pPr>
          </w:p>
          <w:p w14:paraId="6052127C" w14:textId="77777777" w:rsidR="0001098C" w:rsidRDefault="0001098C" w:rsidP="0001098C">
            <w:pPr>
              <w:widowControl w:val="0"/>
              <w:snapToGrid w:val="0"/>
              <w:spacing w:before="120" w:after="120" w:line="240" w:lineRule="auto"/>
              <w:rPr>
                <w:rFonts w:eastAsia="微软雅黑"/>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Multi SRS sets case</w:t>
            </w:r>
            <w:r>
              <w:rPr>
                <w:rFonts w:eastAsia="微软雅黑"/>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Example-2:</w:t>
            </w:r>
          </w:p>
          <w:p w14:paraId="22670133"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slotoffset=1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微软雅黑"/>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 Example-3:</w:t>
            </w:r>
          </w:p>
          <w:p w14:paraId="714E6D09"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 xml:space="preserve">slotoffset=1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微软雅黑"/>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微软雅黑"/>
                <w:sz w:val="20"/>
                <w:szCs w:val="20"/>
                <w:lang w:eastAsia="ko-KR"/>
              </w:rPr>
            </w:pPr>
            <w:r>
              <w:rPr>
                <w:rFonts w:eastAsia="微软雅黑"/>
                <w:sz w:val="20"/>
                <w:szCs w:val="20"/>
              </w:rPr>
              <w:t>Obviously, Option-1 is no above issue. So, Option-1 should be supported.</w:t>
            </w:r>
          </w:p>
        </w:tc>
      </w:tr>
      <w:tr w:rsidR="00676121" w14:paraId="0ABEA34B" w14:textId="77777777" w:rsidTr="005A6125">
        <w:tc>
          <w:tcPr>
            <w:tcW w:w="2405" w:type="dxa"/>
          </w:tcPr>
          <w:p w14:paraId="10E6B15C" w14:textId="3B3B823B"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6945" w:type="dxa"/>
          </w:tcPr>
          <w:p w14:paraId="7D2EE2C5" w14:textId="2F149546"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9139FDB" w14:textId="5E008EFD"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r w:rsidRPr="004472F7">
              <w:rPr>
                <w:rFonts w:eastAsiaTheme="minorEastAsia"/>
                <w:i/>
                <w:iCs/>
                <w:sz w:val="20"/>
                <w:szCs w:val="20"/>
              </w:rPr>
              <w:t>slotoffset</w:t>
            </w:r>
            <w:r w:rsidRPr="004472F7">
              <w:rPr>
                <w:rFonts w:eastAsiaTheme="minorEastAsia"/>
                <w:sz w:val="20"/>
                <w:szCs w:val="20"/>
              </w:rPr>
              <w:t xml:space="preserve"> in configured to 0. </w:t>
            </w:r>
          </w:p>
          <w:p w14:paraId="0CA435FA" w14:textId="77777777" w:rsidR="000B47D2"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r w:rsidRPr="00383460">
              <w:rPr>
                <w:rFonts w:eastAsiaTheme="minorEastAsia"/>
                <w:i/>
                <w:iCs/>
                <w:sz w:val="20"/>
                <w:szCs w:val="20"/>
              </w:rPr>
              <w:t>slotoffset</w:t>
            </w:r>
            <w:r>
              <w:rPr>
                <w:rFonts w:eastAsiaTheme="minorEastAsia"/>
                <w:sz w:val="20"/>
                <w:szCs w:val="20"/>
              </w:rPr>
              <w:t xml:space="preserve"> is always configured and known to the UE; thus no determination step is required. </w:t>
            </w:r>
          </w:p>
          <w:p w14:paraId="212ED933" w14:textId="77777777" w:rsidR="000B47D2"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r w:rsidRPr="004472F7">
              <w:rPr>
                <w:rFonts w:eastAsiaTheme="minorEastAsia"/>
                <w:i/>
                <w:iCs/>
                <w:sz w:val="20"/>
                <w:szCs w:val="20"/>
              </w:rPr>
              <w:t>slotoffset</w:t>
            </w:r>
            <w:r>
              <w:rPr>
                <w:rFonts w:eastAsiaTheme="minorEastAsia"/>
                <w:sz w:val="20"/>
                <w:szCs w:val="20"/>
              </w:rPr>
              <w:t xml:space="preserve"> parameter may be needed which requires much less overhead for RRC signaling.</w:t>
            </w:r>
          </w:p>
          <w:p w14:paraId="1D4F2FB4" w14:textId="77777777" w:rsidR="000B47D2" w:rsidRPr="00551942" w:rsidRDefault="000B47D2" w:rsidP="005A6125">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r w:rsidR="00C66659" w:rsidRPr="00551942" w14:paraId="23C3A1A4" w14:textId="77777777" w:rsidTr="000B47D2">
        <w:tc>
          <w:tcPr>
            <w:tcW w:w="2405" w:type="dxa"/>
          </w:tcPr>
          <w:p w14:paraId="3A1C1D23" w14:textId="10702186"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8C2CED2" w14:textId="77777777"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24853086" w14:textId="3245692C" w:rsidR="00C66659" w:rsidRDefault="00F57EBA" w:rsidP="00C66659">
            <w:pPr>
              <w:widowControl w:val="0"/>
              <w:snapToGrid w:val="0"/>
              <w:spacing w:before="120" w:after="120" w:line="240" w:lineRule="auto"/>
              <w:rPr>
                <w:rFonts w:eastAsiaTheme="minorEastAsia"/>
                <w:sz w:val="20"/>
                <w:szCs w:val="20"/>
              </w:rPr>
            </w:pPr>
            <w:r>
              <w:rPr>
                <w:rFonts w:eastAsiaTheme="minorEastAsia"/>
                <w:sz w:val="20"/>
                <w:szCs w:val="20"/>
              </w:rPr>
              <w:lastRenderedPageBreak/>
              <w:t>Reply</w:t>
            </w:r>
            <w:r w:rsidR="00C66659">
              <w:rPr>
                <w:rFonts w:eastAsiaTheme="minorEastAsia"/>
                <w:sz w:val="20"/>
                <w:szCs w:val="20"/>
              </w:rPr>
              <w:t xml:space="preserve"> to OPPO on UE complexity.</w:t>
            </w:r>
          </w:p>
          <w:p w14:paraId="24A33D2D" w14:textId="522BB979" w:rsidR="00C66659" w:rsidRPr="00002AC7" w:rsidRDefault="00C66659" w:rsidP="00C66659">
            <w:pPr>
              <w:pStyle w:val="aff"/>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Rel-17 UE </w:t>
            </w:r>
            <w:r w:rsidRPr="0029629A">
              <w:rPr>
                <w:rFonts w:eastAsiaTheme="minorEastAsia"/>
                <w:sz w:val="20"/>
                <w:szCs w:val="20"/>
                <w:u w:val="single"/>
              </w:rPr>
              <w:t>must support legacy SRS triggering</w:t>
            </w:r>
            <w:r>
              <w:rPr>
                <w:rFonts w:eastAsiaTheme="minorEastAsia"/>
                <w:sz w:val="20"/>
                <w:szCs w:val="20"/>
              </w:rPr>
              <w:t xml:space="preserve"> based on slot offset </w:t>
            </w:r>
            <w:r w:rsidR="00F57EBA">
              <w:rPr>
                <w:rFonts w:eastAsiaTheme="minorEastAsia"/>
                <w:sz w:val="20"/>
                <w:szCs w:val="20"/>
              </w:rPr>
              <w:t>and</w:t>
            </w:r>
            <w:r>
              <w:rPr>
                <w:rFonts w:eastAsiaTheme="minorEastAsia"/>
                <w:sz w:val="20"/>
                <w:szCs w:val="20"/>
              </w:rPr>
              <w:t xml:space="preserve"> is currently supported by UE implementation. What we are discussing in Rel-17 is additional</w:t>
            </w:r>
            <w:r w:rsidR="00F57EBA">
              <w:rPr>
                <w:rFonts w:eastAsiaTheme="minorEastAsia"/>
                <w:sz w:val="20"/>
                <w:szCs w:val="20"/>
              </w:rPr>
              <w:t>/</w:t>
            </w:r>
            <w:r>
              <w:rPr>
                <w:rFonts w:eastAsiaTheme="minorEastAsia"/>
                <w:sz w:val="20"/>
                <w:szCs w:val="20"/>
              </w:rPr>
              <w:t xml:space="preserve">optional feature for enhancement of SRS triggering. So, for fair comparison, your analysis should consider the complexity for supporting legacy triggering scheme for both options.  Option 1 and legacy are two different mechanics and don’t have </w:t>
            </w:r>
            <w:r w:rsidR="008A4017">
              <w:rPr>
                <w:rFonts w:eastAsiaTheme="minorEastAsia"/>
                <w:sz w:val="20"/>
                <w:szCs w:val="20"/>
              </w:rPr>
              <w:t>much</w:t>
            </w:r>
            <w:r>
              <w:rPr>
                <w:rFonts w:eastAsiaTheme="minorEastAsia"/>
                <w:sz w:val="20"/>
                <w:szCs w:val="20"/>
              </w:rPr>
              <w:t xml:space="preserve"> in common. While </w:t>
            </w:r>
            <w:r w:rsidR="00F57EBA">
              <w:rPr>
                <w:rFonts w:eastAsiaTheme="minorEastAsia"/>
                <w:sz w:val="20"/>
                <w:szCs w:val="20"/>
              </w:rPr>
              <w:t>o</w:t>
            </w:r>
            <w:r>
              <w:rPr>
                <w:rFonts w:eastAsiaTheme="minorEastAsia"/>
                <w:sz w:val="20"/>
                <w:szCs w:val="20"/>
              </w:rPr>
              <w:t xml:space="preserve">ption 2 </w:t>
            </w:r>
            <w:r w:rsidR="00F57EBA">
              <w:rPr>
                <w:rFonts w:eastAsiaTheme="minorEastAsia"/>
                <w:sz w:val="20"/>
                <w:szCs w:val="20"/>
              </w:rPr>
              <w:t xml:space="preserve">is an extension of legacy triggering. In other words, Legacy triggering and option 2 </w:t>
            </w:r>
            <w:r>
              <w:rPr>
                <w:rFonts w:eastAsiaTheme="minorEastAsia"/>
                <w:sz w:val="20"/>
                <w:szCs w:val="20"/>
              </w:rPr>
              <w:t>s</w:t>
            </w:r>
            <w:r w:rsidR="00F57EBA">
              <w:rPr>
                <w:rFonts w:eastAsiaTheme="minorEastAsia"/>
                <w:sz w:val="20"/>
                <w:szCs w:val="20"/>
              </w:rPr>
              <w:t>hare</w:t>
            </w:r>
            <w:r>
              <w:rPr>
                <w:rFonts w:eastAsiaTheme="minorEastAsia"/>
                <w:sz w:val="20"/>
                <w:szCs w:val="20"/>
              </w:rPr>
              <w:t xml:space="preserve"> common processing. </w:t>
            </w:r>
          </w:p>
          <w:p w14:paraId="256EBF8A" w14:textId="3270BA1C" w:rsidR="00C66659" w:rsidRDefault="00C66659" w:rsidP="00C66659">
            <w:pPr>
              <w:pStyle w:val="aff"/>
              <w:widowControl w:val="0"/>
              <w:numPr>
                <w:ilvl w:val="0"/>
                <w:numId w:val="47"/>
              </w:numPr>
              <w:snapToGrid w:val="0"/>
              <w:spacing w:before="120" w:after="120" w:line="240" w:lineRule="auto"/>
              <w:rPr>
                <w:rFonts w:eastAsiaTheme="minorEastAsia"/>
                <w:sz w:val="20"/>
                <w:szCs w:val="20"/>
              </w:rPr>
            </w:pPr>
            <w:r w:rsidRPr="00002AC7">
              <w:rPr>
                <w:rFonts w:eastAsiaTheme="minorEastAsia"/>
                <w:sz w:val="20"/>
                <w:szCs w:val="20"/>
              </w:rPr>
              <w:t xml:space="preserve">Having this in mind, let’s discuss what is the </w:t>
            </w:r>
            <w:r w:rsidRPr="00002AC7">
              <w:rPr>
                <w:rFonts w:eastAsiaTheme="minorEastAsia"/>
                <w:b/>
                <w:bCs/>
                <w:i/>
                <w:iCs/>
                <w:sz w:val="20"/>
                <w:szCs w:val="20"/>
                <w:u w:val="single"/>
              </w:rPr>
              <w:t>extra complexity</w:t>
            </w:r>
            <w:r w:rsidRPr="00002AC7">
              <w:rPr>
                <w:rFonts w:eastAsiaTheme="minorEastAsia"/>
                <w:sz w:val="20"/>
                <w:szCs w:val="20"/>
              </w:rPr>
              <w:t xml:space="preserve"> based on current implementation</w:t>
            </w:r>
            <w:r>
              <w:rPr>
                <w:rFonts w:eastAsiaTheme="minorEastAsia"/>
                <w:sz w:val="20"/>
                <w:szCs w:val="20"/>
              </w:rPr>
              <w:t xml:space="preserve"> (legacy)</w:t>
            </w:r>
            <w:r w:rsidRPr="00002AC7">
              <w:rPr>
                <w:rFonts w:eastAsiaTheme="minorEastAsia"/>
                <w:sz w:val="20"/>
                <w:szCs w:val="20"/>
              </w:rPr>
              <w:t xml:space="preserve"> for both options.  </w:t>
            </w:r>
            <w:r>
              <w:rPr>
                <w:rFonts w:eastAsiaTheme="minorEastAsia"/>
                <w:sz w:val="20"/>
                <w:szCs w:val="20"/>
              </w:rPr>
              <w:t>Decoding the DCI and determining the value of ‘t’ is common for both option</w:t>
            </w:r>
            <w:r w:rsidR="00F57EBA">
              <w:rPr>
                <w:rFonts w:eastAsiaTheme="minorEastAsia"/>
                <w:sz w:val="20"/>
                <w:szCs w:val="20"/>
              </w:rPr>
              <w:t>s</w:t>
            </w:r>
            <w:r>
              <w:rPr>
                <w:rFonts w:eastAsiaTheme="minorEastAsia"/>
                <w:sz w:val="20"/>
                <w:szCs w:val="20"/>
              </w:rPr>
              <w:t xml:space="preserve"> and is trivial operation. The most complex part from UE side is the timeline and bookkeeping/counting. </w:t>
            </w:r>
            <w:r w:rsidRPr="00002AC7">
              <w:rPr>
                <w:rFonts w:eastAsiaTheme="minorEastAsia"/>
                <w:sz w:val="20"/>
                <w:szCs w:val="20"/>
              </w:rPr>
              <w:t xml:space="preserve">Option </w:t>
            </w:r>
            <w:r>
              <w:rPr>
                <w:rFonts w:eastAsiaTheme="minorEastAsia"/>
                <w:sz w:val="20"/>
                <w:szCs w:val="20"/>
              </w:rPr>
              <w:t>2</w:t>
            </w:r>
            <w:r w:rsidRPr="00002AC7">
              <w:rPr>
                <w:rFonts w:eastAsiaTheme="minorEastAsia"/>
                <w:sz w:val="20"/>
                <w:szCs w:val="20"/>
              </w:rPr>
              <w:t xml:space="preserve"> is natural and incremental extension for current implementation</w:t>
            </w:r>
            <w:r>
              <w:rPr>
                <w:rFonts w:eastAsiaTheme="minorEastAsia"/>
                <w:sz w:val="20"/>
                <w:szCs w:val="20"/>
              </w:rPr>
              <w:t xml:space="preserve"> and doesn’t affect UE Timelines</w:t>
            </w:r>
            <w:r w:rsidRPr="00002AC7">
              <w:rPr>
                <w:rFonts w:eastAsiaTheme="minorEastAsia"/>
                <w:sz w:val="20"/>
                <w:szCs w:val="20"/>
              </w:rPr>
              <w:t xml:space="preserve">. The UE will either send SRS at the SlotOffset (legacy mechanism) or at a later slot </w:t>
            </w:r>
            <w:r>
              <w:rPr>
                <w:rFonts w:eastAsiaTheme="minorEastAsia"/>
                <w:sz w:val="20"/>
                <w:szCs w:val="20"/>
              </w:rPr>
              <w:t xml:space="preserve">based on reference SlotOffset </w:t>
            </w:r>
            <w:r w:rsidRPr="00002AC7">
              <w:rPr>
                <w:rFonts w:eastAsiaTheme="minorEastAsia"/>
                <w:sz w:val="20"/>
                <w:szCs w:val="20"/>
              </w:rPr>
              <w:t>(enhanced mechanics)</w:t>
            </w:r>
            <w:r>
              <w:rPr>
                <w:rFonts w:eastAsiaTheme="minorEastAsia"/>
                <w:sz w:val="20"/>
                <w:szCs w:val="20"/>
              </w:rPr>
              <w:t xml:space="preserve">. However, to support option 1, the UE should have two timelines and two </w:t>
            </w:r>
            <w:r w:rsidR="00F57EBA">
              <w:rPr>
                <w:rFonts w:eastAsiaTheme="minorEastAsia"/>
                <w:sz w:val="20"/>
                <w:szCs w:val="20"/>
              </w:rPr>
              <w:t>b</w:t>
            </w:r>
            <w:r>
              <w:rPr>
                <w:rFonts w:eastAsiaTheme="minorEastAsia"/>
                <w:sz w:val="20"/>
                <w:szCs w:val="20"/>
              </w:rPr>
              <w:t>ookkeeping</w:t>
            </w:r>
            <w:r w:rsidR="00F57EBA">
              <w:rPr>
                <w:rFonts w:eastAsiaTheme="minorEastAsia"/>
                <w:sz w:val="20"/>
                <w:szCs w:val="20"/>
              </w:rPr>
              <w:t xml:space="preserve"> </w:t>
            </w:r>
            <w:r w:rsidR="008A4017">
              <w:rPr>
                <w:rFonts w:eastAsiaTheme="minorEastAsia"/>
                <w:sz w:val="20"/>
                <w:szCs w:val="20"/>
              </w:rPr>
              <w:t xml:space="preserve">and </w:t>
            </w:r>
            <w:r>
              <w:rPr>
                <w:rFonts w:eastAsiaTheme="minorEastAsia"/>
                <w:sz w:val="20"/>
                <w:szCs w:val="20"/>
              </w:rPr>
              <w:t>counting</w:t>
            </w:r>
            <w:r w:rsidR="008A4017">
              <w:rPr>
                <w:rFonts w:eastAsiaTheme="minorEastAsia"/>
                <w:sz w:val="20"/>
                <w:szCs w:val="20"/>
              </w:rPr>
              <w:t xml:space="preserve"> </w:t>
            </w:r>
            <w:r w:rsidR="004405E4">
              <w:rPr>
                <w:rFonts w:eastAsiaTheme="minorEastAsia"/>
                <w:sz w:val="20"/>
                <w:szCs w:val="20"/>
              </w:rPr>
              <w:t>mechanism</w:t>
            </w:r>
            <w:r>
              <w:rPr>
                <w:rFonts w:eastAsiaTheme="minorEastAsia"/>
                <w:sz w:val="20"/>
                <w:szCs w:val="20"/>
              </w:rPr>
              <w:t>; one is based on legacy and the other one is based counting towards available slot.</w:t>
            </w:r>
          </w:p>
          <w:p w14:paraId="63969AF5" w14:textId="2EA350C9" w:rsidR="00C66659" w:rsidRPr="00841C88" w:rsidRDefault="00C66659" w:rsidP="00C66659">
            <w:pPr>
              <w:pStyle w:val="aff"/>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So, as a UE vendor, </w:t>
            </w:r>
            <w:r w:rsidR="00841C88">
              <w:rPr>
                <w:rFonts w:eastAsiaTheme="minorEastAsia"/>
                <w:sz w:val="20"/>
                <w:szCs w:val="20"/>
              </w:rPr>
              <w:t>we prefer option 2 from implementation point of view</w:t>
            </w:r>
            <w:r>
              <w:rPr>
                <w:rFonts w:eastAsiaTheme="minorEastAsia"/>
                <w:sz w:val="20"/>
                <w:szCs w:val="20"/>
              </w:rPr>
              <w:t xml:space="preserve">. </w:t>
            </w:r>
          </w:p>
        </w:tc>
      </w:tr>
      <w:tr w:rsidR="002B3463" w14:paraId="0F81D3A8" w14:textId="77777777" w:rsidTr="002B3463">
        <w:tc>
          <w:tcPr>
            <w:tcW w:w="2405" w:type="dxa"/>
          </w:tcPr>
          <w:p w14:paraId="34255EC2" w14:textId="5F8FA055" w:rsidR="002B3463" w:rsidRDefault="002B3463" w:rsidP="005A612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18B10FC6" w14:textId="60C874B5"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Regarding the comment on MU MIMO support, we think Option 1 is more suitable than Option 2. When DL MU MIMO CSI acquisition is done via SRS, the SRSs may resemble the DL DMRSs and be multiplexed in the same way as DL DMRSs. In this case, transmitting SRSs on the same slot or even on the same symbol may not be an issue but could be an advantage from SRS capacity perspective. Note that</w:t>
            </w:r>
            <w:r w:rsidR="002B3463">
              <w:rPr>
                <w:rFonts w:eastAsiaTheme="minorEastAsia"/>
                <w:sz w:val="20"/>
                <w:szCs w:val="20"/>
              </w:rPr>
              <w:t xml:space="preserve"> even if more than one SRS set (for the same UE or different UEs) are indicated on the same slot, it does not mean that it will cause a collision</w:t>
            </w:r>
            <w:r>
              <w:rPr>
                <w:rFonts w:eastAsiaTheme="minorEastAsia"/>
                <w:sz w:val="20"/>
                <w:szCs w:val="20"/>
              </w:rPr>
              <w:t>, as the SRS may be multiplexed</w:t>
            </w:r>
            <w:r w:rsidR="002B3463">
              <w:rPr>
                <w:rFonts w:eastAsiaTheme="minorEastAsia"/>
                <w:sz w:val="20"/>
                <w:szCs w:val="20"/>
              </w:rPr>
              <w:t xml:space="preserve">. </w:t>
            </w:r>
          </w:p>
          <w:p w14:paraId="5BB6D121" w14:textId="79B2834D"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To further compare the options, let’s fix</w:t>
            </w:r>
            <w:r w:rsidR="002B3463">
              <w:rPr>
                <w:rFonts w:eastAsiaTheme="minorEastAsia"/>
                <w:sz w:val="20"/>
                <w:szCs w:val="20"/>
              </w:rPr>
              <w:t xml:space="preserve"> a given configuration of SRS resource set with a given slotoffset and a given DCI field bitwidth</w:t>
            </w:r>
            <w:r>
              <w:rPr>
                <w:rFonts w:eastAsiaTheme="minorEastAsia"/>
                <w:sz w:val="20"/>
                <w:szCs w:val="20"/>
              </w:rPr>
              <w:t>. We can check</w:t>
            </w:r>
            <w:r w:rsidR="002B3463">
              <w:rPr>
                <w:rFonts w:eastAsiaTheme="minorEastAsia"/>
                <w:sz w:val="20"/>
                <w:szCs w:val="20"/>
              </w:rPr>
              <w:t xml:space="preserve"> which slots are within reach and which are not for different options. Option 1 can indicate </w:t>
            </w:r>
            <w:r>
              <w:rPr>
                <w:rFonts w:eastAsiaTheme="minorEastAsia"/>
                <w:sz w:val="20"/>
                <w:szCs w:val="20"/>
              </w:rPr>
              <w:t xml:space="preserve">x </w:t>
            </w:r>
            <w:r w:rsidR="002B3463">
              <w:rPr>
                <w:rFonts w:eastAsiaTheme="minorEastAsia"/>
                <w:sz w:val="20"/>
                <w:szCs w:val="20"/>
              </w:rPr>
              <w:t xml:space="preserve">near-future slots but not far-future slots, and Option 2 can indicate </w:t>
            </w:r>
            <w:r>
              <w:rPr>
                <w:rFonts w:eastAsiaTheme="minorEastAsia"/>
                <w:sz w:val="20"/>
                <w:szCs w:val="20"/>
              </w:rPr>
              <w:t xml:space="preserve">x </w:t>
            </w:r>
            <w:r w:rsidR="002B3463">
              <w:rPr>
                <w:rFonts w:eastAsiaTheme="minorEastAsia"/>
                <w:sz w:val="20"/>
                <w:szCs w:val="20"/>
              </w:rPr>
              <w:t xml:space="preserve">far-future slots but not near-future slots except for the no slotoffset case. It is questionable why far-future slots indication is useful. If we were to overcome the issue of Option 2 with 0 slotoffset all the time, it just </w:t>
            </w:r>
            <w:r w:rsidR="00451A0D">
              <w:rPr>
                <w:rFonts w:eastAsiaTheme="minorEastAsia"/>
                <w:sz w:val="20"/>
                <w:szCs w:val="20"/>
              </w:rPr>
              <w:t>reduces to</w:t>
            </w:r>
            <w:r w:rsidR="002B3463">
              <w:rPr>
                <w:rFonts w:eastAsiaTheme="minorEastAsia"/>
                <w:sz w:val="20"/>
                <w:szCs w:val="20"/>
              </w:rPr>
              <w:t xml:space="preserve"> Option 1. So our analysis still shows Option 1 is a better solution.</w:t>
            </w:r>
          </w:p>
        </w:tc>
      </w:tr>
      <w:tr w:rsidR="00181398" w14:paraId="12BE3E2D" w14:textId="77777777" w:rsidTr="002B3463">
        <w:tc>
          <w:tcPr>
            <w:tcW w:w="2405" w:type="dxa"/>
          </w:tcPr>
          <w:p w14:paraId="4ABADB20" w14:textId="2045D839"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284D188" w14:textId="45CB55B4" w:rsidR="00181398" w:rsidRPr="00E02C07" w:rsidRDefault="00181398" w:rsidP="00181398">
            <w:pPr>
              <w:widowControl w:val="0"/>
              <w:snapToGrid w:val="0"/>
              <w:spacing w:before="120" w:after="120" w:line="240" w:lineRule="auto"/>
              <w:rPr>
                <w:rFonts w:eastAsia="Malgun Gothic"/>
                <w:sz w:val="20"/>
                <w:szCs w:val="20"/>
                <w:lang w:eastAsia="ko-KR"/>
              </w:rPr>
            </w:pPr>
            <w:r w:rsidRPr="00E02C07">
              <w:rPr>
                <w:rFonts w:eastAsia="Malgun Gothic"/>
                <w:sz w:val="20"/>
                <w:szCs w:val="20"/>
                <w:lang w:eastAsia="ko-KR"/>
              </w:rPr>
              <w:t>As InterDigital mentioned, we also think option 2 can handle option 1 by setting slotoffset to zero. And using option 2, concern for supporting legacy operation used in Rel-16 mentioned by QC</w:t>
            </w:r>
            <w:r>
              <w:rPr>
                <w:rFonts w:eastAsia="Malgun Gothic"/>
                <w:sz w:val="20"/>
                <w:szCs w:val="20"/>
                <w:lang w:eastAsia="ko-KR"/>
              </w:rPr>
              <w:t>, Lenovo, MotM,</w:t>
            </w:r>
            <w:r w:rsidRPr="00E02C07">
              <w:rPr>
                <w:rFonts w:eastAsia="Malgun Gothic"/>
                <w:sz w:val="20"/>
                <w:szCs w:val="20"/>
                <w:lang w:eastAsia="ko-KR"/>
              </w:rPr>
              <w:t xml:space="preserve"> and others can be solved as well. Also, in the current RRC spec, “slotOffset” can be absent and the UE applies no offset (value 0). </w:t>
            </w:r>
            <w:r>
              <w:rPr>
                <w:rFonts w:eastAsia="Malgun Gothic"/>
                <w:sz w:val="20"/>
                <w:szCs w:val="20"/>
                <w:lang w:eastAsia="ko-KR"/>
              </w:rPr>
              <w:t>Given</w:t>
            </w:r>
            <w:r w:rsidR="00E30577">
              <w:rPr>
                <w:rFonts w:eastAsia="Malgun Gothic"/>
                <w:sz w:val="20"/>
                <w:szCs w:val="20"/>
                <w:lang w:eastAsia="ko-KR"/>
              </w:rPr>
              <w:t xml:space="preserve"> the agreement for supporting</w:t>
            </w:r>
            <w:r w:rsidRPr="00E02C07">
              <w:rPr>
                <w:rFonts w:eastAsia="Malgun Gothic"/>
                <w:sz w:val="20"/>
                <w:szCs w:val="20"/>
                <w:lang w:eastAsia="ko-KR"/>
              </w:rPr>
              <w:t xml:space="preserve"> the configuration of </w:t>
            </w:r>
            <w:r w:rsidRPr="00E02C07">
              <w:rPr>
                <w:rFonts w:eastAsia="微软雅黑"/>
                <w:sz w:val="20"/>
                <w:szCs w:val="20"/>
              </w:rPr>
              <w:t xml:space="preserve">a list of t values in RRC for each SRS resource set, </w:t>
            </w:r>
            <w:r>
              <w:rPr>
                <w:rFonts w:eastAsia="微软雅黑"/>
                <w:sz w:val="20"/>
                <w:szCs w:val="20"/>
              </w:rPr>
              <w:t xml:space="preserve">we </w:t>
            </w:r>
            <w:r w:rsidR="00E30577">
              <w:rPr>
                <w:rFonts w:eastAsia="微软雅黑"/>
                <w:sz w:val="20"/>
                <w:szCs w:val="20"/>
              </w:rPr>
              <w:t>carefully</w:t>
            </w:r>
            <w:r>
              <w:rPr>
                <w:rFonts w:eastAsia="微软雅黑"/>
                <w:sz w:val="20"/>
                <w:szCs w:val="20"/>
              </w:rPr>
              <w:t xml:space="preserve"> suggestion to go with e.g.,</w:t>
            </w:r>
          </w:p>
          <w:p w14:paraId="7D75294C" w14:textId="3E7F1C2E" w:rsidR="00181398" w:rsidRDefault="00181398" w:rsidP="00181398">
            <w:pPr>
              <w:widowControl w:val="0"/>
              <w:snapToGrid w:val="0"/>
              <w:spacing w:before="120" w:after="120" w:line="240" w:lineRule="auto"/>
              <w:rPr>
                <w:rFonts w:eastAsiaTheme="minorEastAsia"/>
                <w:sz w:val="20"/>
                <w:szCs w:val="20"/>
              </w:rPr>
            </w:pPr>
            <w:r w:rsidRPr="00E02C07">
              <w:rPr>
                <w:rFonts w:eastAsia="Malgun Gothic"/>
                <w:sz w:val="20"/>
                <w:szCs w:val="20"/>
                <w:lang w:eastAsia="ko-KR"/>
              </w:rPr>
              <w:t xml:space="preserve">When ‘slotoffset’ and a list of ‘t’ are configured, the reference </w:t>
            </w:r>
            <w:r w:rsidRPr="00E02C07">
              <w:rPr>
                <w:rFonts w:eastAsia="微软雅黑"/>
                <w:sz w:val="20"/>
                <w:szCs w:val="20"/>
                <w:lang w:val="en-GB"/>
              </w:rPr>
              <w:t>slot</w:t>
            </w:r>
            <w:r w:rsidR="009D2B75">
              <w:rPr>
                <w:rFonts w:eastAsia="微软雅黑"/>
                <w:sz w:val="20"/>
                <w:szCs w:val="20"/>
                <w:lang w:val="en-GB"/>
              </w:rPr>
              <w:t xml:space="preserve"> is</w:t>
            </w:r>
            <w:r w:rsidRPr="00E02C07">
              <w:rPr>
                <w:rFonts w:eastAsia="微软雅黑"/>
                <w:sz w:val="20"/>
                <w:szCs w:val="20"/>
                <w:lang w:val="en-GB"/>
              </w:rPr>
              <w:t xml:space="preserve"> followed by option 2 and when ‘slotoffset’ is not configured (is absent) but a list of ‘t’ is configured, the reference slot is the slot with the triggering DCI (option 1).</w:t>
            </w:r>
          </w:p>
        </w:tc>
      </w:tr>
      <w:tr w:rsidR="005A6125" w14:paraId="153FFA2E" w14:textId="77777777" w:rsidTr="002B3463">
        <w:tc>
          <w:tcPr>
            <w:tcW w:w="2405" w:type="dxa"/>
          </w:tcPr>
          <w:p w14:paraId="2BA17100" w14:textId="03122E1C" w:rsidR="005A6125" w:rsidRPr="005A6125" w:rsidRDefault="005A6125"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DC9FE53" w14:textId="77777777"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Still support Option-1.</w:t>
            </w:r>
          </w:p>
          <w:p w14:paraId="3FA38C96" w14:textId="19B880DC"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 xml:space="preserve">The enhancement work for A-SRS triggering is due to the limitation of A-SRS </w:t>
            </w:r>
            <w:r>
              <w:rPr>
                <w:rFonts w:eastAsiaTheme="minorEastAsia"/>
                <w:sz w:val="20"/>
                <w:szCs w:val="20"/>
              </w:rPr>
              <w:lastRenderedPageBreak/>
              <w:t xml:space="preserve">triggering with the legacy </w:t>
            </w:r>
            <w:r w:rsidRPr="005A6125">
              <w:rPr>
                <w:rFonts w:eastAsiaTheme="minorEastAsia"/>
                <w:i/>
                <w:sz w:val="20"/>
                <w:szCs w:val="20"/>
              </w:rPr>
              <w:t>slotoffset</w:t>
            </w:r>
            <w:r>
              <w:rPr>
                <w:rFonts w:eastAsiaTheme="minorEastAsia"/>
                <w:sz w:val="20"/>
                <w:szCs w:val="20"/>
              </w:rPr>
              <w:t xml:space="preserve"> configuration. </w:t>
            </w:r>
          </w:p>
          <w:p w14:paraId="2E9F099E" w14:textId="560B095C" w:rsidR="00BA2AD4" w:rsidRDefault="00BA2AD4" w:rsidP="00BA2AD4">
            <w:pPr>
              <w:widowControl w:val="0"/>
              <w:snapToGrid w:val="0"/>
              <w:spacing w:before="120" w:after="120" w:line="240" w:lineRule="auto"/>
              <w:rPr>
                <w:rFonts w:eastAsiaTheme="minorEastAsia"/>
                <w:sz w:val="20"/>
                <w:szCs w:val="20"/>
              </w:rPr>
            </w:pPr>
            <w:r w:rsidRPr="00BA2AD4">
              <w:rPr>
                <w:rFonts w:eastAsiaTheme="minorEastAsia"/>
                <w:b/>
                <w:sz w:val="20"/>
                <w:szCs w:val="20"/>
              </w:rPr>
              <w:t xml:space="preserve">It is very interesting that companies argued that: </w:t>
            </w:r>
            <w:r w:rsidRPr="00BA2AD4">
              <w:rPr>
                <w:rFonts w:eastAsiaTheme="minorEastAsia"/>
                <w:sz w:val="20"/>
                <w:szCs w:val="20"/>
              </w:rPr>
              <w:t>on one hand “the complexity of Option-</w:t>
            </w:r>
            <w:r w:rsidR="00401F10">
              <w:rPr>
                <w:rFonts w:eastAsiaTheme="minorEastAsia"/>
                <w:sz w:val="20"/>
                <w:szCs w:val="20"/>
              </w:rPr>
              <w:t>1</w:t>
            </w:r>
            <w:r w:rsidRPr="00BA2AD4">
              <w:rPr>
                <w:rFonts w:eastAsiaTheme="minorEastAsia"/>
                <w:sz w:val="20"/>
                <w:szCs w:val="20"/>
              </w:rPr>
              <w:t xml:space="preserve"> is </w:t>
            </w:r>
            <w:r w:rsidR="00401F10">
              <w:rPr>
                <w:rFonts w:eastAsiaTheme="minorEastAsia"/>
                <w:sz w:val="20"/>
                <w:szCs w:val="20"/>
              </w:rPr>
              <w:t>more</w:t>
            </w:r>
            <w:r w:rsidRPr="00BA2AD4">
              <w:rPr>
                <w:rFonts w:eastAsiaTheme="minorEastAsia"/>
                <w:sz w:val="20"/>
                <w:szCs w:val="20"/>
              </w:rPr>
              <w:t xml:space="preserve"> than Option-</w:t>
            </w:r>
            <w:r w:rsidR="00401F10">
              <w:rPr>
                <w:rFonts w:eastAsiaTheme="minorEastAsia"/>
                <w:sz w:val="20"/>
                <w:szCs w:val="20"/>
              </w:rPr>
              <w:t>2</w:t>
            </w:r>
            <w:r w:rsidRPr="00BA2AD4">
              <w:rPr>
                <w:rFonts w:eastAsiaTheme="minorEastAsia"/>
                <w:sz w:val="20"/>
                <w:szCs w:val="20"/>
              </w:rPr>
              <w:t>”, but on the other hand, “Option-</w:t>
            </w:r>
            <w:r w:rsidR="00401F10">
              <w:rPr>
                <w:rFonts w:eastAsiaTheme="minorEastAsia"/>
                <w:sz w:val="20"/>
                <w:szCs w:val="20"/>
              </w:rPr>
              <w:t>1 is a special case for</w:t>
            </w:r>
            <w:r w:rsidRPr="00BA2AD4">
              <w:rPr>
                <w:rFonts w:eastAsiaTheme="minorEastAsia"/>
                <w:sz w:val="20"/>
                <w:szCs w:val="20"/>
              </w:rPr>
              <w:t xml:space="preserve"> Option-1”. </w:t>
            </w:r>
            <w:r w:rsidRPr="00B03BB2">
              <w:rPr>
                <w:rFonts w:eastAsiaTheme="minorEastAsia"/>
                <w:b/>
                <w:sz w:val="20"/>
                <w:szCs w:val="20"/>
              </w:rPr>
              <w:t>If Option-</w:t>
            </w:r>
            <w:r w:rsidR="00401F10" w:rsidRPr="00B03BB2">
              <w:rPr>
                <w:rFonts w:eastAsiaTheme="minorEastAsia"/>
                <w:b/>
                <w:sz w:val="20"/>
                <w:szCs w:val="20"/>
              </w:rPr>
              <w:t xml:space="preserve">1 is included in </w:t>
            </w:r>
            <w:r w:rsidRPr="00B03BB2">
              <w:rPr>
                <w:rFonts w:eastAsiaTheme="minorEastAsia"/>
                <w:b/>
                <w:sz w:val="20"/>
                <w:szCs w:val="20"/>
              </w:rPr>
              <w:t>Option-</w:t>
            </w:r>
            <w:r w:rsidR="00401F10" w:rsidRPr="00B03BB2">
              <w:rPr>
                <w:rFonts w:eastAsiaTheme="minorEastAsia"/>
                <w:b/>
                <w:sz w:val="20"/>
                <w:szCs w:val="20"/>
              </w:rPr>
              <w:t>2</w:t>
            </w:r>
            <w:r w:rsidRPr="00B03BB2">
              <w:rPr>
                <w:rFonts w:eastAsiaTheme="minorEastAsia"/>
                <w:b/>
                <w:sz w:val="20"/>
                <w:szCs w:val="20"/>
              </w:rPr>
              <w:t xml:space="preserve"> already, how the complexity of Option-</w:t>
            </w:r>
            <w:r w:rsidR="00401F10" w:rsidRPr="00B03BB2">
              <w:rPr>
                <w:rFonts w:eastAsiaTheme="minorEastAsia"/>
                <w:b/>
                <w:sz w:val="20"/>
                <w:szCs w:val="20"/>
              </w:rPr>
              <w:t>1</w:t>
            </w:r>
            <w:r w:rsidRPr="00B03BB2">
              <w:rPr>
                <w:rFonts w:eastAsiaTheme="minorEastAsia"/>
                <w:b/>
                <w:sz w:val="20"/>
                <w:szCs w:val="20"/>
              </w:rPr>
              <w:t xml:space="preserve"> </w:t>
            </w:r>
            <w:r w:rsidR="00401F10" w:rsidRPr="00B03BB2">
              <w:rPr>
                <w:rFonts w:eastAsiaTheme="minorEastAsia"/>
                <w:b/>
                <w:sz w:val="20"/>
                <w:szCs w:val="20"/>
              </w:rPr>
              <w:t>is more</w:t>
            </w:r>
            <w:r w:rsidRPr="00B03BB2">
              <w:rPr>
                <w:rFonts w:eastAsiaTheme="minorEastAsia"/>
                <w:b/>
                <w:sz w:val="20"/>
                <w:szCs w:val="20"/>
              </w:rPr>
              <w:t xml:space="preserve"> than Option-</w:t>
            </w:r>
            <w:r w:rsidR="00401F10" w:rsidRPr="00B03BB2">
              <w:rPr>
                <w:rFonts w:eastAsiaTheme="minorEastAsia"/>
                <w:b/>
                <w:sz w:val="20"/>
                <w:szCs w:val="20"/>
              </w:rPr>
              <w:t>2?</w:t>
            </w:r>
          </w:p>
          <w:p w14:paraId="5E8B05CB" w14:textId="6F40B7B7" w:rsidR="005A6125" w:rsidRDefault="005A6125" w:rsidP="00181398">
            <w:pPr>
              <w:widowControl w:val="0"/>
              <w:snapToGrid w:val="0"/>
              <w:spacing w:before="120" w:after="120" w:line="240" w:lineRule="auto"/>
              <w:rPr>
                <w:rFonts w:eastAsiaTheme="minorEastAsia"/>
                <w:sz w:val="20"/>
                <w:szCs w:val="20"/>
              </w:rPr>
            </w:pPr>
            <w:r w:rsidRPr="0081371F">
              <w:rPr>
                <w:rFonts w:eastAsiaTheme="minorEastAsia" w:hint="eastAsia"/>
                <w:b/>
                <w:sz w:val="20"/>
                <w:szCs w:val="20"/>
              </w:rPr>
              <w:t>T</w:t>
            </w:r>
            <w:r w:rsidRPr="0081371F">
              <w:rPr>
                <w:rFonts w:eastAsiaTheme="minorEastAsia"/>
                <w:b/>
                <w:sz w:val="20"/>
                <w:szCs w:val="20"/>
              </w:rPr>
              <w:t xml:space="preserve">o reply InterDigital/Lenovo/QC: </w:t>
            </w:r>
            <w:r>
              <w:rPr>
                <w:rFonts w:eastAsiaTheme="minorEastAsia"/>
                <w:sz w:val="20"/>
                <w:szCs w:val="20"/>
              </w:rPr>
              <w:t xml:space="preserve">Rel-17 UE is with the capability to use flexible triggering with available sot “t”, the </w:t>
            </w:r>
            <w:r w:rsidRPr="005A6125">
              <w:rPr>
                <w:rFonts w:eastAsiaTheme="minorEastAsia"/>
                <w:i/>
                <w:sz w:val="20"/>
                <w:szCs w:val="20"/>
              </w:rPr>
              <w:t>slotoffset</w:t>
            </w:r>
            <w:r>
              <w:rPr>
                <w:rFonts w:eastAsiaTheme="minorEastAsia"/>
                <w:sz w:val="20"/>
                <w:szCs w:val="20"/>
              </w:rPr>
              <w:t xml:space="preserve"> is also will be there for Rel-15/16, there is no collision. But, in Option-2, </w:t>
            </w:r>
            <w:r w:rsidR="0081371F">
              <w:rPr>
                <w:rFonts w:eastAsiaTheme="minorEastAsia"/>
                <w:sz w:val="20"/>
                <w:szCs w:val="20"/>
              </w:rPr>
              <w:t xml:space="preserve">Rel-17 always need to count the SRS transmission slot with considering both slotoffset and ‘t’. On the contrary, in Option-1, only ‘t’ need to be considered in slot counting. We are also as a UE vendor, do not think the complexity of Option-1 is more than Option-2. But we think Option-2 is with more complicated slot counting than Option-1, while the two different timelines need to be considered </w:t>
            </w:r>
            <w:r w:rsidR="0081371F" w:rsidRPr="0081371F">
              <w:rPr>
                <w:rFonts w:eastAsiaTheme="minorEastAsia"/>
                <w:b/>
                <w:sz w:val="20"/>
                <w:szCs w:val="20"/>
              </w:rPr>
              <w:t>simultaneously</w:t>
            </w:r>
            <w:r w:rsidR="0081371F">
              <w:rPr>
                <w:rFonts w:eastAsiaTheme="minorEastAsia"/>
                <w:sz w:val="20"/>
                <w:szCs w:val="20"/>
              </w:rPr>
              <w:t xml:space="preserve"> for Rel-17 UE.</w:t>
            </w:r>
          </w:p>
          <w:p w14:paraId="679C8381" w14:textId="77777777" w:rsidR="00D42008" w:rsidRDefault="0081371F" w:rsidP="00181398">
            <w:pPr>
              <w:widowControl w:val="0"/>
              <w:snapToGrid w:val="0"/>
              <w:spacing w:before="120" w:after="120" w:line="240" w:lineRule="auto"/>
              <w:rPr>
                <w:rFonts w:eastAsiaTheme="minorEastAsia"/>
                <w:sz w:val="20"/>
                <w:szCs w:val="20"/>
              </w:rPr>
            </w:pPr>
            <w:r w:rsidRPr="0081371F">
              <w:rPr>
                <w:rFonts w:eastAsiaTheme="minorEastAsia"/>
                <w:b/>
                <w:sz w:val="20"/>
                <w:szCs w:val="20"/>
              </w:rPr>
              <w:t>To reply InterDigital</w:t>
            </w:r>
            <w:r w:rsidR="00D42008">
              <w:rPr>
                <w:rFonts w:eastAsiaTheme="minorEastAsia"/>
                <w:sz w:val="20"/>
                <w:szCs w:val="20"/>
              </w:rPr>
              <w:t xml:space="preserve">: For MU measurement, we agree with Futurewei’s reply that the SRS resources should be measurement at the near/close/same time as much as possible, but not with introduce </w:t>
            </w:r>
            <w:r w:rsidR="00D42008" w:rsidRPr="00D42008">
              <w:rPr>
                <w:rFonts w:eastAsiaTheme="minorEastAsia"/>
                <w:i/>
                <w:sz w:val="20"/>
                <w:szCs w:val="20"/>
              </w:rPr>
              <w:t>slotoffset</w:t>
            </w:r>
            <w:r w:rsidR="00D42008">
              <w:rPr>
                <w:rFonts w:eastAsiaTheme="minorEastAsia"/>
                <w:sz w:val="20"/>
                <w:szCs w:val="20"/>
              </w:rPr>
              <w:t xml:space="preserve"> to long distance slot. We have clarified in the last reply, Example-3, that if with </w:t>
            </w:r>
            <w:r w:rsidR="00D42008" w:rsidRPr="00D42008">
              <w:rPr>
                <w:rFonts w:eastAsiaTheme="minorEastAsia"/>
                <w:i/>
                <w:sz w:val="20"/>
                <w:szCs w:val="20"/>
              </w:rPr>
              <w:t>slotoffset</w:t>
            </w:r>
            <w:r w:rsidR="00D42008">
              <w:rPr>
                <w:rFonts w:eastAsiaTheme="minorEastAsia"/>
                <w:sz w:val="20"/>
                <w:szCs w:val="20"/>
              </w:rPr>
              <w:t xml:space="preserve"> configuration, we can see that the second SRS sets (can be another MU-UE), the U3 slot have to be more than 8 slots delay. So, the same view with Futurewei, for the MU case, Option-1 is much more proper.</w:t>
            </w:r>
          </w:p>
          <w:p w14:paraId="6B78D2E8" w14:textId="7ECB375D" w:rsidR="005A6125" w:rsidRPr="005A6125" w:rsidRDefault="00D42008" w:rsidP="00BA2AD4">
            <w:pPr>
              <w:widowControl w:val="0"/>
              <w:snapToGrid w:val="0"/>
              <w:spacing w:before="120" w:after="120" w:line="240" w:lineRule="auto"/>
              <w:rPr>
                <w:rFonts w:eastAsiaTheme="minorEastAsia"/>
                <w:sz w:val="20"/>
                <w:szCs w:val="20"/>
              </w:rPr>
            </w:pPr>
            <w:r>
              <w:rPr>
                <w:rFonts w:eastAsiaTheme="minorEastAsia"/>
                <w:sz w:val="20"/>
                <w:szCs w:val="20"/>
              </w:rPr>
              <w:t xml:space="preserve">By the way, after rounds discussion, </w:t>
            </w:r>
            <w:r w:rsidR="00BA2AD4">
              <w:rPr>
                <w:rFonts w:eastAsiaTheme="minorEastAsia"/>
                <w:sz w:val="20"/>
                <w:szCs w:val="20"/>
              </w:rPr>
              <w:t>it is</w:t>
            </w:r>
            <w:r>
              <w:rPr>
                <w:rFonts w:eastAsiaTheme="minorEastAsia"/>
                <w:sz w:val="20"/>
                <w:szCs w:val="20"/>
              </w:rPr>
              <w:t xml:space="preserve"> clear that if slotoffset is </w:t>
            </w:r>
            <w:r w:rsidR="00BA2AD4">
              <w:rPr>
                <w:rFonts w:eastAsiaTheme="minorEastAsia"/>
                <w:sz w:val="20"/>
                <w:szCs w:val="20"/>
              </w:rPr>
              <w:t xml:space="preserve">not equal to 0, the flexibility of A-SRS triggering will be restricted (please see the </w:t>
            </w:r>
            <w:r w:rsidR="00BA2AD4" w:rsidRPr="00BA2AD4">
              <w:rPr>
                <w:rFonts w:eastAsiaTheme="minorEastAsia"/>
                <w:b/>
                <w:sz w:val="20"/>
                <w:szCs w:val="20"/>
              </w:rPr>
              <w:t>Example-1/2/3</w:t>
            </w:r>
            <w:r w:rsidR="00BA2AD4">
              <w:rPr>
                <w:rFonts w:eastAsiaTheme="minorEastAsia"/>
                <w:sz w:val="20"/>
                <w:szCs w:val="20"/>
              </w:rPr>
              <w:t xml:space="preserve"> in our first reply). So, in Option-2, slotoffset is need to always 0. If slotoffset is equal to 0 always, we do not need to RRC configure slotoffset anymore, which exactly is the Option-1.</w:t>
            </w:r>
            <w:r w:rsidR="005A6125">
              <w:rPr>
                <w:rFonts w:eastAsiaTheme="minorEastAsia"/>
                <w:sz w:val="20"/>
                <w:szCs w:val="20"/>
              </w:rPr>
              <w:t xml:space="preserve"> </w:t>
            </w:r>
          </w:p>
        </w:tc>
      </w:tr>
      <w:tr w:rsidR="00666745" w14:paraId="61E4E997" w14:textId="77777777" w:rsidTr="002B3463">
        <w:tc>
          <w:tcPr>
            <w:tcW w:w="2405" w:type="dxa"/>
          </w:tcPr>
          <w:p w14:paraId="7873D1DF" w14:textId="6404D610" w:rsidR="00666745" w:rsidRDefault="00666745" w:rsidP="0018139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0E475718" w14:textId="3FEA792E" w:rsidR="00666745" w:rsidRDefault="00666745" w:rsidP="00A25B37">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251774">
              <w:rPr>
                <w:rFonts w:eastAsiaTheme="minorEastAsia" w:hint="eastAsia"/>
                <w:sz w:val="20"/>
                <w:szCs w:val="20"/>
              </w:rPr>
              <w:t xml:space="preserve"> since Option 2 is more flexible</w:t>
            </w:r>
            <w:r>
              <w:rPr>
                <w:rFonts w:eastAsiaTheme="minorEastAsia"/>
                <w:sz w:val="20"/>
                <w:szCs w:val="20"/>
              </w:rPr>
              <w:t>.</w:t>
            </w:r>
            <w:r w:rsidR="00251774">
              <w:rPr>
                <w:rFonts w:eastAsiaTheme="minorEastAsia" w:hint="eastAsia"/>
                <w:sz w:val="20"/>
                <w:szCs w:val="20"/>
              </w:rPr>
              <w:t xml:space="preserve"> It is </w:t>
            </w:r>
            <w:r w:rsidR="00251774">
              <w:rPr>
                <w:rFonts w:eastAsiaTheme="minorEastAsia"/>
                <w:sz w:val="20"/>
                <w:szCs w:val="20"/>
              </w:rPr>
              <w:t>benefit</w:t>
            </w:r>
            <w:r w:rsidR="00251774">
              <w:rPr>
                <w:rFonts w:eastAsiaTheme="minorEastAsia" w:hint="eastAsia"/>
                <w:sz w:val="20"/>
                <w:szCs w:val="20"/>
              </w:rPr>
              <w:t xml:space="preserve"> to allow gNB to be able to configure reference slot</w:t>
            </w:r>
            <w:r w:rsidR="005F1A39">
              <w:rPr>
                <w:rFonts w:eastAsiaTheme="minorEastAsia" w:hint="eastAsia"/>
                <w:sz w:val="20"/>
                <w:szCs w:val="20"/>
              </w:rPr>
              <w:t xml:space="preserve"> in some scenarios</w:t>
            </w:r>
            <w:r w:rsidR="00251774">
              <w:rPr>
                <w:rFonts w:eastAsiaTheme="minorEastAsia" w:hint="eastAsia"/>
                <w:sz w:val="20"/>
                <w:szCs w:val="20"/>
              </w:rPr>
              <w:t>. For</w:t>
            </w:r>
            <w:r w:rsidR="005F1A39">
              <w:rPr>
                <w:rFonts w:eastAsiaTheme="minorEastAsia" w:hint="eastAsia"/>
                <w:sz w:val="20"/>
                <w:szCs w:val="20"/>
              </w:rPr>
              <w:t xml:space="preserve"> example, when</w:t>
            </w:r>
            <w:r w:rsidR="00251774">
              <w:rPr>
                <w:rFonts w:eastAsiaTheme="minorEastAsia" w:hint="eastAsia"/>
                <w:sz w:val="20"/>
                <w:szCs w:val="20"/>
              </w:rPr>
              <w:t xml:space="preserve"> a TDD UL/DL pattern wi</w:t>
            </w:r>
            <w:r w:rsidR="00BB0AC4">
              <w:rPr>
                <w:rFonts w:eastAsiaTheme="minorEastAsia" w:hint="eastAsia"/>
                <w:sz w:val="20"/>
                <w:szCs w:val="20"/>
              </w:rPr>
              <w:t>th more UL slots than DL slots</w:t>
            </w:r>
            <w:r w:rsidR="005F1A39">
              <w:rPr>
                <w:rFonts w:eastAsiaTheme="minorEastAsia" w:hint="eastAsia"/>
                <w:sz w:val="20"/>
                <w:szCs w:val="20"/>
              </w:rPr>
              <w:t xml:space="preserve"> is configured</w:t>
            </w:r>
            <w:r w:rsidR="00BB0AC4">
              <w:rPr>
                <w:rFonts w:eastAsiaTheme="minorEastAsia" w:hint="eastAsia"/>
                <w:sz w:val="20"/>
                <w:szCs w:val="20"/>
              </w:rPr>
              <w:t xml:space="preserve">, determining reference slot according to slotOffset is helpful on avoiding collision of SRS resource sets. </w:t>
            </w:r>
            <w:r w:rsidR="005F1A39">
              <w:rPr>
                <w:rFonts w:eastAsiaTheme="minorEastAsia" w:hint="eastAsia"/>
                <w:sz w:val="20"/>
                <w:szCs w:val="20"/>
              </w:rPr>
              <w:t>E.g.</w:t>
            </w:r>
            <w:r w:rsidR="00BB0AC4">
              <w:rPr>
                <w:rFonts w:eastAsiaTheme="minorEastAsia" w:hint="eastAsia"/>
                <w:sz w:val="20"/>
                <w:szCs w:val="20"/>
              </w:rPr>
              <w:t xml:space="preserve">, </w:t>
            </w:r>
            <w:r w:rsidR="00A25B37">
              <w:rPr>
                <w:rFonts w:eastAsiaTheme="minorEastAsia" w:hint="eastAsia"/>
                <w:sz w:val="20"/>
                <w:szCs w:val="20"/>
              </w:rPr>
              <w:t xml:space="preserve">assuming that </w:t>
            </w:r>
            <w:r w:rsidR="00BB0AC4">
              <w:rPr>
                <w:rFonts w:eastAsiaTheme="minorEastAsia" w:hint="eastAsia"/>
                <w:sz w:val="20"/>
                <w:szCs w:val="20"/>
              </w:rPr>
              <w:t>DDDUUUUUUU</w:t>
            </w:r>
            <w:r w:rsidR="00A25B37">
              <w:rPr>
                <w:rFonts w:eastAsiaTheme="minorEastAsia" w:hint="eastAsia"/>
                <w:sz w:val="20"/>
                <w:szCs w:val="20"/>
              </w:rPr>
              <w:t xml:space="preserve"> is configured</w:t>
            </w:r>
            <w:r w:rsidR="00BB0AC4">
              <w:rPr>
                <w:rFonts w:eastAsiaTheme="minorEastAsia" w:hint="eastAsia"/>
                <w:sz w:val="20"/>
                <w:szCs w:val="20"/>
              </w:rPr>
              <w:t xml:space="preserve">, </w:t>
            </w:r>
            <w:r w:rsidR="00A25B37">
              <w:rPr>
                <w:rFonts w:eastAsiaTheme="minorEastAsia" w:hint="eastAsia"/>
                <w:sz w:val="20"/>
                <w:szCs w:val="20"/>
              </w:rPr>
              <w:t>and</w:t>
            </w:r>
            <w:r w:rsidR="00BB0AC4">
              <w:rPr>
                <w:rFonts w:eastAsiaTheme="minorEastAsia" w:hint="eastAsia"/>
                <w:sz w:val="20"/>
                <w:szCs w:val="20"/>
              </w:rPr>
              <w:t xml:space="preserve"> the slotOffset of SRS </w:t>
            </w:r>
            <w:r w:rsidR="00BB0AC4">
              <w:rPr>
                <w:rFonts w:eastAsiaTheme="minorEastAsia"/>
                <w:sz w:val="20"/>
                <w:szCs w:val="20"/>
              </w:rPr>
              <w:t>resource</w:t>
            </w:r>
            <w:r w:rsidR="00BB0AC4">
              <w:rPr>
                <w:rFonts w:eastAsiaTheme="minorEastAsia" w:hint="eastAsia"/>
                <w:sz w:val="20"/>
                <w:szCs w:val="20"/>
              </w:rPr>
              <w:t xml:space="preserve"> set 1 is </w:t>
            </w:r>
            <w:r w:rsidR="00A25B37">
              <w:rPr>
                <w:rFonts w:eastAsiaTheme="minorEastAsia" w:hint="eastAsia"/>
                <w:sz w:val="20"/>
                <w:szCs w:val="20"/>
              </w:rPr>
              <w:t xml:space="preserve">set to </w:t>
            </w:r>
            <w:r w:rsidR="00BB0AC4">
              <w:rPr>
                <w:rFonts w:eastAsiaTheme="minorEastAsia" w:hint="eastAsia"/>
                <w:sz w:val="20"/>
                <w:szCs w:val="20"/>
              </w:rPr>
              <w:t xml:space="preserve">2 and the slotOffset of SRS </w:t>
            </w:r>
            <w:r w:rsidR="00BB0AC4">
              <w:rPr>
                <w:rFonts w:eastAsiaTheme="minorEastAsia"/>
                <w:sz w:val="20"/>
                <w:szCs w:val="20"/>
              </w:rPr>
              <w:t>resource</w:t>
            </w:r>
            <w:r w:rsidR="00BB0AC4">
              <w:rPr>
                <w:rFonts w:eastAsiaTheme="minorEastAsia" w:hint="eastAsia"/>
                <w:sz w:val="20"/>
                <w:szCs w:val="20"/>
              </w:rPr>
              <w:t xml:space="preserve"> set 2 is </w:t>
            </w:r>
            <w:r w:rsidR="00A25B37">
              <w:rPr>
                <w:rFonts w:eastAsiaTheme="minorEastAsia" w:hint="eastAsia"/>
                <w:sz w:val="20"/>
                <w:szCs w:val="20"/>
              </w:rPr>
              <w:t xml:space="preserve">set to </w:t>
            </w:r>
            <w:r w:rsidR="00BB0AC4">
              <w:rPr>
                <w:rFonts w:eastAsiaTheme="minorEastAsia" w:hint="eastAsia"/>
                <w:sz w:val="20"/>
                <w:szCs w:val="20"/>
              </w:rPr>
              <w:t>3</w:t>
            </w:r>
            <w:r w:rsidR="00A25B37">
              <w:rPr>
                <w:rFonts w:eastAsiaTheme="minorEastAsia" w:hint="eastAsia"/>
                <w:sz w:val="20"/>
                <w:szCs w:val="20"/>
              </w:rPr>
              <w:t>, then even</w:t>
            </w:r>
            <w:r w:rsidR="00BB0AC4">
              <w:rPr>
                <w:rFonts w:eastAsiaTheme="minorEastAsia" w:hint="eastAsia"/>
                <w:sz w:val="20"/>
                <w:szCs w:val="20"/>
              </w:rPr>
              <w:t xml:space="preserve"> if same </w:t>
            </w:r>
            <w:r w:rsidR="00BB0AC4" w:rsidRPr="00BB0AC4">
              <w:rPr>
                <w:rFonts w:eastAsiaTheme="minorEastAsia" w:hint="eastAsia"/>
                <w:i/>
                <w:sz w:val="20"/>
                <w:szCs w:val="20"/>
              </w:rPr>
              <w:t>t</w:t>
            </w:r>
            <w:r w:rsidR="00BB0AC4">
              <w:rPr>
                <w:rFonts w:eastAsiaTheme="minorEastAsia" w:hint="eastAsia"/>
                <w:sz w:val="20"/>
                <w:szCs w:val="20"/>
              </w:rPr>
              <w:t xml:space="preserve"> is indicated for the 2 </w:t>
            </w:r>
            <w:r w:rsidR="00A25B37">
              <w:rPr>
                <w:rFonts w:eastAsiaTheme="minorEastAsia" w:hint="eastAsia"/>
                <w:sz w:val="20"/>
                <w:szCs w:val="20"/>
              </w:rPr>
              <w:t xml:space="preserve">SRS </w:t>
            </w:r>
            <w:r w:rsidR="00BB0AC4">
              <w:rPr>
                <w:rFonts w:eastAsiaTheme="minorEastAsia" w:hint="eastAsia"/>
                <w:sz w:val="20"/>
                <w:szCs w:val="20"/>
              </w:rPr>
              <w:t xml:space="preserve">sets, the 2 </w:t>
            </w:r>
            <w:r w:rsidR="00A25B37">
              <w:rPr>
                <w:rFonts w:eastAsiaTheme="minorEastAsia" w:hint="eastAsia"/>
                <w:sz w:val="20"/>
                <w:szCs w:val="20"/>
              </w:rPr>
              <w:t xml:space="preserve">SRS </w:t>
            </w:r>
            <w:r w:rsidR="00BB0AC4">
              <w:rPr>
                <w:rFonts w:eastAsiaTheme="minorEastAsia" w:hint="eastAsia"/>
                <w:sz w:val="20"/>
                <w:szCs w:val="20"/>
              </w:rPr>
              <w:t>sets wouldn</w:t>
            </w:r>
            <w:r w:rsidR="00BB0AC4">
              <w:rPr>
                <w:rFonts w:eastAsiaTheme="minorEastAsia"/>
                <w:sz w:val="20"/>
                <w:szCs w:val="20"/>
              </w:rPr>
              <w:t>’</w:t>
            </w:r>
            <w:r w:rsidR="00BB0AC4">
              <w:rPr>
                <w:rFonts w:eastAsiaTheme="minorEastAsia" w:hint="eastAsia"/>
                <w:sz w:val="20"/>
                <w:szCs w:val="20"/>
              </w:rPr>
              <w:t xml:space="preserve">t be collided </w:t>
            </w:r>
            <w:r w:rsidR="00A25B37">
              <w:rPr>
                <w:rFonts w:eastAsiaTheme="minorEastAsia" w:hint="eastAsia"/>
                <w:sz w:val="20"/>
                <w:szCs w:val="20"/>
              </w:rPr>
              <w:t>since they have</w:t>
            </w:r>
            <w:r w:rsidR="00BB0AC4">
              <w:rPr>
                <w:rFonts w:eastAsiaTheme="minorEastAsia" w:hint="eastAsia"/>
                <w:sz w:val="20"/>
                <w:szCs w:val="20"/>
              </w:rPr>
              <w:t xml:space="preserve"> different reference slots.</w:t>
            </w:r>
          </w:p>
        </w:tc>
      </w:tr>
      <w:tr w:rsidR="00DE37D6" w14:paraId="6578BD5D" w14:textId="77777777" w:rsidTr="002B3463">
        <w:tc>
          <w:tcPr>
            <w:tcW w:w="2405" w:type="dxa"/>
          </w:tcPr>
          <w:p w14:paraId="67C64BA5" w14:textId="503A7661" w:rsidR="00DE37D6" w:rsidRDefault="00DE37D6" w:rsidP="0018139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50F2A0" w14:textId="299CD44F" w:rsidR="00DE37D6" w:rsidRDefault="00DE37D6" w:rsidP="00A25B37">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r w:rsidR="002E5580">
              <w:rPr>
                <w:rFonts w:eastAsiaTheme="minorEastAsia"/>
                <w:sz w:val="20"/>
                <w:szCs w:val="20"/>
              </w:rPr>
              <w:t xml:space="preserve">The </w:t>
            </w:r>
            <w:r w:rsidR="00B50BB1">
              <w:rPr>
                <w:rFonts w:eastAsiaTheme="minorEastAsia"/>
                <w:sz w:val="20"/>
                <w:szCs w:val="20"/>
              </w:rPr>
              <w:t xml:space="preserve">use of non-zero slot offset </w:t>
            </w:r>
            <w:r w:rsidR="00A1587F">
              <w:rPr>
                <w:rFonts w:eastAsiaTheme="minorEastAsia"/>
                <w:sz w:val="20"/>
                <w:szCs w:val="20"/>
              </w:rPr>
              <w:t xml:space="preserve">allowed by Option 2 </w:t>
            </w:r>
            <w:r w:rsidR="00B50BB1">
              <w:rPr>
                <w:rFonts w:eastAsiaTheme="minorEastAsia"/>
                <w:sz w:val="20"/>
                <w:szCs w:val="20"/>
              </w:rPr>
              <w:t>is gNB implementation, it gives more flexibility and is future proof</w:t>
            </w:r>
            <w:r w:rsidR="003C2398">
              <w:rPr>
                <w:rFonts w:eastAsiaTheme="minorEastAsia"/>
                <w:sz w:val="20"/>
                <w:szCs w:val="20"/>
              </w:rPr>
              <w:t xml:space="preserve"> to currently unknown problems in operators networks. </w:t>
            </w:r>
          </w:p>
        </w:tc>
      </w:tr>
    </w:tbl>
    <w:p w14:paraId="000AA9EB" w14:textId="77777777" w:rsidR="002B3463" w:rsidRDefault="002B3463">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7F0A6F1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 xml:space="preserve">L </w:t>
      </w:r>
      <w:r w:rsidR="002A3253">
        <w:rPr>
          <w:rFonts w:eastAsia="微软雅黑"/>
          <w:b/>
          <w:i/>
          <w:sz w:val="20"/>
          <w:szCs w:val="20"/>
          <w:highlight w:val="yellow"/>
        </w:rPr>
        <w:t>P</w:t>
      </w:r>
      <w:r w:rsidRPr="00173D00">
        <w:rPr>
          <w:rFonts w:eastAsia="微软雅黑"/>
          <w:b/>
          <w:i/>
          <w:sz w:val="20"/>
          <w:szCs w:val="20"/>
          <w:highlight w:val="yellow"/>
        </w:rPr>
        <w:t>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ins w:id="2" w:author="ZTE" w:date="2021-02-04T19:10:00Z">
        <w:r w:rsidR="00475497">
          <w:rPr>
            <w:rFonts w:eastAsia="微软雅黑"/>
            <w:i/>
            <w:sz w:val="20"/>
            <w:szCs w:val="20"/>
          </w:rPr>
          <w:t xml:space="preserve"> the use cases, benefit and if need</w:t>
        </w:r>
      </w:ins>
      <w:ins w:id="3" w:author="ZTE" w:date="2021-02-04T19:16:00Z">
        <w:r w:rsidR="00912D5B">
          <w:rPr>
            <w:rFonts w:eastAsia="微软雅黑"/>
            <w:i/>
            <w:sz w:val="20"/>
            <w:szCs w:val="20"/>
          </w:rPr>
          <w:t>ed</w:t>
        </w:r>
      </w:ins>
      <w:bookmarkStart w:id="4" w:name="_GoBack"/>
      <w:bookmarkEnd w:id="4"/>
      <w:ins w:id="5" w:author="ZTE" w:date="2021-02-04T19:10:00Z">
        <w:r w:rsidR="00475497">
          <w:rPr>
            <w:rFonts w:eastAsia="微软雅黑"/>
            <w:i/>
            <w:sz w:val="20"/>
            <w:szCs w:val="20"/>
          </w:rPr>
          <w:t>, mechanism for</w:t>
        </w:r>
      </w:ins>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22CC764" w:rsidR="00B1097B" w:rsidRDefault="00F147C0" w:rsidP="00271E18">
      <w:pPr>
        <w:pStyle w:val="aff"/>
        <w:widowControl w:val="0"/>
        <w:numPr>
          <w:ilvl w:val="0"/>
          <w:numId w:val="14"/>
        </w:numPr>
        <w:snapToGrid w:val="0"/>
        <w:spacing w:before="120" w:after="120" w:line="240" w:lineRule="auto"/>
        <w:jc w:val="both"/>
        <w:rPr>
          <w:rFonts w:eastAsia="微软雅黑"/>
          <w:i/>
          <w:sz w:val="20"/>
          <w:szCs w:val="20"/>
        </w:rPr>
      </w:pPr>
      <w:ins w:id="6" w:author="ZTE" w:date="2021-02-04T19:13:00Z">
        <w:r>
          <w:rPr>
            <w:rFonts w:eastAsia="微软雅黑"/>
            <w:i/>
            <w:sz w:val="20"/>
            <w:szCs w:val="20"/>
          </w:rPr>
          <w:t>Potential u</w:t>
        </w:r>
      </w:ins>
      <w:ins w:id="7" w:author="ZTE" w:date="2021-02-04T19:12:00Z">
        <w:r>
          <w:rPr>
            <w:rFonts w:eastAsia="微软雅黑"/>
            <w:i/>
            <w:sz w:val="20"/>
            <w:szCs w:val="20"/>
          </w:rPr>
          <w:t xml:space="preserve">se cases to be </w:t>
        </w:r>
      </w:ins>
      <w:del w:id="8" w:author="ZTE" w:date="2021-02-04T19:12:00Z">
        <w:r w:rsidR="00B1097B" w:rsidDel="00F147C0">
          <w:rPr>
            <w:rFonts w:eastAsia="微软雅黑" w:hint="eastAsia"/>
            <w:i/>
            <w:sz w:val="20"/>
            <w:szCs w:val="20"/>
          </w:rPr>
          <w:delText>C</w:delText>
        </w:r>
        <w:r w:rsidR="00B1097B" w:rsidDel="00F147C0">
          <w:rPr>
            <w:rFonts w:eastAsia="微软雅黑"/>
            <w:i/>
            <w:sz w:val="20"/>
            <w:szCs w:val="20"/>
          </w:rPr>
          <w:delText xml:space="preserve">onsider </w:delText>
        </w:r>
      </w:del>
      <w:ins w:id="9" w:author="ZTE" w:date="2021-02-04T19:12:00Z">
        <w:r>
          <w:rPr>
            <w:rFonts w:eastAsia="微软雅黑"/>
            <w:i/>
            <w:sz w:val="20"/>
            <w:szCs w:val="20"/>
          </w:rPr>
          <w:t>c</w:t>
        </w:r>
        <w:r>
          <w:rPr>
            <w:rFonts w:eastAsia="微软雅黑"/>
            <w:i/>
            <w:sz w:val="20"/>
            <w:szCs w:val="20"/>
          </w:rPr>
          <w:t>onsider</w:t>
        </w:r>
        <w:r>
          <w:rPr>
            <w:rFonts w:eastAsia="微软雅黑"/>
            <w:i/>
            <w:sz w:val="20"/>
            <w:szCs w:val="20"/>
          </w:rPr>
          <w:t>ed</w:t>
        </w:r>
        <w:r>
          <w:rPr>
            <w:rFonts w:eastAsia="微软雅黑"/>
            <w:i/>
            <w:sz w:val="20"/>
            <w:szCs w:val="20"/>
          </w:rPr>
          <w:t xml:space="preserve"> </w:t>
        </w:r>
      </w:ins>
      <w:del w:id="10" w:author="ZTE" w:date="2021-02-04T19:11:00Z">
        <w:r w:rsidR="00B1097B" w:rsidDel="00F147C0">
          <w:rPr>
            <w:rFonts w:eastAsia="微软雅黑"/>
            <w:i/>
            <w:sz w:val="20"/>
            <w:szCs w:val="20"/>
          </w:rPr>
          <w:delText xml:space="preserve">use cases </w:delText>
        </w:r>
      </w:del>
      <w:del w:id="11" w:author="ZTE" w:date="2021-02-04T19:13:00Z">
        <w:r w:rsidR="00B1097B" w:rsidDel="00F147C0">
          <w:rPr>
            <w:rFonts w:eastAsia="微软雅黑"/>
            <w:i/>
            <w:sz w:val="20"/>
            <w:szCs w:val="20"/>
          </w:rPr>
          <w:delText xml:space="preserve">like </w:delText>
        </w:r>
      </w:del>
      <w:ins w:id="12" w:author="ZTE" w:date="2021-02-04T19:13:00Z">
        <w:r>
          <w:rPr>
            <w:rFonts w:eastAsia="微软雅黑"/>
            <w:i/>
            <w:sz w:val="20"/>
            <w:szCs w:val="20"/>
          </w:rPr>
          <w:t>:</w:t>
        </w:r>
        <w:r>
          <w:rPr>
            <w:rFonts w:eastAsia="微软雅黑"/>
            <w:i/>
            <w:sz w:val="20"/>
            <w:szCs w:val="20"/>
          </w:rPr>
          <w:t xml:space="preserve"> </w:t>
        </w:r>
      </w:ins>
      <w:r w:rsidR="00B1097B">
        <w:rPr>
          <w:rFonts w:eastAsia="微软雅黑"/>
          <w:i/>
          <w:sz w:val="20"/>
          <w:szCs w:val="20"/>
        </w:rPr>
        <w:t>UE power saving, NW overhea</w:t>
      </w:r>
      <w:r w:rsidR="001F0341">
        <w:rPr>
          <w:rFonts w:eastAsia="微软雅黑"/>
          <w:i/>
          <w:sz w:val="20"/>
          <w:szCs w:val="20"/>
        </w:rPr>
        <w:t>d saving, multi-panel UEs, etc.</w:t>
      </w:r>
      <w:r w:rsidR="00F02886">
        <w:rPr>
          <w:rFonts w:eastAsia="微软雅黑"/>
          <w:i/>
          <w:sz w:val="20"/>
          <w:szCs w:val="20"/>
        </w:rPr>
        <w:t xml:space="preserve"> </w:t>
      </w:r>
    </w:p>
    <w:p w14:paraId="1C1566E6" w14:textId="7ADF8E19" w:rsidR="00F02886" w:rsidRDefault="00F02886" w:rsidP="002B7677">
      <w:pPr>
        <w:pStyle w:val="aff"/>
        <w:widowControl w:val="0"/>
        <w:numPr>
          <w:ilvl w:val="1"/>
          <w:numId w:val="14"/>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微软雅黑"/>
          <w:sz w:val="20"/>
          <w:szCs w:val="20"/>
        </w:rPr>
      </w:pPr>
    </w:p>
    <w:p w14:paraId="5444CBDA" w14:textId="1EF6D08F" w:rsidR="00F02580" w:rsidRDefault="00F02580" w:rsidP="00F4549B">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w:t>
      </w:r>
      <w:r w:rsidR="00673894">
        <w:rPr>
          <w:rFonts w:eastAsiaTheme="minorEastAsia" w:hint="eastAsia"/>
          <w:sz w:val="20"/>
          <w:szCs w:val="20"/>
        </w:rPr>
        <w:t>S</w:t>
      </w:r>
      <w:r w:rsidR="00673894">
        <w:rPr>
          <w:rFonts w:eastAsiaTheme="minorEastAsia"/>
          <w:sz w:val="20"/>
          <w:szCs w:val="20"/>
        </w:rPr>
        <w:t xml:space="preserve">preadtrum, </w:t>
      </w:r>
      <w:r w:rsidR="00673894">
        <w:rPr>
          <w:rFonts w:eastAsiaTheme="minorEastAsia" w:hint="eastAsia"/>
          <w:sz w:val="20"/>
          <w:szCs w:val="20"/>
        </w:rPr>
        <w:t>L</w:t>
      </w:r>
      <w:r w:rsidR="00673894">
        <w:rPr>
          <w:rFonts w:eastAsiaTheme="minorEastAsia"/>
          <w:sz w:val="20"/>
          <w:szCs w:val="20"/>
        </w:rPr>
        <w:t xml:space="preserve">enovo, MotM,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iaomi, InterDigital, Qualcomm</w:t>
      </w:r>
      <w:r w:rsidR="00010BAD">
        <w:rPr>
          <w:rFonts w:eastAsiaTheme="minorEastAsia"/>
          <w:sz w:val="20"/>
          <w:szCs w:val="20"/>
        </w:rPr>
        <w:t>, ZTE</w:t>
      </w:r>
      <w:r w:rsidR="005149B8">
        <w:rPr>
          <w:rFonts w:eastAsiaTheme="minorEastAsia"/>
          <w:sz w:val="20"/>
          <w:szCs w:val="20"/>
        </w:rPr>
        <w:t>, Apple, Qualcomm, CATT</w:t>
      </w:r>
      <w:r w:rsidR="00C66192">
        <w:rPr>
          <w:rFonts w:eastAsiaTheme="minorEastAsia"/>
          <w:sz w:val="20"/>
          <w:szCs w:val="20"/>
        </w:rPr>
        <w:t>, Samsung</w:t>
      </w:r>
    </w:p>
    <w:p w14:paraId="1FEFD4F7" w14:textId="5D170B58" w:rsidR="00E93359" w:rsidRDefault="00E93359" w:rsidP="00F4549B">
      <w:pPr>
        <w:widowControl w:val="0"/>
        <w:snapToGrid w:val="0"/>
        <w:spacing w:before="120" w:after="120" w:line="240" w:lineRule="auto"/>
        <w:jc w:val="both"/>
        <w:rPr>
          <w:rFonts w:eastAsia="微软雅黑"/>
          <w:sz w:val="20"/>
          <w:szCs w:val="20"/>
        </w:rPr>
      </w:pPr>
      <w:r>
        <w:rPr>
          <w:rFonts w:eastAsiaTheme="minorEastAsia"/>
          <w:sz w:val="20"/>
          <w:szCs w:val="20"/>
        </w:rPr>
        <w:t xml:space="preserve">Concern: </w:t>
      </w:r>
      <w:r w:rsidR="008C4668">
        <w:rPr>
          <w:rFonts w:eastAsiaTheme="minorEastAsia"/>
          <w:sz w:val="20"/>
          <w:szCs w:val="20"/>
        </w:rPr>
        <w:t>vivo</w:t>
      </w:r>
      <w:r w:rsidR="000200CD">
        <w:rPr>
          <w:rFonts w:eastAsiaTheme="minorEastAsia"/>
          <w:sz w:val="20"/>
          <w:szCs w:val="20"/>
        </w:rPr>
        <w:t>, OPPO</w:t>
      </w:r>
    </w:p>
    <w:p w14:paraId="6E4D42E8" w14:textId="77777777" w:rsidR="00F02580" w:rsidRPr="00F4549B" w:rsidRDefault="00F02580"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03600" w14:paraId="6447C551" w14:textId="77777777" w:rsidTr="005A6125">
        <w:tc>
          <w:tcPr>
            <w:tcW w:w="2405" w:type="dxa"/>
            <w:shd w:val="clear" w:color="auto" w:fill="E2EFD9" w:themeFill="accent6" w:themeFillTint="33"/>
          </w:tcPr>
          <w:p w14:paraId="5FAF53CB" w14:textId="77777777" w:rsidR="00D03600" w:rsidRDefault="00D03600"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2E6E3B" w14:textId="77777777" w:rsidR="00D03600" w:rsidRDefault="00D03600"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03600" w14:paraId="177DD148" w14:textId="77777777" w:rsidTr="005A6125">
        <w:tc>
          <w:tcPr>
            <w:tcW w:w="2405" w:type="dxa"/>
          </w:tcPr>
          <w:p w14:paraId="3069A63E" w14:textId="181DF482" w:rsidR="00D03600" w:rsidRDefault="00901435"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08273B2" w14:textId="09235546" w:rsidR="00D03600" w:rsidRDefault="00901435" w:rsidP="005A6125">
            <w:pPr>
              <w:widowControl w:val="0"/>
              <w:snapToGrid w:val="0"/>
              <w:spacing w:before="120" w:after="120" w:line="240" w:lineRule="auto"/>
              <w:rPr>
                <w:rFonts w:eastAsia="微软雅黑"/>
                <w:sz w:val="20"/>
                <w:szCs w:val="20"/>
              </w:rPr>
            </w:pPr>
            <w:r>
              <w:rPr>
                <w:rFonts w:eastAsia="微软雅黑"/>
                <w:sz w:val="20"/>
                <w:szCs w:val="20"/>
              </w:rPr>
              <w:t>We still failed to see the use cases and benefits.</w:t>
            </w:r>
            <w:r w:rsidR="00DA52C5">
              <w:rPr>
                <w:rFonts w:eastAsia="微软雅黑"/>
                <w:sz w:val="20"/>
                <w:szCs w:val="20"/>
              </w:rPr>
              <w:t xml:space="preserve"> Could the proponents elaborate a bit on the use cases and benefits? </w:t>
            </w:r>
            <w:r>
              <w:rPr>
                <w:rFonts w:eastAsia="微软雅黑"/>
                <w:sz w:val="20"/>
                <w:szCs w:val="20"/>
              </w:rPr>
              <w:t xml:space="preserve">  Moreover, we have a couple of question</w:t>
            </w:r>
            <w:r w:rsidR="00DA52C5">
              <w:rPr>
                <w:rFonts w:eastAsia="微软雅黑"/>
                <w:sz w:val="20"/>
                <w:szCs w:val="20"/>
              </w:rPr>
              <w:t>s for clarification</w:t>
            </w:r>
          </w:p>
          <w:p w14:paraId="7B6A56E8" w14:textId="77777777" w:rsidR="00DA52C5" w:rsidRDefault="000E4324"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If power saving is the design target, we prefer to discus it in power saving session where companies can have a whole picture which mechanism(s) are most useful for power saving</w:t>
            </w:r>
          </w:p>
          <w:p w14:paraId="4573F254" w14:textId="4B77F968" w:rsidR="000E4324" w:rsidRDefault="000E4324"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what’s the relationship between antenna switching and multiple panels?  Why do we need some specific antenna switching design for multi-panel U</w:t>
            </w:r>
            <w:r w:rsidR="007E158D">
              <w:rPr>
                <w:rFonts w:eastAsia="微软雅黑"/>
                <w:sz w:val="20"/>
                <w:szCs w:val="20"/>
              </w:rPr>
              <w:t>e</w:t>
            </w:r>
            <w:r>
              <w:rPr>
                <w:rFonts w:eastAsia="微软雅黑"/>
                <w:sz w:val="20"/>
                <w:szCs w:val="20"/>
              </w:rPr>
              <w:t>s?</w:t>
            </w:r>
          </w:p>
          <w:p w14:paraId="030CB811" w14:textId="02973878" w:rsidR="0029595D" w:rsidRDefault="0029595D"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4</w:t>
            </w:r>
            <w:r w:rsidRPr="0029595D">
              <w:rPr>
                <w:rFonts w:eastAsia="微软雅黑"/>
                <w:sz w:val="20"/>
                <w:szCs w:val="20"/>
                <w:vertAlign w:val="superscript"/>
              </w:rPr>
              <w:t>th</w:t>
            </w:r>
            <w:r>
              <w:rPr>
                <w:rFonts w:eastAsia="微软雅黑"/>
                <w:sz w:val="20"/>
                <w:szCs w:val="20"/>
              </w:rPr>
              <w:t xml:space="preserve"> bullet: DL MIMO layer is indicated by NW. In Rel-15, NW has the flexibility to dynamically change the DL MIMO layers for transmission. </w:t>
            </w:r>
            <w:r w:rsidR="000D1600">
              <w:rPr>
                <w:rFonts w:eastAsia="微软雅黑"/>
                <w:sz w:val="20"/>
                <w:szCs w:val="20"/>
              </w:rPr>
              <w:t xml:space="preserve">Moreover, NR supports UE assistance information where UE can report the preferred DL/UL MIMO layers. </w:t>
            </w:r>
            <w:r>
              <w:rPr>
                <w:rFonts w:eastAsia="微软雅黑"/>
                <w:sz w:val="20"/>
                <w:szCs w:val="20"/>
              </w:rPr>
              <w:t>What’s the spec impact of this bullet?</w:t>
            </w:r>
          </w:p>
          <w:p w14:paraId="601B6EFD" w14:textId="26D3BD3F" w:rsidR="0029595D" w:rsidRPr="00DA52C5" w:rsidRDefault="0029595D"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5</w:t>
            </w:r>
            <w:r w:rsidRPr="0029595D">
              <w:rPr>
                <w:rFonts w:eastAsia="微软雅黑"/>
                <w:sz w:val="20"/>
                <w:szCs w:val="20"/>
                <w:vertAlign w:val="superscript"/>
              </w:rPr>
              <w:t>th</w:t>
            </w:r>
            <w:r>
              <w:rPr>
                <w:rFonts w:eastAsia="微软雅黑"/>
                <w:sz w:val="20"/>
                <w:szCs w:val="20"/>
              </w:rPr>
              <w:t xml:space="preserve"> bullet: What is “</w:t>
            </w:r>
            <w:r>
              <w:rPr>
                <w:rFonts w:eastAsia="微软雅黑"/>
                <w:i/>
                <w:sz w:val="20"/>
                <w:szCs w:val="20"/>
              </w:rPr>
              <w:t>UE reporting</w:t>
            </w:r>
            <w:r>
              <w:rPr>
                <w:rFonts w:eastAsia="微软雅黑"/>
                <w:sz w:val="20"/>
                <w:szCs w:val="20"/>
              </w:rPr>
              <w:t xml:space="preserve">” referring to here? UE capability or something else?  </w:t>
            </w:r>
            <w:r w:rsidR="009F077F">
              <w:rPr>
                <w:rFonts w:eastAsia="微软雅黑"/>
                <w:sz w:val="20"/>
                <w:szCs w:val="20"/>
              </w:rPr>
              <w:t xml:space="preserve">The Rx/Tx antenna number seems related to the MIMO layers that can be recommend via UE assistance information. </w:t>
            </w:r>
          </w:p>
        </w:tc>
      </w:tr>
      <w:tr w:rsidR="0001098C" w14:paraId="299A3C05" w14:textId="77777777" w:rsidTr="005A6125">
        <w:tc>
          <w:tcPr>
            <w:tcW w:w="2405" w:type="dxa"/>
          </w:tcPr>
          <w:p w14:paraId="50D263D0" w14:textId="43EF16FE"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4C064B" w14:textId="6A9E01CB" w:rsidR="0001098C" w:rsidRPr="0001098C" w:rsidRDefault="0001098C" w:rsidP="00246F09">
            <w:pPr>
              <w:widowControl w:val="0"/>
              <w:snapToGrid w:val="0"/>
              <w:spacing w:before="120" w:after="120" w:line="240" w:lineRule="auto"/>
              <w:rPr>
                <w:rFonts w:eastAsia="微软雅黑"/>
                <w:sz w:val="20"/>
                <w:szCs w:val="20"/>
                <w:lang w:eastAsia="ko-KR"/>
              </w:rPr>
            </w:pPr>
            <w:r w:rsidRPr="0001098C">
              <w:rPr>
                <w:rFonts w:eastAsia="微软雅黑" w:hint="eastAsia"/>
                <w:sz w:val="20"/>
                <w:szCs w:val="20"/>
              </w:rPr>
              <w:t>N</w:t>
            </w:r>
            <w:r w:rsidRPr="0001098C">
              <w:rPr>
                <w:rFonts w:eastAsia="微软雅黑"/>
                <w:sz w:val="20"/>
                <w:szCs w:val="20"/>
              </w:rPr>
              <w:t>ot positive on this issue, but fine for study.</w:t>
            </w:r>
          </w:p>
        </w:tc>
      </w:tr>
      <w:tr w:rsidR="00D03600" w14:paraId="1639DC7F" w14:textId="77777777" w:rsidTr="005A6125">
        <w:tc>
          <w:tcPr>
            <w:tcW w:w="2405" w:type="dxa"/>
          </w:tcPr>
          <w:p w14:paraId="1CFD5E51" w14:textId="6FC8B745" w:rsidR="00D03600"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CF48E40"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071022">
            <w:pPr>
              <w:pStyle w:val="aff"/>
              <w:widowControl w:val="0"/>
              <w:numPr>
                <w:ilvl w:val="0"/>
                <w:numId w:val="46"/>
              </w:numPr>
              <w:snapToGrid w:val="0"/>
              <w:spacing w:before="120" w:after="120" w:line="240" w:lineRule="auto"/>
              <w:rPr>
                <w:rFonts w:eastAsiaTheme="minorEastAsia"/>
                <w:sz w:val="20"/>
                <w:szCs w:val="20"/>
              </w:rPr>
            </w:pPr>
            <w:r w:rsidRPr="00071022">
              <w:rPr>
                <w:rFonts w:eastAsia="微软雅黑"/>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16B9F48B" w:rsidR="007E158D" w:rsidRDefault="007E158D"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We are fine with DL proposal</w:t>
            </w:r>
            <w:r w:rsidR="00973828">
              <w:rPr>
                <w:rFonts w:eastAsiaTheme="minorEastAsia"/>
                <w:sz w:val="20"/>
                <w:szCs w:val="20"/>
              </w:rPr>
              <w:tab/>
            </w:r>
          </w:p>
        </w:tc>
      </w:tr>
      <w:tr w:rsidR="00973828" w14:paraId="699C7457" w14:textId="77777777" w:rsidTr="000B47D2">
        <w:tc>
          <w:tcPr>
            <w:tcW w:w="2405" w:type="dxa"/>
          </w:tcPr>
          <w:p w14:paraId="2E2C3306" w14:textId="78E128D5"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70AE4BBD" w14:textId="2B46D397" w:rsidR="00973828" w:rsidRDefault="00973828"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Support FL proposal for the study</w:t>
            </w:r>
            <w:r w:rsidR="00513570">
              <w:rPr>
                <w:rFonts w:eastAsiaTheme="minorEastAsia"/>
                <w:sz w:val="20"/>
                <w:szCs w:val="20"/>
              </w:rPr>
              <w:t xml:space="preserve">. </w:t>
            </w:r>
          </w:p>
        </w:tc>
      </w:tr>
      <w:tr w:rsidR="00A03198" w14:paraId="19064F88" w14:textId="77777777" w:rsidTr="000B47D2">
        <w:tc>
          <w:tcPr>
            <w:tcW w:w="2405" w:type="dxa"/>
          </w:tcPr>
          <w:p w14:paraId="2FF99708" w14:textId="46F0E8F2" w:rsidR="00A03198" w:rsidRDefault="00A03198" w:rsidP="00973828">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6FA8E04" w14:textId="7482E27E" w:rsidR="00866472" w:rsidRDefault="00866472" w:rsidP="00973828">
            <w:pPr>
              <w:widowControl w:val="0"/>
              <w:tabs>
                <w:tab w:val="center" w:pos="3364"/>
              </w:tabs>
              <w:snapToGrid w:val="0"/>
              <w:spacing w:before="120" w:after="120" w:line="240" w:lineRule="auto"/>
              <w:rPr>
                <w:rFonts w:eastAsia="微软雅黑"/>
                <w:sz w:val="20"/>
                <w:szCs w:val="20"/>
                <w:lang w:eastAsia="ko-KR"/>
              </w:rPr>
            </w:pPr>
            <w:r>
              <w:rPr>
                <w:rFonts w:eastAsia="微软雅黑"/>
                <w:sz w:val="20"/>
                <w:szCs w:val="20"/>
                <w:lang w:eastAsia="ko-KR"/>
              </w:rPr>
              <w:t>We see some companies suggesting power saving as a motivation, but some other companies disagree. Could the proponents for this feature clarify?</w:t>
            </w:r>
          </w:p>
          <w:p w14:paraId="1523C9ED" w14:textId="21E01BF8" w:rsidR="00A03198" w:rsidRDefault="00866472" w:rsidP="00973828">
            <w:pPr>
              <w:widowControl w:val="0"/>
              <w:tabs>
                <w:tab w:val="center" w:pos="3364"/>
              </w:tabs>
              <w:snapToGrid w:val="0"/>
              <w:spacing w:before="120" w:after="120" w:line="240" w:lineRule="auto"/>
              <w:rPr>
                <w:rFonts w:eastAsiaTheme="minorEastAsia"/>
                <w:sz w:val="20"/>
                <w:szCs w:val="20"/>
              </w:rPr>
            </w:pPr>
            <w:r>
              <w:rPr>
                <w:rFonts w:eastAsia="微软雅黑"/>
                <w:sz w:val="20"/>
                <w:szCs w:val="20"/>
                <w:lang w:eastAsia="ko-KR"/>
              </w:rPr>
              <w:t xml:space="preserve">@Intel: </w:t>
            </w:r>
            <w:r w:rsidR="00A03198">
              <w:rPr>
                <w:rFonts w:eastAsia="微软雅黑"/>
                <w:sz w:val="20"/>
                <w:szCs w:val="20"/>
                <w:lang w:eastAsia="ko-KR"/>
              </w:rPr>
              <w:t xml:space="preserve">We described a CSI issue for antenna switching. That is, when the UE antenna configuration changes, the wireless channels and hence CSI change abruptly. </w:t>
            </w:r>
            <w:r>
              <w:rPr>
                <w:rFonts w:eastAsia="微软雅黑"/>
                <w:sz w:val="20"/>
                <w:szCs w:val="20"/>
                <w:lang w:eastAsia="ko-KR"/>
              </w:rPr>
              <w:t xml:space="preserve">For example, with 2 Rx antenna ports or with 8 Rx antenna ports, the channel H, PMI, RI, CQI, etc., can be all different. How to resolve this CSI issue depends on various factors, such as how often the switching occurs, but unfortunately, this is not clear </w:t>
            </w:r>
            <w:r w:rsidR="00B93BD3">
              <w:rPr>
                <w:rFonts w:eastAsia="微软雅黑"/>
                <w:sz w:val="20"/>
                <w:szCs w:val="20"/>
                <w:lang w:eastAsia="ko-KR"/>
              </w:rPr>
              <w:t>yet</w:t>
            </w:r>
            <w:r>
              <w:rPr>
                <w:rFonts w:eastAsia="微软雅黑"/>
                <w:sz w:val="20"/>
                <w:szCs w:val="20"/>
                <w:lang w:eastAsia="ko-KR"/>
              </w:rPr>
              <w:t xml:space="preserve"> as the motivation/</w:t>
            </w:r>
            <w:r w:rsidR="00B93BD3">
              <w:rPr>
                <w:rFonts w:eastAsia="微软雅黑"/>
                <w:sz w:val="20"/>
                <w:szCs w:val="20"/>
                <w:lang w:eastAsia="ko-KR"/>
              </w:rPr>
              <w:t>target use cases</w:t>
            </w:r>
            <w:r>
              <w:rPr>
                <w:rFonts w:eastAsia="微软雅黑"/>
                <w:sz w:val="20"/>
                <w:szCs w:val="20"/>
                <w:lang w:eastAsia="ko-KR"/>
              </w:rPr>
              <w:t xml:space="preserve"> ha</w:t>
            </w:r>
            <w:r w:rsidR="00B93BD3">
              <w:rPr>
                <w:rFonts w:eastAsia="微软雅黑"/>
                <w:sz w:val="20"/>
                <w:szCs w:val="20"/>
                <w:lang w:eastAsia="ko-KR"/>
              </w:rPr>
              <w:t>ve</w:t>
            </w:r>
            <w:r>
              <w:rPr>
                <w:rFonts w:eastAsia="微软雅黑"/>
                <w:sz w:val="20"/>
                <w:szCs w:val="20"/>
                <w:lang w:eastAsia="ko-KR"/>
              </w:rPr>
              <w:t xml:space="preserve"> not been clarified. This issue has to be addressed, otherwise this feature may not work.</w:t>
            </w:r>
          </w:p>
        </w:tc>
      </w:tr>
      <w:tr w:rsidR="00181398" w14:paraId="379275DE" w14:textId="77777777" w:rsidTr="000B47D2">
        <w:tc>
          <w:tcPr>
            <w:tcW w:w="2405" w:type="dxa"/>
          </w:tcPr>
          <w:p w14:paraId="65E81473" w14:textId="369665E1" w:rsidR="00181398" w:rsidRPr="00181398" w:rsidRDefault="00181398" w:rsidP="0097382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3657DA9" w14:textId="45280049" w:rsidR="00181398" w:rsidRPr="00181398" w:rsidRDefault="00181398" w:rsidP="00973828">
            <w:pPr>
              <w:widowControl w:val="0"/>
              <w:tabs>
                <w:tab w:val="center" w:pos="3364"/>
              </w:tabs>
              <w:snapToGrid w:val="0"/>
              <w:spacing w:before="120" w:after="120" w:line="240" w:lineRule="auto"/>
              <w:rPr>
                <w:rFonts w:eastAsia="Malgun Gothic"/>
                <w:sz w:val="20"/>
                <w:szCs w:val="20"/>
                <w:lang w:eastAsia="ko-KR"/>
              </w:rPr>
            </w:pPr>
            <w:r>
              <w:rPr>
                <w:rFonts w:eastAsia="Malgun Gothic" w:hint="eastAsia"/>
                <w:sz w:val="20"/>
                <w:szCs w:val="20"/>
                <w:lang w:eastAsia="ko-KR"/>
              </w:rPr>
              <w:t>We are ok with FL</w:t>
            </w:r>
            <w:r>
              <w:rPr>
                <w:rFonts w:eastAsia="Malgun Gothic"/>
                <w:sz w:val="20"/>
                <w:szCs w:val="20"/>
                <w:lang w:eastAsia="ko-KR"/>
              </w:rPr>
              <w:t>’s proposal</w:t>
            </w:r>
          </w:p>
        </w:tc>
      </w:tr>
      <w:tr w:rsidR="00666745" w14:paraId="79D901D1" w14:textId="77777777" w:rsidTr="000B47D2">
        <w:tc>
          <w:tcPr>
            <w:tcW w:w="2405" w:type="dxa"/>
          </w:tcPr>
          <w:p w14:paraId="38621BBF" w14:textId="15279EDF" w:rsidR="00666745" w:rsidRPr="00666745" w:rsidRDefault="00666745" w:rsidP="0097382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F4D66" w14:textId="4B988953" w:rsidR="00666745" w:rsidRPr="000730F0" w:rsidRDefault="000730F0" w:rsidP="000730F0">
            <w:pPr>
              <w:widowControl w:val="0"/>
              <w:tabs>
                <w:tab w:val="center" w:pos="3364"/>
              </w:tabs>
              <w:snapToGrid w:val="0"/>
              <w:spacing w:before="120" w:after="120" w:line="240" w:lineRule="auto"/>
              <w:rPr>
                <w:rFonts w:eastAsiaTheme="minorEastAsia"/>
                <w:sz w:val="20"/>
                <w:szCs w:val="20"/>
              </w:rPr>
            </w:pPr>
            <w:r>
              <w:rPr>
                <w:rFonts w:eastAsiaTheme="minorEastAsia" w:hint="eastAsia"/>
                <w:sz w:val="20"/>
                <w:szCs w:val="20"/>
              </w:rPr>
              <w:t>We are ok with the proposal for study.</w:t>
            </w:r>
          </w:p>
        </w:tc>
      </w:tr>
      <w:tr w:rsidR="00A1587F" w14:paraId="0E6FC6EE" w14:textId="77777777" w:rsidTr="000B47D2">
        <w:tc>
          <w:tcPr>
            <w:tcW w:w="2405" w:type="dxa"/>
          </w:tcPr>
          <w:p w14:paraId="6DA65CB9" w14:textId="28029A70" w:rsidR="00A1587F" w:rsidRDefault="00A1587F" w:rsidP="0097382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2400E42" w14:textId="09BB53BE" w:rsidR="00A1587F" w:rsidRDefault="00F9484D" w:rsidP="000730F0">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 xml:space="preserve">Support the FL proposal. </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3-2</w:t>
      </w:r>
      <w:r w:rsidRPr="00F96F20">
        <w:rPr>
          <w:rFonts w:eastAsia="微软雅黑"/>
          <w:b/>
          <w:i/>
          <w:sz w:val="20"/>
          <w:szCs w:val="20"/>
          <w:highlight w:val="yellow"/>
        </w:rPr>
        <w:t>:</w:t>
      </w:r>
      <w:r>
        <w:rPr>
          <w:rFonts w:eastAsia="微软雅黑"/>
          <w:i/>
          <w:sz w:val="20"/>
          <w:szCs w:val="20"/>
        </w:rPr>
        <w:t xml:space="preserve"> </w:t>
      </w:r>
      <w:r w:rsidRPr="00752122">
        <w:rPr>
          <w:rFonts w:eastAsia="微软雅黑"/>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微软雅黑"/>
          <w:sz w:val="20"/>
          <w:szCs w:val="20"/>
        </w:rPr>
      </w:pPr>
    </w:p>
    <w:p w14:paraId="7615992A" w14:textId="17E17C86" w:rsidR="0016446D" w:rsidRDefault="007753FC" w:rsidP="0016446D">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ed by </w:t>
      </w:r>
      <w:r w:rsidR="005C65AE">
        <w:rPr>
          <w:rFonts w:eastAsia="微软雅黑"/>
          <w:sz w:val="20"/>
          <w:szCs w:val="20"/>
        </w:rPr>
        <w:t xml:space="preserve">OPPO, Spreadtrum, </w:t>
      </w:r>
      <w:r w:rsidR="005C65AE">
        <w:rPr>
          <w:rFonts w:eastAsia="微软雅黑" w:hint="eastAsia"/>
          <w:sz w:val="20"/>
          <w:szCs w:val="20"/>
        </w:rPr>
        <w:t>L</w:t>
      </w:r>
      <w:r w:rsidR="005C65AE">
        <w:rPr>
          <w:rFonts w:eastAsia="微软雅黑"/>
          <w:sz w:val="20"/>
          <w:szCs w:val="20"/>
        </w:rPr>
        <w:t xml:space="preserve">enovo, MotM, </w:t>
      </w:r>
      <w:r w:rsidR="00227F2D">
        <w:rPr>
          <w:rFonts w:eastAsia="Malgun Gothic"/>
          <w:sz w:val="20"/>
          <w:szCs w:val="20"/>
          <w:lang w:eastAsia="ko-KR"/>
        </w:rPr>
        <w:t xml:space="preserve">Nokia, NSB, </w:t>
      </w:r>
      <w:r w:rsidR="00227F2D">
        <w:rPr>
          <w:rFonts w:eastAsia="微软雅黑" w:hint="eastAsia"/>
          <w:sz w:val="20"/>
          <w:szCs w:val="20"/>
        </w:rPr>
        <w:t>N</w:t>
      </w:r>
      <w:r w:rsidR="00227F2D">
        <w:rPr>
          <w:rFonts w:eastAsia="微软雅黑"/>
          <w:sz w:val="20"/>
          <w:szCs w:val="20"/>
        </w:rPr>
        <w:t>EC,</w:t>
      </w:r>
      <w:r w:rsidR="00F500F7">
        <w:rPr>
          <w:rFonts w:eastAsia="微软雅黑"/>
          <w:sz w:val="20"/>
          <w:szCs w:val="20"/>
        </w:rPr>
        <w:t xml:space="preserve"> Intel, Xiaomi, InterDigital, </w:t>
      </w:r>
      <w:r w:rsidR="00DC25CA">
        <w:rPr>
          <w:rFonts w:eastAsia="微软雅黑"/>
          <w:sz w:val="20"/>
          <w:szCs w:val="20"/>
        </w:rPr>
        <w:t xml:space="preserve">Qualcomm, </w:t>
      </w:r>
      <w:r w:rsidR="006E7F13">
        <w:rPr>
          <w:rFonts w:eastAsia="微软雅黑"/>
          <w:sz w:val="20"/>
          <w:szCs w:val="20"/>
        </w:rPr>
        <w:t>NTT DOCOMO, CMCC</w:t>
      </w:r>
    </w:p>
    <w:p w14:paraId="369417FA" w14:textId="73F01287" w:rsidR="007753FC" w:rsidRDefault="002E78A1" w:rsidP="001644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oncern: </w:t>
      </w:r>
      <w:r w:rsidR="00623599">
        <w:rPr>
          <w:rFonts w:eastAsia="微软雅黑"/>
          <w:sz w:val="20"/>
          <w:szCs w:val="20"/>
        </w:rPr>
        <w:t>Futurewei, vivo, Huawei, HiSilicon, Ericsson</w:t>
      </w:r>
      <w:r w:rsidR="00B76820">
        <w:rPr>
          <w:rFonts w:eastAsia="微软雅黑"/>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微软雅黑"/>
          <w:sz w:val="20"/>
          <w:szCs w:val="20"/>
        </w:rPr>
      </w:pPr>
    </w:p>
    <w:p w14:paraId="35A1DD50" w14:textId="77777777" w:rsidR="0016446D" w:rsidRDefault="0016446D" w:rsidP="0016446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874"/>
        <w:gridCol w:w="7476"/>
      </w:tblGrid>
      <w:tr w:rsidR="00D963F2" w14:paraId="278EFB36" w14:textId="77777777" w:rsidTr="001B7B2F">
        <w:tc>
          <w:tcPr>
            <w:tcW w:w="1874" w:type="dxa"/>
            <w:shd w:val="clear" w:color="auto" w:fill="E2EFD9" w:themeFill="accent6" w:themeFillTint="33"/>
          </w:tcPr>
          <w:p w14:paraId="77D8CCAF" w14:textId="77777777" w:rsidR="00D963F2" w:rsidRDefault="00D963F2"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476" w:type="dxa"/>
            <w:shd w:val="clear" w:color="auto" w:fill="E2EFD9" w:themeFill="accent6" w:themeFillTint="33"/>
          </w:tcPr>
          <w:p w14:paraId="53315B78" w14:textId="77777777" w:rsidR="00D963F2" w:rsidRDefault="00D963F2"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963F2" w14:paraId="248AA769" w14:textId="77777777" w:rsidTr="001B7B2F">
        <w:tc>
          <w:tcPr>
            <w:tcW w:w="1874" w:type="dxa"/>
          </w:tcPr>
          <w:p w14:paraId="334820AF" w14:textId="038239E9" w:rsidR="00D963F2" w:rsidRDefault="00D35C3A"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7476" w:type="dxa"/>
          </w:tcPr>
          <w:p w14:paraId="711A99C9" w14:textId="0DDE60C8" w:rsidR="00D963F2" w:rsidRDefault="00D35C3A" w:rsidP="005A6125">
            <w:pPr>
              <w:widowControl w:val="0"/>
              <w:snapToGrid w:val="0"/>
              <w:spacing w:before="120" w:after="120" w:line="240" w:lineRule="auto"/>
              <w:rPr>
                <w:rFonts w:eastAsia="微软雅黑"/>
                <w:sz w:val="20"/>
                <w:szCs w:val="20"/>
              </w:rPr>
            </w:pPr>
            <w:r>
              <w:rPr>
                <w:rFonts w:eastAsia="微软雅黑"/>
                <w:sz w:val="20"/>
                <w:szCs w:val="20"/>
              </w:rPr>
              <w:t>Ok with the proposal</w:t>
            </w:r>
          </w:p>
        </w:tc>
      </w:tr>
      <w:tr w:rsidR="0001098C" w14:paraId="6CB0B630" w14:textId="77777777" w:rsidTr="001B7B2F">
        <w:tc>
          <w:tcPr>
            <w:tcW w:w="1874" w:type="dxa"/>
          </w:tcPr>
          <w:p w14:paraId="7645367E" w14:textId="4810670F" w:rsidR="0001098C" w:rsidRDefault="0001098C" w:rsidP="000109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For QC’s Tdoc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Tdoc,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what’s the benefits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微软雅黑"/>
                <w:sz w:val="20"/>
                <w:szCs w:val="20"/>
                <w:lang w:eastAsia="ko-KR"/>
              </w:rPr>
            </w:pPr>
            <w:r>
              <w:rPr>
                <w:rFonts w:eastAsiaTheme="minorEastAsia"/>
                <w:sz w:val="20"/>
                <w:szCs w:val="20"/>
              </w:rPr>
              <w:t xml:space="preserve">4. In the simulation provided by QC, although we do not know the exact antenna mapping </w:t>
            </w:r>
            <w:r>
              <w:rPr>
                <w:rFonts w:eastAsiaTheme="minorEastAsia"/>
                <w:sz w:val="20"/>
                <w:szCs w:val="20"/>
              </w:rPr>
              <w:lastRenderedPageBreak/>
              <w:t xml:space="preserve">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B7B2F">
        <w:tc>
          <w:tcPr>
            <w:tcW w:w="1874" w:type="dxa"/>
          </w:tcPr>
          <w:p w14:paraId="524A43E0" w14:textId="56F63A65"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7476" w:type="dxa"/>
          </w:tcPr>
          <w:p w14:paraId="061ACCB5" w14:textId="6218A56C"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1B7B2F">
        <w:tc>
          <w:tcPr>
            <w:tcW w:w="1874" w:type="dxa"/>
          </w:tcPr>
          <w:p w14:paraId="081CF5F1"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7476" w:type="dxa"/>
          </w:tcPr>
          <w:p w14:paraId="577DB772"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tc>
      </w:tr>
      <w:tr w:rsidR="004B13E0" w14:paraId="73F16E62" w14:textId="77777777" w:rsidTr="001B7B2F">
        <w:tc>
          <w:tcPr>
            <w:tcW w:w="1874" w:type="dxa"/>
          </w:tcPr>
          <w:p w14:paraId="55675A04" w14:textId="7C003F4C"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476" w:type="dxa"/>
          </w:tcPr>
          <w:p w14:paraId="78F541FD" w14:textId="0B5A3367"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r w:rsidR="00973828" w14:paraId="0AFEDB7B" w14:textId="77777777" w:rsidTr="001B7B2F">
        <w:tc>
          <w:tcPr>
            <w:tcW w:w="1874" w:type="dxa"/>
          </w:tcPr>
          <w:p w14:paraId="0FFCB319" w14:textId="7C1A268A"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7476" w:type="dxa"/>
          </w:tcPr>
          <w:p w14:paraId="0ED3E029"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14B4F5F"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 xml:space="preserve">Thanks to Huawei for the questions and constructive discussion! </w:t>
            </w:r>
          </w:p>
          <w:p w14:paraId="7130DE7A" w14:textId="49CB14B5"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There could different implementation for such RF switching network. One implementation could be based on 3x3 RF switch </w:t>
            </w:r>
            <w:r w:rsidR="00513570">
              <w:rPr>
                <w:rFonts w:eastAsiaTheme="minorEastAsia"/>
                <w:sz w:val="20"/>
                <w:szCs w:val="20"/>
              </w:rPr>
              <w:t>with</w:t>
            </w:r>
            <w:r>
              <w:rPr>
                <w:rFonts w:eastAsiaTheme="minorEastAsia"/>
                <w:sz w:val="20"/>
                <w:szCs w:val="20"/>
              </w:rPr>
              <w:t xml:space="preserve"> one of the inputs is terminated. Such RF switch is commonly used by UE vendors for SRS switching and is supplied by several RF-FE vendors (e.g., Skyworks, Qorvo, etc.,).</w:t>
            </w:r>
          </w:p>
          <w:p w14:paraId="7AD3EEF8" w14:textId="77777777" w:rsidR="00973828" w:rsidRDefault="00973828" w:rsidP="00513570">
            <w:pPr>
              <w:widowControl w:val="0"/>
              <w:snapToGrid w:val="0"/>
              <w:spacing w:before="120" w:after="120" w:line="240" w:lineRule="auto"/>
              <w:ind w:left="360"/>
              <w:jc w:val="center"/>
            </w:pPr>
            <w:r>
              <w:object w:dxaOrig="5482" w:dyaOrig="3650" w14:anchorId="12457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82.05pt" o:ole="">
                  <v:imagedata r:id="rId16" o:title=""/>
                </v:shape>
                <o:OLEObject Type="Embed" ProgID="Visio.Drawing.11" ShapeID="_x0000_i1025" DrawAspect="Content" ObjectID="_1673971384" r:id="rId17"/>
              </w:object>
            </w:r>
          </w:p>
          <w:p w14:paraId="2F839BA7" w14:textId="77777777"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Based on this RF part, the insertion loss has a typical value of 1.18 and maximum of 1.44 dB for n78 band (3.3 to 3.8 GHz). In our analysis, we considered a 1.44 dB insertion loss (worst case) for all antenna ports.</w:t>
            </w:r>
          </w:p>
          <w:p w14:paraId="66F71D5F" w14:textId="77777777"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We are open consider (4+4) or (4+2) configuration which save on SRS resource overhead compared to 4+4+4. </w:t>
            </w:r>
          </w:p>
          <w:p w14:paraId="312EBF32" w14:textId="6450A448" w:rsidR="00973828" w:rsidRPr="00542607" w:rsidRDefault="00973828" w:rsidP="00973828">
            <w:pPr>
              <w:pStyle w:val="aff"/>
              <w:widowControl w:val="0"/>
              <w:numPr>
                <w:ilvl w:val="0"/>
                <w:numId w:val="48"/>
              </w:numPr>
              <w:snapToGrid w:val="0"/>
              <w:spacing w:before="120" w:after="120" w:line="240" w:lineRule="auto"/>
              <w:rPr>
                <w:rFonts w:eastAsiaTheme="minorEastAsia"/>
                <w:sz w:val="20"/>
                <w:szCs w:val="20"/>
              </w:rPr>
            </w:pPr>
            <w:r w:rsidRPr="00542607">
              <w:rPr>
                <w:rFonts w:eastAsiaTheme="minorEastAsia"/>
                <w:sz w:val="20"/>
                <w:szCs w:val="20"/>
              </w:rPr>
              <w:t>In genera</w:t>
            </w:r>
            <w:r>
              <w:rPr>
                <w:rFonts w:eastAsiaTheme="minorEastAsia"/>
                <w:sz w:val="20"/>
                <w:szCs w:val="20"/>
              </w:rPr>
              <w:t xml:space="preserve">l, </w:t>
            </w:r>
            <w:r w:rsidRPr="00542607">
              <w:rPr>
                <w:rFonts w:eastAsiaTheme="minorEastAsia"/>
                <w:sz w:val="20"/>
                <w:szCs w:val="20"/>
              </w:rPr>
              <w:t xml:space="preserve">there is tradeoff between 1TyR/2TyR </w:t>
            </w:r>
            <w:r w:rsidR="00513570">
              <w:rPr>
                <w:rFonts w:eastAsiaTheme="minorEastAsia"/>
                <w:sz w:val="20"/>
                <w:szCs w:val="20"/>
              </w:rPr>
              <w:t>and</w:t>
            </w:r>
            <w:r w:rsidRPr="00542607">
              <w:rPr>
                <w:rFonts w:eastAsiaTheme="minorEastAsia"/>
                <w:sz w:val="20"/>
                <w:szCs w:val="20"/>
              </w:rPr>
              <w:t xml:space="preserve"> 4TyR depending on SRS periodicity and mobility. It is not only for </w:t>
            </w:r>
            <w:r>
              <w:rPr>
                <w:rFonts w:eastAsiaTheme="minorEastAsia"/>
                <w:sz w:val="20"/>
                <w:szCs w:val="20"/>
              </w:rPr>
              <w:t>4</w:t>
            </w:r>
            <w:r w:rsidRPr="00542607">
              <w:rPr>
                <w:rFonts w:eastAsiaTheme="minorEastAsia"/>
                <w:sz w:val="20"/>
                <w:szCs w:val="20"/>
              </w:rPr>
              <w:t xml:space="preserve">T6R. In the appendix in our tdco, </w:t>
            </w:r>
            <w:r w:rsidR="00513570">
              <w:rPr>
                <w:rFonts w:eastAsiaTheme="minorEastAsia"/>
                <w:sz w:val="20"/>
                <w:szCs w:val="20"/>
              </w:rPr>
              <w:t>we showed</w:t>
            </w:r>
            <w:r>
              <w:rPr>
                <w:rFonts w:eastAsiaTheme="minorEastAsia"/>
                <w:sz w:val="20"/>
                <w:szCs w:val="20"/>
              </w:rPr>
              <w:t xml:space="preserve"> results show that 4T8R is inferior to 1T8R and 2T8R at low mobility. This is due to power gain for 1T8R (6dB) compared to 4T8R. The situation is totally different for high mobility where 4T8R/4T6R outperform due to channel again and decorrelation for 1T8R/1T6R.</w:t>
            </w:r>
          </w:p>
          <w:p w14:paraId="6969BA67" w14:textId="77777777"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lastRenderedPageBreak/>
              <w:drawing>
                <wp:inline distT="0" distB="0" distL="0" distR="0" wp14:anchorId="4173CE89" wp14:editId="12C72900">
                  <wp:extent cx="4509184" cy="19496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7520" cy="1953248"/>
                          </a:xfrm>
                          <a:prstGeom prst="rect">
                            <a:avLst/>
                          </a:prstGeom>
                        </pic:spPr>
                      </pic:pic>
                    </a:graphicData>
                  </a:graphic>
                </wp:inline>
              </w:drawing>
            </w:r>
          </w:p>
          <w:p w14:paraId="6C6F7596" w14:textId="1820E813"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drawing>
                <wp:inline distT="0" distB="0" distL="0" distR="0" wp14:anchorId="7D7CA68F" wp14:editId="320EB9AE">
                  <wp:extent cx="4609581" cy="2088101"/>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17507" cy="2091691"/>
                          </a:xfrm>
                          <a:prstGeom prst="rect">
                            <a:avLst/>
                          </a:prstGeom>
                        </pic:spPr>
                      </pic:pic>
                    </a:graphicData>
                  </a:graphic>
                </wp:inline>
              </w:drawing>
            </w:r>
          </w:p>
        </w:tc>
      </w:tr>
      <w:tr w:rsidR="001B7B2F" w14:paraId="1FB9E959" w14:textId="77777777" w:rsidTr="001B7B2F">
        <w:tc>
          <w:tcPr>
            <w:tcW w:w="1874" w:type="dxa"/>
          </w:tcPr>
          <w:p w14:paraId="4A8F2EE8" w14:textId="08E6E5BA"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7476" w:type="dxa"/>
          </w:tcPr>
          <w:p w14:paraId="72075E4F" w14:textId="6DDEDBE0"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had a comment </w:t>
            </w:r>
            <w:r w:rsidR="000B51A6">
              <w:rPr>
                <w:rFonts w:eastAsiaTheme="minorEastAsia"/>
                <w:sz w:val="20"/>
                <w:szCs w:val="20"/>
              </w:rPr>
              <w:t xml:space="preserve">on (4+2) </w:t>
            </w:r>
            <w:r>
              <w:rPr>
                <w:rFonts w:eastAsiaTheme="minorEastAsia"/>
                <w:sz w:val="20"/>
                <w:szCs w:val="20"/>
              </w:rPr>
              <w:t xml:space="preserve">in our contribution. </w:t>
            </w:r>
            <w:r w:rsidR="00FF5690">
              <w:rPr>
                <w:rFonts w:eastAsiaTheme="minorEastAsia"/>
                <w:sz w:val="20"/>
                <w:szCs w:val="20"/>
              </w:rPr>
              <w:t>The per-port Tx power seems different for 4 and 2, with 3 dB difference. As far as we understand, the power change could lead to problems.</w:t>
            </w:r>
          </w:p>
        </w:tc>
      </w:tr>
      <w:tr w:rsidR="00181398" w14:paraId="3C5AF5CB" w14:textId="77777777" w:rsidTr="001B7B2F">
        <w:tc>
          <w:tcPr>
            <w:tcW w:w="1874" w:type="dxa"/>
          </w:tcPr>
          <w:p w14:paraId="329E6AFA" w14:textId="471510F8"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476" w:type="dxa"/>
          </w:tcPr>
          <w:p w14:paraId="027ACEC4" w14:textId="0E38C28E"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ok with FL</w:t>
            </w:r>
            <w:r>
              <w:rPr>
                <w:rFonts w:eastAsia="Malgun Gothic"/>
                <w:sz w:val="20"/>
                <w:szCs w:val="20"/>
                <w:lang w:eastAsia="ko-KR"/>
              </w:rPr>
              <w:t>’s proposal</w:t>
            </w:r>
          </w:p>
        </w:tc>
      </w:tr>
      <w:tr w:rsidR="00725410" w14:paraId="030C5D8B" w14:textId="77777777" w:rsidTr="001B7B2F">
        <w:tc>
          <w:tcPr>
            <w:tcW w:w="1874" w:type="dxa"/>
          </w:tcPr>
          <w:p w14:paraId="7C6658D4" w14:textId="31F459B7" w:rsidR="00725410" w:rsidRPr="00725410" w:rsidRDefault="00725410"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5B84C1B4" w14:textId="46A7B433" w:rsidR="00725410" w:rsidRDefault="00725410" w:rsidP="00181398">
            <w:pPr>
              <w:widowControl w:val="0"/>
              <w:snapToGrid w:val="0"/>
              <w:spacing w:before="120" w:after="120" w:line="240" w:lineRule="auto"/>
              <w:rPr>
                <w:rFonts w:eastAsiaTheme="minorEastAsia"/>
                <w:sz w:val="20"/>
                <w:szCs w:val="20"/>
              </w:rPr>
            </w:pPr>
            <w:r>
              <w:rPr>
                <w:rFonts w:eastAsiaTheme="minorEastAsia"/>
                <w:sz w:val="20"/>
                <w:szCs w:val="20"/>
              </w:rPr>
              <w:t>Thanks for QC’s partial reply, please see the further comments:</w:t>
            </w:r>
          </w:p>
          <w:p w14:paraId="54A993A0" w14:textId="370A262C" w:rsidR="00EE19EC" w:rsidRPr="00EE19EC" w:rsidRDefault="00725410" w:rsidP="00EE19EC">
            <w:pPr>
              <w:pStyle w:val="aff"/>
              <w:widowControl w:val="0"/>
              <w:numPr>
                <w:ilvl w:val="0"/>
                <w:numId w:val="49"/>
              </w:numPr>
              <w:snapToGrid w:val="0"/>
              <w:spacing w:before="120" w:after="120" w:line="240" w:lineRule="auto"/>
              <w:rPr>
                <w:rFonts w:eastAsiaTheme="minorEastAsia"/>
                <w:sz w:val="20"/>
                <w:szCs w:val="20"/>
              </w:rPr>
            </w:pPr>
            <w:r w:rsidRPr="00EE19EC">
              <w:rPr>
                <w:rFonts w:eastAsiaTheme="minorEastAsia" w:hint="eastAsia"/>
                <w:sz w:val="20"/>
                <w:szCs w:val="20"/>
              </w:rPr>
              <w:t>W</w:t>
            </w:r>
            <w:r w:rsidRPr="00EE19EC">
              <w:rPr>
                <w:rFonts w:eastAsiaTheme="minorEastAsia"/>
                <w:sz w:val="20"/>
                <w:szCs w:val="20"/>
              </w:rPr>
              <w:t xml:space="preserve">e understand the line connections as shown in your figure, but in a practical scenarios, </w:t>
            </w:r>
            <w:r w:rsidR="00EE19EC" w:rsidRPr="00EE19EC">
              <w:rPr>
                <w:rFonts w:eastAsiaTheme="minorEastAsia"/>
                <w:sz w:val="20"/>
                <w:szCs w:val="20"/>
              </w:rPr>
              <w:t xml:space="preserve">each RF is now with 3 connectors </w:t>
            </w:r>
            <w:r w:rsidRPr="00EE19EC">
              <w:rPr>
                <w:rFonts w:eastAsiaTheme="minorEastAsia"/>
                <w:sz w:val="20"/>
                <w:szCs w:val="20"/>
              </w:rPr>
              <w:t xml:space="preserve">for each switch, and each physic antenna is with 3 connectors as well, </w:t>
            </w:r>
            <w:r w:rsidR="00EE19EC">
              <w:rPr>
                <w:rFonts w:eastAsiaTheme="minorEastAsia"/>
                <w:sz w:val="20"/>
                <w:szCs w:val="20"/>
              </w:rPr>
              <w:t xml:space="preserve">they are flexible to mapping between RF chain and physic antennas, then </w:t>
            </w:r>
            <w:r w:rsidRPr="00EE19EC">
              <w:rPr>
                <w:rFonts w:eastAsiaTheme="minorEastAsia"/>
                <w:sz w:val="20"/>
                <w:szCs w:val="20"/>
              </w:rPr>
              <w:t>how to modeling the insertion loss for the special case</w:t>
            </w:r>
            <w:r w:rsidR="00EE19EC" w:rsidRPr="00EE19EC">
              <w:rPr>
                <w:rFonts w:eastAsiaTheme="minorEastAsia"/>
                <w:sz w:val="20"/>
                <w:szCs w:val="20"/>
              </w:rPr>
              <w:t xml:space="preserve">s? And how to guarantee each line between RF and physical antenna will be the same? </w:t>
            </w:r>
          </w:p>
          <w:p w14:paraId="3D98B43B" w14:textId="6329392F" w:rsidR="00EE3C23" w:rsidRDefault="00725410" w:rsidP="00725410">
            <w:pPr>
              <w:pStyle w:val="aff"/>
              <w:widowControl w:val="0"/>
              <w:numPr>
                <w:ilvl w:val="0"/>
                <w:numId w:val="49"/>
              </w:numPr>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understanding for 4T6R, there is different switching methods: 4+2, 4+4, 2+2+2 and 4+4+4, different solution may have different issues</w:t>
            </w:r>
            <w:r w:rsidR="00EE3C23">
              <w:rPr>
                <w:rFonts w:eastAsiaTheme="minorEastAsia"/>
                <w:sz w:val="20"/>
                <w:szCs w:val="20"/>
              </w:rPr>
              <w:t xml:space="preserve"> (such as different power and different insertion loss)</w:t>
            </w:r>
            <w:r w:rsidR="00EE19EC">
              <w:rPr>
                <w:rFonts w:eastAsiaTheme="minorEastAsia"/>
                <w:sz w:val="20"/>
                <w:szCs w:val="20"/>
              </w:rPr>
              <w:t>, we may not discuss one by one here</w:t>
            </w:r>
            <w:r>
              <w:rPr>
                <w:rFonts w:eastAsiaTheme="minorEastAsia"/>
                <w:sz w:val="20"/>
                <w:szCs w:val="20"/>
              </w:rPr>
              <w:t xml:space="preserve">. </w:t>
            </w:r>
            <w:r w:rsidR="00EE3C23">
              <w:rPr>
                <w:rFonts w:eastAsiaTheme="minorEastAsia"/>
                <w:sz w:val="20"/>
                <w:szCs w:val="20"/>
              </w:rPr>
              <w:t xml:space="preserve">We also do not need to discuss the already agreed antenna cases again. </w:t>
            </w:r>
          </w:p>
          <w:p w14:paraId="2AB8ED75" w14:textId="49647721" w:rsidR="00725410" w:rsidRDefault="00EE19EC" w:rsidP="00EE3C23">
            <w:pPr>
              <w:pStyle w:val="aff"/>
              <w:widowControl w:val="0"/>
              <w:snapToGrid w:val="0"/>
              <w:spacing w:before="120" w:after="120" w:line="240" w:lineRule="auto"/>
              <w:ind w:left="360" w:firstLine="0"/>
              <w:rPr>
                <w:rFonts w:eastAsiaTheme="minorEastAsia"/>
                <w:sz w:val="20"/>
                <w:szCs w:val="20"/>
              </w:rPr>
            </w:pPr>
            <w:r>
              <w:rPr>
                <w:rFonts w:eastAsiaTheme="minorEastAsia"/>
                <w:sz w:val="20"/>
                <w:szCs w:val="20"/>
              </w:rPr>
              <w:t>But, my previous question is for your exampled solution with 4+4+4 (best performance in QC’s simulation)</w:t>
            </w:r>
            <w:r w:rsidR="00EE3C23">
              <w:rPr>
                <w:rFonts w:eastAsiaTheme="minorEastAsia"/>
                <w:sz w:val="20"/>
                <w:szCs w:val="20"/>
              </w:rPr>
              <w:t xml:space="preserve"> for 4T6R</w:t>
            </w:r>
            <w:r>
              <w:rPr>
                <w:rFonts w:eastAsiaTheme="minorEastAsia"/>
                <w:sz w:val="20"/>
                <w:szCs w:val="20"/>
              </w:rPr>
              <w:t xml:space="preserve">, if compared to 2T6R we already supported, which is clear benefit we can obtain? </w:t>
            </w:r>
            <w:r w:rsidR="00EE3C23">
              <w:rPr>
                <w:rFonts w:eastAsiaTheme="minorEastAsia"/>
                <w:sz w:val="20"/>
                <w:szCs w:val="20"/>
              </w:rPr>
              <w:t>I</w:t>
            </w:r>
            <w:r>
              <w:rPr>
                <w:rFonts w:eastAsiaTheme="minorEastAsia"/>
                <w:sz w:val="20"/>
                <w:szCs w:val="20"/>
              </w:rPr>
              <w:t>n our understanding, the</w:t>
            </w:r>
            <w:r w:rsidR="00EE3C23">
              <w:rPr>
                <w:rFonts w:eastAsiaTheme="minorEastAsia"/>
                <w:sz w:val="20"/>
                <w:szCs w:val="20"/>
              </w:rPr>
              <w:t xml:space="preserve"> two antenna switching can be with</w:t>
            </w:r>
            <w:r>
              <w:rPr>
                <w:rFonts w:eastAsiaTheme="minorEastAsia"/>
                <w:sz w:val="20"/>
                <w:szCs w:val="20"/>
              </w:rPr>
              <w:t xml:space="preserve"> same periodicity, but 2T6R may </w:t>
            </w:r>
            <w:r w:rsidR="00EE3C23">
              <w:rPr>
                <w:rFonts w:eastAsiaTheme="minorEastAsia"/>
                <w:sz w:val="20"/>
                <w:szCs w:val="20"/>
              </w:rPr>
              <w:t xml:space="preserve">be </w:t>
            </w:r>
            <w:r>
              <w:rPr>
                <w:rFonts w:eastAsiaTheme="minorEastAsia"/>
                <w:sz w:val="20"/>
                <w:szCs w:val="20"/>
              </w:rPr>
              <w:t>beneficial on less overhead</w:t>
            </w:r>
            <w:r w:rsidR="00EE3C23">
              <w:rPr>
                <w:rFonts w:eastAsiaTheme="minorEastAsia"/>
                <w:sz w:val="20"/>
                <w:szCs w:val="20"/>
              </w:rPr>
              <w:t xml:space="preserve"> (2 ports per resource)</w:t>
            </w:r>
            <w:r>
              <w:rPr>
                <w:rFonts w:eastAsiaTheme="minorEastAsia"/>
                <w:sz w:val="20"/>
                <w:szCs w:val="20"/>
              </w:rPr>
              <w:t xml:space="preserve"> and also each port is with </w:t>
            </w:r>
            <w:r w:rsidR="00EE3C23">
              <w:rPr>
                <w:rFonts w:eastAsiaTheme="minorEastAsia"/>
                <w:sz w:val="20"/>
                <w:szCs w:val="20"/>
              </w:rPr>
              <w:t>doubled</w:t>
            </w:r>
            <w:r>
              <w:rPr>
                <w:rFonts w:eastAsiaTheme="minorEastAsia"/>
                <w:sz w:val="20"/>
                <w:szCs w:val="20"/>
              </w:rPr>
              <w:t xml:space="preserve"> transmit power (beneficial for channel estimation)</w:t>
            </w:r>
            <w:r w:rsidR="00EE3C23">
              <w:rPr>
                <w:rFonts w:eastAsiaTheme="minorEastAsia"/>
                <w:sz w:val="20"/>
                <w:szCs w:val="20"/>
              </w:rPr>
              <w:t>.</w:t>
            </w:r>
          </w:p>
          <w:p w14:paraId="2E3B1A03" w14:textId="64909B34" w:rsidR="00EE3C23" w:rsidRDefault="00EE3C23" w:rsidP="00EE3C23">
            <w:pPr>
              <w:pStyle w:val="aff"/>
              <w:widowControl w:val="0"/>
              <w:snapToGrid w:val="0"/>
              <w:spacing w:before="120" w:after="120" w:line="240" w:lineRule="auto"/>
              <w:ind w:left="360" w:firstLine="0"/>
              <w:rPr>
                <w:rFonts w:eastAsiaTheme="minorEastAsia"/>
                <w:sz w:val="20"/>
                <w:szCs w:val="20"/>
              </w:rPr>
            </w:pPr>
            <w:r>
              <w:rPr>
                <w:rFonts w:eastAsiaTheme="minorEastAsia"/>
                <w:sz w:val="20"/>
                <w:szCs w:val="20"/>
              </w:rPr>
              <w:t xml:space="preserve">Even the antenna configuration of 4T6R, the antenna switching solution is also possible with 2T6R. But, we do not see there is benefit on 4T6R with 4+4+4 </w:t>
            </w:r>
            <w:r>
              <w:rPr>
                <w:rFonts w:eastAsiaTheme="minorEastAsia"/>
                <w:sz w:val="20"/>
                <w:szCs w:val="20"/>
              </w:rPr>
              <w:lastRenderedPageBreak/>
              <w:t xml:space="preserve">compared to 2T6R with 2+2+2.  </w:t>
            </w:r>
          </w:p>
          <w:p w14:paraId="0490AF10" w14:textId="311D99F3" w:rsidR="00EE3C23" w:rsidRDefault="00EE3C23" w:rsidP="00725410">
            <w:pPr>
              <w:pStyle w:val="aff"/>
              <w:widowControl w:val="0"/>
              <w:numPr>
                <w:ilvl w:val="0"/>
                <w:numId w:val="49"/>
              </w:numPr>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y the way, </w:t>
            </w:r>
            <w:r w:rsidR="00B03BB2">
              <w:rPr>
                <w:rFonts w:eastAsiaTheme="minorEastAsia"/>
                <w:sz w:val="20"/>
                <w:szCs w:val="20"/>
              </w:rPr>
              <w:t>as pointed in comment-2, we think 2T6R will be more beneficial than 4T6R the best case of 4+4+4. In the QC’s Tdoc, we see Figure-3-7/Figure 3-8 shown there is no clear benefit for 4T6R compared to 2T6R, copied as follows:</w:t>
            </w:r>
          </w:p>
          <w:p w14:paraId="7D6ABE1D" w14:textId="322DB849" w:rsidR="00725410" w:rsidRPr="00725410" w:rsidRDefault="00B03BB2" w:rsidP="00181398">
            <w:pPr>
              <w:widowControl w:val="0"/>
              <w:snapToGrid w:val="0"/>
              <w:spacing w:before="120" w:after="120" w:line="240" w:lineRule="auto"/>
              <w:rPr>
                <w:rFonts w:eastAsiaTheme="minorEastAsia"/>
                <w:sz w:val="20"/>
                <w:szCs w:val="20"/>
              </w:rPr>
            </w:pPr>
            <w:r w:rsidRPr="000345DA">
              <w:rPr>
                <w:noProof/>
              </w:rPr>
              <w:drawing>
                <wp:inline distT="0" distB="0" distL="0" distR="0" wp14:anchorId="00D75556" wp14:editId="320CD5E6">
                  <wp:extent cx="2240743" cy="1972441"/>
                  <wp:effectExtent l="0" t="0" r="7620" b="8890"/>
                  <wp:docPr id="99" name="Picture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CDF839F-AFA3-4A13-B2B6-221B7D76B8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CDF839F-AFA3-4A13-B2B6-221B7D76B8EF}"/>
                              </a:ext>
                            </a:extLst>
                          </pic:cNvPr>
                          <pic:cNvPicPr>
                            <a:picLocks noChangeAspect="1"/>
                          </pic:cNvPicPr>
                        </pic:nvPicPr>
                        <pic:blipFill>
                          <a:blip r:embed="rId20"/>
                          <a:stretch>
                            <a:fillRect/>
                          </a:stretch>
                        </pic:blipFill>
                        <pic:spPr>
                          <a:xfrm>
                            <a:off x="0" y="0"/>
                            <a:ext cx="2292889" cy="2018343"/>
                          </a:xfrm>
                          <a:prstGeom prst="rect">
                            <a:avLst/>
                          </a:prstGeom>
                        </pic:spPr>
                      </pic:pic>
                    </a:graphicData>
                  </a:graphic>
                </wp:inline>
              </w:drawing>
            </w:r>
            <w:r w:rsidRPr="000345DA">
              <w:rPr>
                <w:noProof/>
              </w:rPr>
              <w:drawing>
                <wp:inline distT="0" distB="0" distL="0" distR="0" wp14:anchorId="1508F91E" wp14:editId="27CA6D51">
                  <wp:extent cx="2329793" cy="1990971"/>
                  <wp:effectExtent l="0" t="0" r="0" b="0"/>
                  <wp:docPr id="102" name="Picture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396993D-BA0D-4548-8D25-067E91915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396993D-BA0D-4548-8D25-067E9191507C}"/>
                              </a:ext>
                            </a:extLst>
                          </pic:cNvPr>
                          <pic:cNvPicPr>
                            <a:picLocks noChangeAspect="1"/>
                          </pic:cNvPicPr>
                        </pic:nvPicPr>
                        <pic:blipFill>
                          <a:blip r:embed="rId21"/>
                          <a:stretch>
                            <a:fillRect/>
                          </a:stretch>
                        </pic:blipFill>
                        <pic:spPr>
                          <a:xfrm>
                            <a:off x="0" y="0"/>
                            <a:ext cx="2362628" cy="2019030"/>
                          </a:xfrm>
                          <a:prstGeom prst="rect">
                            <a:avLst/>
                          </a:prstGeom>
                        </pic:spPr>
                      </pic:pic>
                    </a:graphicData>
                  </a:graphic>
                </wp:inline>
              </w:drawing>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微软雅黑"/>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微软雅黑"/>
          <w:b/>
          <w:sz w:val="20"/>
          <w:szCs w:val="20"/>
        </w:rPr>
      </w:pPr>
      <w:r w:rsidRPr="00A644DD">
        <w:rPr>
          <w:rFonts w:eastAsia="微软雅黑" w:hint="eastAsia"/>
          <w:b/>
          <w:sz w:val="20"/>
          <w:szCs w:val="20"/>
        </w:rPr>
        <w:t>T</w:t>
      </w:r>
      <w:r w:rsidRPr="00A644DD">
        <w:rPr>
          <w:rFonts w:eastAsia="微软雅黑"/>
          <w:b/>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w:t>
            </w:r>
            <w:r w:rsidRPr="00D94CC9">
              <w:rPr>
                <w:rFonts w:eastAsia="微软雅黑"/>
                <w:sz w:val="20"/>
                <w:szCs w:val="20"/>
              </w:rPr>
              <w:lastRenderedPageBreak/>
              <w:t>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BEFB9" w14:textId="77777777" w:rsidR="00F321B9" w:rsidRDefault="00F321B9" w:rsidP="0066336C">
      <w:pPr>
        <w:spacing w:after="0" w:line="240" w:lineRule="auto"/>
      </w:pPr>
      <w:r>
        <w:separator/>
      </w:r>
    </w:p>
  </w:endnote>
  <w:endnote w:type="continuationSeparator" w:id="0">
    <w:p w14:paraId="4D747304" w14:textId="77777777" w:rsidR="00F321B9" w:rsidRDefault="00F321B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2CF79" w14:textId="77777777" w:rsidR="00F321B9" w:rsidRDefault="00F321B9" w:rsidP="0066336C">
      <w:pPr>
        <w:spacing w:after="0" w:line="240" w:lineRule="auto"/>
      </w:pPr>
      <w:r>
        <w:separator/>
      </w:r>
    </w:p>
  </w:footnote>
  <w:footnote w:type="continuationSeparator" w:id="0">
    <w:p w14:paraId="40D38CAE" w14:textId="77777777" w:rsidR="00F321B9" w:rsidRDefault="00F321B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47EC"/>
    <w:multiLevelType w:val="hybridMultilevel"/>
    <w:tmpl w:val="0F98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662C5E"/>
    <w:multiLevelType w:val="hybridMultilevel"/>
    <w:tmpl w:val="B8CC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6B5B86"/>
    <w:multiLevelType w:val="hybridMultilevel"/>
    <w:tmpl w:val="E626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C43AA2"/>
    <w:multiLevelType w:val="hybridMultilevel"/>
    <w:tmpl w:val="04A8D966"/>
    <w:lvl w:ilvl="0" w:tplc="D688C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9">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5">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4"/>
  </w:num>
  <w:num w:numId="2">
    <w:abstractNumId w:val="17"/>
  </w:num>
  <w:num w:numId="3">
    <w:abstractNumId w:val="3"/>
  </w:num>
  <w:num w:numId="4">
    <w:abstractNumId w:val="22"/>
  </w:num>
  <w:num w:numId="5">
    <w:abstractNumId w:val="19"/>
  </w:num>
  <w:num w:numId="6">
    <w:abstractNumId w:val="34"/>
  </w:num>
  <w:num w:numId="7">
    <w:abstractNumId w:val="18"/>
  </w:num>
  <w:num w:numId="8">
    <w:abstractNumId w:val="40"/>
  </w:num>
  <w:num w:numId="9">
    <w:abstractNumId w:val="37"/>
  </w:num>
  <w:num w:numId="10">
    <w:abstractNumId w:val="45"/>
  </w:num>
  <w:num w:numId="11">
    <w:abstractNumId w:val="28"/>
  </w:num>
  <w:num w:numId="12">
    <w:abstractNumId w:val="36"/>
  </w:num>
  <w:num w:numId="13">
    <w:abstractNumId w:val="35"/>
  </w:num>
  <w:num w:numId="14">
    <w:abstractNumId w:val="42"/>
  </w:num>
  <w:num w:numId="15">
    <w:abstractNumId w:val="7"/>
  </w:num>
  <w:num w:numId="16">
    <w:abstractNumId w:val="10"/>
  </w:num>
  <w:num w:numId="17">
    <w:abstractNumId w:val="31"/>
  </w:num>
  <w:num w:numId="18">
    <w:abstractNumId w:val="24"/>
  </w:num>
  <w:num w:numId="19">
    <w:abstractNumId w:val="6"/>
  </w:num>
  <w:num w:numId="20">
    <w:abstractNumId w:val="30"/>
  </w:num>
  <w:num w:numId="21">
    <w:abstractNumId w:val="23"/>
  </w:num>
  <w:num w:numId="22">
    <w:abstractNumId w:val="4"/>
  </w:num>
  <w:num w:numId="23">
    <w:abstractNumId w:val="27"/>
  </w:num>
  <w:num w:numId="24">
    <w:abstractNumId w:val="33"/>
  </w:num>
  <w:num w:numId="25">
    <w:abstractNumId w:val="25"/>
  </w:num>
  <w:num w:numId="26">
    <w:abstractNumId w:val="9"/>
  </w:num>
  <w:num w:numId="27">
    <w:abstractNumId w:val="46"/>
  </w:num>
  <w:num w:numId="28">
    <w:abstractNumId w:val="10"/>
  </w:num>
  <w:num w:numId="29">
    <w:abstractNumId w:val="11"/>
  </w:num>
  <w:num w:numId="30">
    <w:abstractNumId w:val="14"/>
  </w:num>
  <w:num w:numId="31">
    <w:abstractNumId w:val="32"/>
  </w:num>
  <w:num w:numId="32">
    <w:abstractNumId w:val="2"/>
  </w:num>
  <w:num w:numId="33">
    <w:abstractNumId w:val="38"/>
  </w:num>
  <w:num w:numId="34">
    <w:abstractNumId w:val="21"/>
  </w:num>
  <w:num w:numId="35">
    <w:abstractNumId w:val="8"/>
  </w:num>
  <w:num w:numId="36">
    <w:abstractNumId w:val="16"/>
  </w:num>
  <w:num w:numId="37">
    <w:abstractNumId w:val="20"/>
  </w:num>
  <w:num w:numId="38">
    <w:abstractNumId w:val="1"/>
  </w:num>
  <w:num w:numId="39">
    <w:abstractNumId w:val="41"/>
  </w:num>
  <w:num w:numId="40">
    <w:abstractNumId w:val="47"/>
  </w:num>
  <w:num w:numId="41">
    <w:abstractNumId w:val="5"/>
  </w:num>
  <w:num w:numId="42">
    <w:abstractNumId w:val="15"/>
  </w:num>
  <w:num w:numId="43">
    <w:abstractNumId w:val="39"/>
  </w:num>
  <w:num w:numId="44">
    <w:abstractNumId w:val="43"/>
  </w:num>
  <w:num w:numId="45">
    <w:abstractNumId w:val="13"/>
  </w:num>
  <w:num w:numId="46">
    <w:abstractNumId w:val="12"/>
  </w:num>
  <w:num w:numId="47">
    <w:abstractNumId w:val="26"/>
  </w:num>
  <w:num w:numId="48">
    <w:abstractNumId w:val="0"/>
  </w:num>
  <w:num w:numId="49">
    <w:abstractNumId w:val="29"/>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30F0"/>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1A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46C6"/>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1398"/>
    <w:rsid w:val="0018267C"/>
    <w:rsid w:val="00182B2D"/>
    <w:rsid w:val="00186081"/>
    <w:rsid w:val="00190601"/>
    <w:rsid w:val="00192096"/>
    <w:rsid w:val="001921DA"/>
    <w:rsid w:val="0019267A"/>
    <w:rsid w:val="00192DD9"/>
    <w:rsid w:val="00193292"/>
    <w:rsid w:val="00193A84"/>
    <w:rsid w:val="001948BF"/>
    <w:rsid w:val="00195995"/>
    <w:rsid w:val="00196571"/>
    <w:rsid w:val="00196BBF"/>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5F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B7B2F"/>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774"/>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3463"/>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580"/>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A759E"/>
    <w:rsid w:val="003B10B0"/>
    <w:rsid w:val="003B3BF5"/>
    <w:rsid w:val="003B45F5"/>
    <w:rsid w:val="003B60FC"/>
    <w:rsid w:val="003B6420"/>
    <w:rsid w:val="003B706A"/>
    <w:rsid w:val="003C1E89"/>
    <w:rsid w:val="003C2398"/>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1F10"/>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05E4"/>
    <w:rsid w:val="00441736"/>
    <w:rsid w:val="00441EF3"/>
    <w:rsid w:val="004426CF"/>
    <w:rsid w:val="0044307B"/>
    <w:rsid w:val="004430DC"/>
    <w:rsid w:val="00443A26"/>
    <w:rsid w:val="00444BFD"/>
    <w:rsid w:val="00444D00"/>
    <w:rsid w:val="0044540F"/>
    <w:rsid w:val="00446A9C"/>
    <w:rsid w:val="004475CC"/>
    <w:rsid w:val="0044786E"/>
    <w:rsid w:val="00447BD8"/>
    <w:rsid w:val="00451A0D"/>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5497"/>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3570"/>
    <w:rsid w:val="00513641"/>
    <w:rsid w:val="00513B60"/>
    <w:rsid w:val="005149B8"/>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8A7"/>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05E"/>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125"/>
    <w:rsid w:val="005A6712"/>
    <w:rsid w:val="005A68A3"/>
    <w:rsid w:val="005A77F3"/>
    <w:rsid w:val="005A7D1C"/>
    <w:rsid w:val="005B047B"/>
    <w:rsid w:val="005B3AFD"/>
    <w:rsid w:val="005B502F"/>
    <w:rsid w:val="005B64B3"/>
    <w:rsid w:val="005C033C"/>
    <w:rsid w:val="005C04A8"/>
    <w:rsid w:val="005C1DFF"/>
    <w:rsid w:val="005C225D"/>
    <w:rsid w:val="005C276A"/>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1A39"/>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2FB"/>
    <w:rsid w:val="00666745"/>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5410"/>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0C2"/>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71F"/>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063"/>
    <w:rsid w:val="00840749"/>
    <w:rsid w:val="00840E5C"/>
    <w:rsid w:val="00841A6F"/>
    <w:rsid w:val="00841C88"/>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472"/>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017"/>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363"/>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2D5B"/>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382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2B75"/>
    <w:rsid w:val="009D40B1"/>
    <w:rsid w:val="009D4915"/>
    <w:rsid w:val="009D51B8"/>
    <w:rsid w:val="009D5B61"/>
    <w:rsid w:val="009D5ECA"/>
    <w:rsid w:val="009D63B0"/>
    <w:rsid w:val="009D7F00"/>
    <w:rsid w:val="009E04B5"/>
    <w:rsid w:val="009E1AF2"/>
    <w:rsid w:val="009E1BA9"/>
    <w:rsid w:val="009E1E44"/>
    <w:rsid w:val="009E2257"/>
    <w:rsid w:val="009E2DCF"/>
    <w:rsid w:val="009E37D0"/>
    <w:rsid w:val="009E4CCE"/>
    <w:rsid w:val="009E4DBA"/>
    <w:rsid w:val="009E5884"/>
    <w:rsid w:val="009E6F61"/>
    <w:rsid w:val="009F077F"/>
    <w:rsid w:val="009F1072"/>
    <w:rsid w:val="009F2D69"/>
    <w:rsid w:val="009F3E90"/>
    <w:rsid w:val="009F513D"/>
    <w:rsid w:val="009F6065"/>
    <w:rsid w:val="009F6E0E"/>
    <w:rsid w:val="009F7B76"/>
    <w:rsid w:val="009F7B81"/>
    <w:rsid w:val="009F7CD5"/>
    <w:rsid w:val="00A03198"/>
    <w:rsid w:val="00A03F48"/>
    <w:rsid w:val="00A0416E"/>
    <w:rsid w:val="00A048D5"/>
    <w:rsid w:val="00A0607A"/>
    <w:rsid w:val="00A074C4"/>
    <w:rsid w:val="00A12DF9"/>
    <w:rsid w:val="00A13DCD"/>
    <w:rsid w:val="00A1573C"/>
    <w:rsid w:val="00A1587F"/>
    <w:rsid w:val="00A158AF"/>
    <w:rsid w:val="00A15E61"/>
    <w:rsid w:val="00A16080"/>
    <w:rsid w:val="00A1648C"/>
    <w:rsid w:val="00A170C5"/>
    <w:rsid w:val="00A21C1E"/>
    <w:rsid w:val="00A245A5"/>
    <w:rsid w:val="00A24866"/>
    <w:rsid w:val="00A25B37"/>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289"/>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3BB2"/>
    <w:rsid w:val="00B05A9A"/>
    <w:rsid w:val="00B05DD6"/>
    <w:rsid w:val="00B06267"/>
    <w:rsid w:val="00B064C9"/>
    <w:rsid w:val="00B07676"/>
    <w:rsid w:val="00B0797E"/>
    <w:rsid w:val="00B10864"/>
    <w:rsid w:val="00B1097B"/>
    <w:rsid w:val="00B121E0"/>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BB1"/>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3BD3"/>
    <w:rsid w:val="00B94747"/>
    <w:rsid w:val="00B94CB7"/>
    <w:rsid w:val="00B95483"/>
    <w:rsid w:val="00B960F6"/>
    <w:rsid w:val="00B960FB"/>
    <w:rsid w:val="00BA01C8"/>
    <w:rsid w:val="00BA0E0B"/>
    <w:rsid w:val="00BA1051"/>
    <w:rsid w:val="00BA25A2"/>
    <w:rsid w:val="00BA2AD4"/>
    <w:rsid w:val="00BA4CC3"/>
    <w:rsid w:val="00BA69F2"/>
    <w:rsid w:val="00BA6EEA"/>
    <w:rsid w:val="00BA74CD"/>
    <w:rsid w:val="00BA780B"/>
    <w:rsid w:val="00BA7949"/>
    <w:rsid w:val="00BA7999"/>
    <w:rsid w:val="00BB0AC4"/>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192"/>
    <w:rsid w:val="00C66659"/>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008"/>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BFD"/>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A5A"/>
    <w:rsid w:val="00DD1F43"/>
    <w:rsid w:val="00DD3CFC"/>
    <w:rsid w:val="00DD3D2F"/>
    <w:rsid w:val="00DD6205"/>
    <w:rsid w:val="00DD6557"/>
    <w:rsid w:val="00DD7506"/>
    <w:rsid w:val="00DD78DC"/>
    <w:rsid w:val="00DD7FC0"/>
    <w:rsid w:val="00DE004B"/>
    <w:rsid w:val="00DE0452"/>
    <w:rsid w:val="00DE37D6"/>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0577"/>
    <w:rsid w:val="00E3241C"/>
    <w:rsid w:val="00E331AE"/>
    <w:rsid w:val="00E34595"/>
    <w:rsid w:val="00E3484E"/>
    <w:rsid w:val="00E35664"/>
    <w:rsid w:val="00E3683B"/>
    <w:rsid w:val="00E36EA8"/>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19EC"/>
    <w:rsid w:val="00EE3C23"/>
    <w:rsid w:val="00EE4ABB"/>
    <w:rsid w:val="00EE5491"/>
    <w:rsid w:val="00EE5857"/>
    <w:rsid w:val="00EE637B"/>
    <w:rsid w:val="00EE6668"/>
    <w:rsid w:val="00EE7109"/>
    <w:rsid w:val="00EE7891"/>
    <w:rsid w:val="00EF1CA9"/>
    <w:rsid w:val="00EF23C7"/>
    <w:rsid w:val="00EF2D3C"/>
    <w:rsid w:val="00EF3655"/>
    <w:rsid w:val="00EF4849"/>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7C0"/>
    <w:rsid w:val="00F14981"/>
    <w:rsid w:val="00F14A7F"/>
    <w:rsid w:val="00F15980"/>
    <w:rsid w:val="00F159B1"/>
    <w:rsid w:val="00F16080"/>
    <w:rsid w:val="00F171DF"/>
    <w:rsid w:val="00F17CC4"/>
    <w:rsid w:val="00F221C8"/>
    <w:rsid w:val="00F2395C"/>
    <w:rsid w:val="00F23F57"/>
    <w:rsid w:val="00F253BA"/>
    <w:rsid w:val="00F25E2A"/>
    <w:rsid w:val="00F25E30"/>
    <w:rsid w:val="00F26B61"/>
    <w:rsid w:val="00F27BBC"/>
    <w:rsid w:val="00F30D3A"/>
    <w:rsid w:val="00F321B9"/>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57EBA"/>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84D"/>
    <w:rsid w:val="00F94C0D"/>
    <w:rsid w:val="00F95403"/>
    <w:rsid w:val="00F96528"/>
    <w:rsid w:val="00F96F20"/>
    <w:rsid w:val="00FA2F55"/>
    <w:rsid w:val="00FA46EA"/>
    <w:rsid w:val="00FA4A9D"/>
    <w:rsid w:val="00FA4E25"/>
    <w:rsid w:val="00FB18F9"/>
    <w:rsid w:val="00FB3079"/>
    <w:rsid w:val="00FB4290"/>
    <w:rsid w:val="00FB4D74"/>
    <w:rsid w:val="00FB7FBD"/>
    <w:rsid w:val="00FC0B6A"/>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690"/>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66C959B-81DC-4C64-A98F-84291296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11.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41E9B6-1DFF-48E9-9258-532BFB1C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4172</Words>
  <Characters>23785</Characters>
  <Application>Microsoft Office Word</Application>
  <DocSecurity>0</DocSecurity>
  <Lines>198</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51</cp:revision>
  <dcterms:created xsi:type="dcterms:W3CDTF">2021-02-04T07:52:00Z</dcterms:created>
  <dcterms:modified xsi:type="dcterms:W3CDTF">2021-02-04T11:16:00Z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