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Web"/>
              <w:snapToGrid w:val="0"/>
              <w:spacing w:before="0" w:after="0"/>
              <w:jc w:val="both"/>
              <w:rPr>
                <w:rStyle w:val="afc"/>
                <w:sz w:val="20"/>
                <w:szCs w:val="20"/>
                <w:u w:val="single"/>
              </w:rPr>
            </w:pPr>
          </w:p>
          <w:p w14:paraId="6117FB86" w14:textId="2096BCD6" w:rsidR="00E7081B" w:rsidRDefault="00446EBE" w:rsidP="009D4D35">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E075AA0" w14:textId="77777777" w:rsidR="00E7081B" w:rsidRPr="00E7081B" w:rsidRDefault="00E7081B" w:rsidP="00E7081B">
            <w:pPr>
              <w:numPr>
                <w:ilvl w:val="2"/>
                <w:numId w:val="24"/>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Batang"/>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E7081B">
            <w:pPr>
              <w:numPr>
                <w:ilvl w:val="2"/>
                <w:numId w:val="24"/>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E7081B">
            <w:pPr>
              <w:numPr>
                <w:ilvl w:val="3"/>
                <w:numId w:val="24"/>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Malgun Gothic"/>
                  <w:sz w:val="20"/>
                </w:rPr>
                <w:t>For each applied active BWP per CC, UE uses the corresponding BWP ID + CC ID + QCL TypeD RS source ID to locate the corresponding QCL Type-D source RS</w:t>
              </w:r>
            </w:ins>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Web"/>
              <w:numPr>
                <w:ilvl w:val="0"/>
                <w:numId w:val="24"/>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59234A">
            <w:pPr>
              <w:pStyle w:val="Web"/>
              <w:numPr>
                <w:ilvl w:val="1"/>
                <w:numId w:val="24"/>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Web"/>
              <w:snapToGrid w:val="0"/>
              <w:spacing w:before="0" w:after="0"/>
              <w:jc w:val="both"/>
              <w:rPr>
                <w:sz w:val="20"/>
                <w:szCs w:val="20"/>
              </w:rPr>
            </w:pPr>
          </w:p>
          <w:p w14:paraId="57C690E3" w14:textId="1C7C34C5" w:rsidR="003B4803" w:rsidDel="0059234A" w:rsidRDefault="00E42743" w:rsidP="006A0FF8">
            <w:pPr>
              <w:pStyle w:val="Web"/>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6A0FF8">
            <w:pPr>
              <w:pStyle w:val="Web"/>
              <w:numPr>
                <w:ilvl w:val="0"/>
                <w:numId w:val="38"/>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6A0FF8">
            <w:pPr>
              <w:pStyle w:val="Web"/>
              <w:numPr>
                <w:ilvl w:val="0"/>
                <w:numId w:val="38"/>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Web"/>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新細明體"/>
                <w:sz w:val="18"/>
                <w:szCs w:val="18"/>
                <w:lang w:eastAsia="zh-TW"/>
              </w:rPr>
              <w:t>corresponds</w:t>
            </w:r>
            <w:r>
              <w:rPr>
                <w:rFonts w:eastAsia="新細明體"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TW"/>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c"/>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新細明體" w:eastAsia="新細明體" w:hAnsi="新細明體"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新細明體" w:eastAsia="新細明體" w:hAnsi="新細明體"/>
                <w:sz w:val="18"/>
                <w:lang w:eastAsia="zh-TW"/>
              </w:rPr>
            </w:pPr>
          </w:p>
          <w:p w14:paraId="1CF6B76E" w14:textId="70E83150" w:rsidR="00711E21" w:rsidRDefault="00711E21" w:rsidP="00E11337">
            <w:pPr>
              <w:snapToGrid w:val="0"/>
              <w:rPr>
                <w:sz w:val="18"/>
                <w:lang w:eastAsia="zh-CN"/>
              </w:rPr>
            </w:pPr>
            <w:r>
              <w:rPr>
                <w:rFonts w:hint="eastAsia"/>
                <w:noProof/>
                <w:sz w:val="18"/>
                <w:lang w:eastAsia="zh-TW"/>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lastRenderedPageBreak/>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ins w:id="19" w:author="Eko Onggosanusi" w:date="2021-02-03T23:35:00Z">
              <w:r>
                <w:rPr>
                  <w:rFonts w:eastAsia="Malgun Gothic"/>
                  <w:sz w:val="18"/>
                </w:rPr>
                <w:t xml:space="preserve">{Mod: </w:t>
              </w:r>
            </w:ins>
            <w:ins w:id="20" w:author="Eko Onggosanusi" w:date="2021-02-03T23:36:00Z">
              <w:r>
                <w:rPr>
                  <w:rFonts w:eastAsia="Malgun Gothic"/>
                  <w:sz w:val="18"/>
                </w:rPr>
                <w:t xml:space="preserve">This is basically using </w:t>
              </w:r>
            </w:ins>
            <w:ins w:id="21" w:author="Eko Onggosanusi" w:date="2021-02-03T23:38:00Z">
              <w:r>
                <w:rPr>
                  <w:rFonts w:eastAsia="Malgun Gothic"/>
                  <w:sz w:val="18"/>
                </w:rPr>
                <w:t>a similar</w:t>
              </w:r>
            </w:ins>
            <w:ins w:id="22" w:author="Eko Onggosanusi" w:date="2021-02-03T23:36:00Z">
              <w:r>
                <w:rPr>
                  <w:rFonts w:eastAsia="Malgun Gothic"/>
                  <w:sz w:val="18"/>
                </w:rPr>
                <w:t xml:space="preserve"> solution for QCL </w:t>
              </w:r>
            </w:ins>
            <w:ins w:id="23" w:author="Eko Onggosanusi" w:date="2021-02-03T23:37:00Z">
              <w:r>
                <w:rPr>
                  <w:rFonts w:eastAsia="Malgun Gothic"/>
                  <w:sz w:val="18"/>
                </w:rPr>
                <w:t>Type-</w:t>
              </w:r>
            </w:ins>
            <w:ins w:id="24" w:author="Eko Onggosanusi" w:date="2021-02-03T23:36:00Z">
              <w:r>
                <w:rPr>
                  <w:rFonts w:eastAsia="Malgun Gothic"/>
                  <w:sz w:val="18"/>
                </w:rPr>
                <w:t xml:space="preserve">A as </w:t>
              </w:r>
            </w:ins>
            <w:ins w:id="25" w:author="Eko Onggosanusi" w:date="2021-02-03T23:37:00Z">
              <w:r>
                <w:rPr>
                  <w:rFonts w:eastAsia="Malgun Gothic"/>
                  <w:sz w:val="18"/>
                </w:rPr>
                <w:t xml:space="preserve">Rel.15/16 </w:t>
              </w:r>
            </w:ins>
            <w:ins w:id="26" w:author="Eko Onggosanusi" w:date="2021-02-03T23:36:00Z">
              <w:r>
                <w:rPr>
                  <w:rFonts w:eastAsia="Malgun Gothic"/>
                  <w:sz w:val="18"/>
                </w:rPr>
                <w:t xml:space="preserve">QCL </w:t>
              </w:r>
            </w:ins>
            <w:ins w:id="27" w:author="Eko Onggosanusi" w:date="2021-02-03T23:37:00Z">
              <w:r>
                <w:rPr>
                  <w:rFonts w:eastAsia="Malgun Gothic"/>
                  <w:sz w:val="18"/>
                </w:rPr>
                <w:t>Type-</w:t>
              </w:r>
            </w:ins>
            <w:ins w:id="28" w:author="Eko Onggosanusi" w:date="2021-02-03T23:36:00Z">
              <w:r>
                <w:rPr>
                  <w:rFonts w:eastAsia="Malgun Gothic"/>
                  <w:sz w:val="18"/>
                </w:rPr>
                <w:t>D</w:t>
              </w:r>
            </w:ins>
            <w:ins w:id="29" w:author="Eko Onggosanusi" w:date="2021-02-03T23:37:00Z">
              <w:r>
                <w:rPr>
                  <w:rFonts w:eastAsia="Malgun Gothic"/>
                  <w:sz w:val="18"/>
                </w:rPr>
                <w:t xml:space="preserve"> (</w:t>
              </w:r>
            </w:ins>
            <w:ins w:id="30" w:author="Eko Onggosanusi" w:date="2021-02-03T23:38:00Z">
              <w:r>
                <w:rPr>
                  <w:rFonts w:eastAsia="Malgun Gothic"/>
                  <w:sz w:val="18"/>
                </w:rPr>
                <w:t>CC ID inferred from target CC, linked with the associated RS ID)</w:t>
              </w:r>
            </w:ins>
            <w:ins w:id="31" w:author="Eko Onggosanusi" w:date="2021-02-03T23:35:00Z">
              <w:r>
                <w:rPr>
                  <w:rFonts w:eastAsia="Malgun Gothic"/>
                  <w:sz w:val="18"/>
                </w:rPr>
                <w:t>}</w:t>
              </w:r>
            </w:ins>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Web"/>
              <w:snapToGrid w:val="0"/>
              <w:spacing w:before="0" w:after="0"/>
              <w:jc w:val="both"/>
              <w:rPr>
                <w:sz w:val="20"/>
                <w:szCs w:val="20"/>
              </w:rPr>
            </w:pPr>
            <w:r>
              <w:rPr>
                <w:rStyle w:val="afc"/>
                <w:sz w:val="20"/>
                <w:szCs w:val="20"/>
                <w:u w:val="single"/>
              </w:rPr>
              <w:lastRenderedPageBreak/>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新細明體"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rPr>
          <w:ins w:id="36"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7" w:author="Eko Onggosanusi" w:date="2021-02-03T23:41:00Z"/>
                <w:rFonts w:eastAsia="Yu Mincho"/>
                <w:sz w:val="18"/>
                <w:szCs w:val="18"/>
                <w:lang w:eastAsia="ja-JP"/>
              </w:rPr>
            </w:pPr>
            <w:ins w:id="38" w:author="Eko Onggosanusi" w:date="2021-02-03T23:41:00Z">
              <w:r>
                <w:rPr>
                  <w:rFonts w:eastAsia="Yu Mincho"/>
                  <w:sz w:val="18"/>
                  <w:szCs w:val="18"/>
                  <w:lang w:eastAsia="ja-JP"/>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39" w:author="Eko Onggosanusi" w:date="2021-02-03T23:42:00Z"/>
                <w:rFonts w:eastAsia="Yu Mincho"/>
                <w:sz w:val="18"/>
                <w:szCs w:val="18"/>
                <w:lang w:eastAsia="ja-JP"/>
              </w:rPr>
            </w:pPr>
            <w:ins w:id="40" w:author="Eko Onggosanusi" w:date="2021-02-03T23:41:00Z">
              <w:r>
                <w:rPr>
                  <w:rFonts w:eastAsia="Yu Mincho"/>
                  <w:sz w:val="18"/>
                  <w:szCs w:val="18"/>
                  <w:lang w:eastAsia="ja-JP"/>
                </w:rPr>
                <w:t>As summarized before, from companies’ inputs:</w:t>
              </w:r>
            </w:ins>
          </w:p>
          <w:p w14:paraId="572B5533" w14:textId="3A1C49DD" w:rsidR="00155287" w:rsidRDefault="0047240D" w:rsidP="0047240D">
            <w:pPr>
              <w:pStyle w:val="a3"/>
              <w:numPr>
                <w:ilvl w:val="0"/>
                <w:numId w:val="49"/>
              </w:numPr>
              <w:snapToGrid w:val="0"/>
              <w:rPr>
                <w:ins w:id="41" w:author="Eko Onggosanusi" w:date="2021-02-03T23:42:00Z"/>
                <w:rFonts w:eastAsia="Yu Mincho"/>
                <w:sz w:val="18"/>
                <w:szCs w:val="18"/>
                <w:lang w:eastAsia="ja-JP"/>
              </w:rPr>
            </w:pPr>
            <w:ins w:id="42" w:author="Eko Onggosanusi" w:date="2021-02-03T23:43:00Z">
              <w:r>
                <w:rPr>
                  <w:rFonts w:eastAsia="Yu Mincho"/>
                  <w:sz w:val="18"/>
                  <w:szCs w:val="18"/>
                  <w:lang w:eastAsia="ja-JP"/>
                </w:rPr>
                <w:t xml:space="preserve">Technically, </w:t>
              </w:r>
            </w:ins>
            <w:ins w:id="43"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47240D">
            <w:pPr>
              <w:pStyle w:val="a3"/>
              <w:numPr>
                <w:ilvl w:val="0"/>
                <w:numId w:val="49"/>
              </w:numPr>
              <w:snapToGrid w:val="0"/>
              <w:rPr>
                <w:ins w:id="44" w:author="Eko Onggosanusi" w:date="2021-02-03T23:43:00Z"/>
                <w:rFonts w:eastAsia="Yu Mincho"/>
                <w:sz w:val="18"/>
                <w:szCs w:val="18"/>
                <w:lang w:eastAsia="ja-JP"/>
              </w:rPr>
            </w:pPr>
            <w:ins w:id="45" w:author="Eko Onggosanusi" w:date="2021-02-03T23:42:00Z">
              <w:r w:rsidRPr="00155287">
                <w:rPr>
                  <w:rFonts w:eastAsia="Yu Mincho" w:hint="eastAsia"/>
                  <w:sz w:val="18"/>
                  <w:szCs w:val="18"/>
                  <w:lang w:eastAsia="ja-JP"/>
                </w:rPr>
                <w:t xml:space="preserve">For CA, Alt1 has slight </w:t>
              </w:r>
            </w:ins>
            <w:ins w:id="46" w:author="Eko Onggosanusi" w:date="2021-02-03T23:43:00Z">
              <w:r>
                <w:rPr>
                  <w:rFonts w:eastAsia="Yu Mincho"/>
                  <w:sz w:val="18"/>
                  <w:szCs w:val="18"/>
                  <w:lang w:eastAsia="ja-JP"/>
                </w:rPr>
                <w:t>majority while the opposite holds for UL TCI</w:t>
              </w:r>
            </w:ins>
          </w:p>
          <w:p w14:paraId="366917DD" w14:textId="77777777" w:rsidR="00155287" w:rsidRDefault="00155287" w:rsidP="0047240D">
            <w:pPr>
              <w:pStyle w:val="a3"/>
              <w:numPr>
                <w:ilvl w:val="0"/>
                <w:numId w:val="49"/>
              </w:numPr>
              <w:snapToGrid w:val="0"/>
              <w:rPr>
                <w:ins w:id="47" w:author="Eko Onggosanusi" w:date="2021-02-03T23:43:00Z"/>
                <w:rFonts w:eastAsia="Yu Mincho"/>
                <w:sz w:val="18"/>
                <w:szCs w:val="18"/>
                <w:lang w:eastAsia="ja-JP"/>
              </w:rPr>
            </w:pPr>
            <w:ins w:id="48"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49" w:author="Eko Onggosanusi" w:date="2021-02-03T23:44:00Z"/>
                <w:rFonts w:eastAsia="Yu Mincho"/>
                <w:sz w:val="18"/>
                <w:szCs w:val="18"/>
                <w:lang w:eastAsia="ja-JP"/>
              </w:rPr>
            </w:pPr>
            <w:ins w:id="50" w:author="Eko Onggosanusi" w:date="2021-02-03T23:43:00Z">
              <w:r>
                <w:rPr>
                  <w:rFonts w:eastAsia="Yu Mincho"/>
                  <w:sz w:val="18"/>
                  <w:szCs w:val="18"/>
                  <w:lang w:eastAsia="ja-JP"/>
                </w:rPr>
                <w:t>Therefore</w:t>
              </w:r>
            </w:ins>
            <w:ins w:id="51" w:author="Eko Onggosanusi" w:date="2021-02-03T23:45:00Z">
              <w:r>
                <w:rPr>
                  <w:rFonts w:eastAsia="Yu Mincho"/>
                  <w:sz w:val="18"/>
                  <w:szCs w:val="18"/>
                  <w:lang w:eastAsia="ja-JP"/>
                </w:rPr>
                <w:t>,</w:t>
              </w:r>
            </w:ins>
            <w:ins w:id="52" w:author="Eko Onggosanusi" w:date="2021-02-03T23:43:00Z">
              <w:r>
                <w:rPr>
                  <w:rFonts w:eastAsia="Yu Mincho"/>
                  <w:sz w:val="18"/>
                  <w:szCs w:val="18"/>
                  <w:lang w:eastAsia="ja-JP"/>
                </w:rPr>
                <w:t xml:space="preserve"> I </w:t>
              </w:r>
            </w:ins>
            <w:ins w:id="53"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4" w:author="Eko Onggosanusi" w:date="2021-02-03T23:44:00Z"/>
                <w:rFonts w:eastAsia="Yu Mincho"/>
                <w:sz w:val="18"/>
                <w:szCs w:val="18"/>
                <w:lang w:eastAsia="ja-JP"/>
              </w:rPr>
            </w:pPr>
          </w:p>
          <w:p w14:paraId="239FAE0F" w14:textId="63A9C233" w:rsidR="0021290B" w:rsidRPr="0047240D" w:rsidRDefault="0047240D" w:rsidP="0047240D">
            <w:pPr>
              <w:snapToGrid w:val="0"/>
              <w:rPr>
                <w:ins w:id="55" w:author="Eko Onggosanusi" w:date="2021-02-03T23:41:00Z"/>
                <w:rFonts w:eastAsia="Yu Mincho"/>
                <w:sz w:val="18"/>
                <w:szCs w:val="18"/>
                <w:lang w:eastAsia="ja-JP"/>
              </w:rPr>
            </w:pPr>
            <w:ins w:id="56" w:author="Eko Onggosanusi" w:date="2021-02-03T23:45:00Z">
              <w:r>
                <w:rPr>
                  <w:rFonts w:eastAsia="Yu Mincho"/>
                  <w:sz w:val="18"/>
                  <w:szCs w:val="18"/>
                  <w:lang w:eastAsia="ja-JP"/>
                </w:rPr>
                <w:t>I hope</w:t>
              </w:r>
            </w:ins>
            <w:ins w:id="57" w:author="Eko Onggosanusi" w:date="2021-02-03T23:44:00Z">
              <w:r>
                <w:rPr>
                  <w:rFonts w:eastAsia="Yu Mincho"/>
                  <w:sz w:val="18"/>
                  <w:szCs w:val="18"/>
                  <w:lang w:eastAsia="ja-JP"/>
                </w:rPr>
                <w:t xml:space="preserve"> this compromise proposal 1.1 is acceptable to all.</w:t>
              </w:r>
            </w:ins>
          </w:p>
        </w:tc>
      </w:tr>
      <w:tr w:rsidR="0021290B" w:rsidRPr="006652C3" w14:paraId="33B02566" w14:textId="77777777" w:rsidTr="00B5236B">
        <w:trPr>
          <w:ins w:id="58" w:author="Intel" w:date="2021-02-03T22: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ins w:id="59" w:author="Intel" w:date="2021-02-03T22:53:00Z"/>
                <w:rFonts w:eastAsia="Yu Mincho"/>
                <w:sz w:val="18"/>
                <w:szCs w:val="18"/>
                <w:lang w:eastAsia="ja-JP"/>
              </w:rPr>
            </w:pPr>
            <w:ins w:id="60" w:author="Intel" w:date="2021-02-03T22:53:00Z">
              <w:r>
                <w:rPr>
                  <w:rFonts w:eastAsia="Yu Mincho"/>
                  <w:sz w:val="18"/>
                  <w:szCs w:val="18"/>
                  <w:lang w:eastAsia="ja-JP"/>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ins w:id="61" w:author="Intel" w:date="2021-02-03T22:55:00Z"/>
                <w:rFonts w:eastAsia="Yu Mincho"/>
                <w:sz w:val="18"/>
                <w:szCs w:val="18"/>
                <w:lang w:eastAsia="ja-JP"/>
              </w:rPr>
            </w:pPr>
            <w:ins w:id="62" w:author="Intel" w:date="2021-02-03T22:53:00Z">
              <w:r>
                <w:rPr>
                  <w:rFonts w:eastAsia="Yu Mincho"/>
                  <w:sz w:val="18"/>
                  <w:szCs w:val="18"/>
                  <w:lang w:eastAsia="ja-JP"/>
                </w:rPr>
                <w:t>W</w:t>
              </w:r>
            </w:ins>
            <w:ins w:id="63" w:author="Intel" w:date="2021-02-03T22:54:00Z">
              <w:r>
                <w:rPr>
                  <w:rFonts w:eastAsia="Yu Mincho"/>
                  <w:sz w:val="18"/>
                  <w:szCs w:val="18"/>
                  <w:lang w:eastAsia="ja-JP"/>
                </w:rPr>
                <w:t>e are not ok with current proposal 1.1. We think that the issues of common TCI state pool for CA and for the UL TCI vs joint DL/UL TCI are unrelated</w:t>
              </w:r>
            </w:ins>
            <w:ins w:id="64" w:author="Intel" w:date="2021-02-03T22:57:00Z">
              <w:r>
                <w:rPr>
                  <w:rFonts w:eastAsia="Yu Mincho"/>
                  <w:sz w:val="18"/>
                  <w:szCs w:val="18"/>
                  <w:lang w:eastAsia="ja-JP"/>
                </w:rPr>
                <w:t xml:space="preserve"> and need not be treated in a joint proposal</w:t>
              </w:r>
            </w:ins>
            <w:ins w:id="65" w:author="Intel" w:date="2021-02-03T22:55:00Z">
              <w:r>
                <w:rPr>
                  <w:rFonts w:eastAsia="Yu Mincho"/>
                  <w:sz w:val="18"/>
                  <w:szCs w:val="18"/>
                  <w:lang w:eastAsia="ja-JP"/>
                </w:rPr>
                <w:t xml:space="preserve">. </w:t>
              </w:r>
            </w:ins>
          </w:p>
          <w:p w14:paraId="191CAB02" w14:textId="77777777" w:rsidR="0021290B" w:rsidRDefault="0021290B" w:rsidP="0047240D">
            <w:pPr>
              <w:snapToGrid w:val="0"/>
              <w:rPr>
                <w:ins w:id="66" w:author="Intel" w:date="2021-02-03T22:55:00Z"/>
                <w:rFonts w:eastAsia="Yu Mincho"/>
                <w:sz w:val="18"/>
                <w:szCs w:val="18"/>
                <w:lang w:eastAsia="ja-JP"/>
              </w:rPr>
            </w:pPr>
          </w:p>
          <w:p w14:paraId="5FF6CFA4" w14:textId="77777777" w:rsidR="0021290B" w:rsidRDefault="0021290B" w:rsidP="0047240D">
            <w:pPr>
              <w:snapToGrid w:val="0"/>
              <w:rPr>
                <w:ins w:id="67" w:author="Intel" w:date="2021-02-03T22:58:00Z"/>
                <w:rFonts w:eastAsia="Yu Mincho"/>
                <w:sz w:val="18"/>
                <w:szCs w:val="18"/>
                <w:lang w:eastAsia="ja-JP"/>
              </w:rPr>
            </w:pPr>
            <w:ins w:id="68" w:author="Intel" w:date="2021-02-03T22:55:00Z">
              <w:r>
                <w:rPr>
                  <w:rFonts w:eastAsia="Yu Mincho"/>
                  <w:sz w:val="18"/>
                  <w:szCs w:val="18"/>
                  <w:lang w:eastAsia="ja-JP"/>
                </w:rPr>
                <w:t xml:space="preserve">We have provided plenty of technical reasons </w:t>
              </w:r>
            </w:ins>
            <w:ins w:id="69" w:author="Intel" w:date="2021-02-03T22:57:00Z">
              <w:r>
                <w:rPr>
                  <w:rFonts w:eastAsia="Yu Mincho"/>
                  <w:sz w:val="18"/>
                  <w:szCs w:val="18"/>
                  <w:lang w:eastAsia="ja-JP"/>
                </w:rPr>
                <w:t>and metho</w:t>
              </w:r>
            </w:ins>
            <w:ins w:id="70" w:author="Intel" w:date="2021-02-03T22:58:00Z">
              <w:r>
                <w:rPr>
                  <w:rFonts w:eastAsia="Yu Mincho"/>
                  <w:sz w:val="18"/>
                  <w:szCs w:val="18"/>
                  <w:lang w:eastAsia="ja-JP"/>
                </w:rPr>
                <w:t xml:space="preserve">dology </w:t>
              </w:r>
            </w:ins>
            <w:ins w:id="71" w:author="Intel" w:date="2021-02-03T22:55:00Z">
              <w:r>
                <w:rPr>
                  <w:rFonts w:eastAsia="Yu Mincho"/>
                  <w:sz w:val="18"/>
                  <w:szCs w:val="18"/>
                  <w:lang w:eastAsia="ja-JP"/>
                </w:rPr>
                <w:t xml:space="preserve">in previous rounds for why a shared TCI state pool for UL and joint DL/UL TCI can </w:t>
              </w:r>
            </w:ins>
            <w:ins w:id="72" w:author="Intel" w:date="2021-02-03T22:58:00Z">
              <w:r>
                <w:rPr>
                  <w:rFonts w:eastAsia="Yu Mincho"/>
                  <w:sz w:val="18"/>
                  <w:szCs w:val="18"/>
                  <w:lang w:eastAsia="ja-JP"/>
                </w:rPr>
                <w:t xml:space="preserve">not only </w:t>
              </w:r>
            </w:ins>
            <w:ins w:id="73" w:author="Intel" w:date="2021-02-03T22:55:00Z">
              <w:r>
                <w:rPr>
                  <w:rFonts w:eastAsia="Yu Mincho"/>
                  <w:sz w:val="18"/>
                  <w:szCs w:val="18"/>
                  <w:lang w:eastAsia="ja-JP"/>
                </w:rPr>
                <w:t>work</w:t>
              </w:r>
            </w:ins>
            <w:ins w:id="74" w:author="Intel" w:date="2021-02-03T22:58:00Z">
              <w:r>
                <w:rPr>
                  <w:rFonts w:eastAsia="Yu Mincho"/>
                  <w:sz w:val="18"/>
                  <w:szCs w:val="18"/>
                  <w:lang w:eastAsia="ja-JP"/>
                </w:rPr>
                <w:t>,</w:t>
              </w:r>
            </w:ins>
            <w:ins w:id="75" w:author="Intel" w:date="2021-02-03T22:55:00Z">
              <w:r>
                <w:rPr>
                  <w:rFonts w:eastAsia="Yu Mincho"/>
                  <w:sz w:val="18"/>
                  <w:szCs w:val="18"/>
                  <w:lang w:eastAsia="ja-JP"/>
                </w:rPr>
                <w:t xml:space="preserve"> </w:t>
              </w:r>
            </w:ins>
            <w:ins w:id="76" w:author="Intel" w:date="2021-02-03T22:58:00Z">
              <w:r>
                <w:rPr>
                  <w:rFonts w:eastAsia="Yu Mincho"/>
                  <w:sz w:val="18"/>
                  <w:szCs w:val="18"/>
                  <w:lang w:eastAsia="ja-JP"/>
                </w:rPr>
                <w:t>but</w:t>
              </w:r>
            </w:ins>
            <w:ins w:id="77" w:author="Intel" w:date="2021-02-03T22:55:00Z">
              <w:r>
                <w:rPr>
                  <w:rFonts w:eastAsia="Yu Mincho"/>
                  <w:sz w:val="18"/>
                  <w:szCs w:val="18"/>
                  <w:lang w:eastAsia="ja-JP"/>
                </w:rPr>
                <w:t xml:space="preserve"> why it also simplifies configuration and TCI state usage indication. Give</w:t>
              </w:r>
            </w:ins>
            <w:ins w:id="78" w:author="Intel" w:date="2021-02-03T22:56:00Z">
              <w:r>
                <w:rPr>
                  <w:rFonts w:eastAsia="Yu Mincho"/>
                  <w:sz w:val="18"/>
                  <w:szCs w:val="18"/>
                  <w:lang w:eastAsia="ja-JP"/>
                </w:rPr>
                <w:t xml:space="preserve">n this, we cannot agree to the current proposal. We can go back to the previous version and come back with more technical debate in the next meeting. </w:t>
              </w:r>
            </w:ins>
          </w:p>
          <w:p w14:paraId="08F19E5B" w14:textId="77777777" w:rsidR="0021290B" w:rsidRDefault="0021290B" w:rsidP="0047240D">
            <w:pPr>
              <w:snapToGrid w:val="0"/>
              <w:rPr>
                <w:ins w:id="79" w:author="Intel" w:date="2021-02-03T22:58:00Z"/>
                <w:rFonts w:eastAsia="Yu Mincho"/>
                <w:sz w:val="18"/>
                <w:szCs w:val="18"/>
                <w:lang w:eastAsia="ja-JP"/>
              </w:rPr>
            </w:pPr>
          </w:p>
          <w:p w14:paraId="282878D4" w14:textId="0ED29621" w:rsidR="0021290B" w:rsidRDefault="00411E75" w:rsidP="0047240D">
            <w:pPr>
              <w:snapToGrid w:val="0"/>
              <w:rPr>
                <w:ins w:id="80" w:author="Intel" w:date="2021-02-03T22:53:00Z"/>
                <w:rFonts w:eastAsia="Yu Mincho"/>
                <w:sz w:val="18"/>
                <w:szCs w:val="18"/>
                <w:lang w:eastAsia="ja-JP"/>
              </w:rPr>
            </w:pPr>
            <w:ins w:id="81" w:author="Intel" w:date="2021-02-03T22:58:00Z">
              <w:r>
                <w:rPr>
                  <w:rFonts w:eastAsia="Yu Mincho"/>
                  <w:sz w:val="18"/>
                  <w:szCs w:val="18"/>
                  <w:lang w:eastAsia="ja-JP"/>
                </w:rPr>
                <w:t xml:space="preserve">For proposal 1.1, we </w:t>
              </w:r>
            </w:ins>
            <w:ins w:id="82" w:author="Intel" w:date="2021-02-03T22:59:00Z">
              <w:r>
                <w:rPr>
                  <w:rFonts w:eastAsia="Yu Mincho"/>
                  <w:sz w:val="18"/>
                  <w:szCs w:val="18"/>
                  <w:lang w:eastAsia="ja-JP"/>
                </w:rPr>
                <w:t>are not sure why QCL Type D needs to be added. We already have an agreement for QCL Type D from previous meeting for the CA case.</w:t>
              </w:r>
            </w:ins>
            <w:ins w:id="83" w:author="Intel" w:date="2021-02-03T23:00:00Z">
              <w:r>
                <w:rPr>
                  <w:rFonts w:eastAsia="Yu Mincho"/>
                  <w:sz w:val="18"/>
                  <w:szCs w:val="18"/>
                  <w:lang w:eastAsia="ja-JP"/>
                </w:rPr>
                <w:t xml:space="preserve"> </w:t>
              </w:r>
            </w:ins>
          </w:p>
        </w:tc>
      </w:tr>
      <w:tr w:rsidR="00C505A6" w:rsidRPr="006652C3" w14:paraId="7C54EF84" w14:textId="77777777" w:rsidTr="00B5236B">
        <w:trPr>
          <w:ins w:id="84" w:author="ZTE" w:date="2021-02-04T15:0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ins w:id="85" w:author="ZTE" w:date="2021-02-04T15:06:00Z"/>
                <w:rFonts w:eastAsia="Yu Mincho"/>
                <w:sz w:val="18"/>
                <w:szCs w:val="18"/>
                <w:lang w:eastAsia="ja-JP"/>
              </w:rPr>
            </w:pPr>
            <w:ins w:id="86" w:author="ZTE" w:date="2021-02-04T15:06:00Z">
              <w:r>
                <w:rPr>
                  <w:rFonts w:eastAsia="Yu Mincho"/>
                  <w:sz w:val="18"/>
                  <w:szCs w:val="18"/>
                  <w:lang w:eastAsia="ja-JP"/>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ins w:id="87" w:author="ZTE" w:date="2021-02-04T15:06:00Z"/>
                <w:rFonts w:eastAsia="Yu Mincho"/>
                <w:sz w:val="18"/>
                <w:szCs w:val="18"/>
                <w:lang w:eastAsia="ja-JP"/>
              </w:rPr>
            </w:pPr>
            <w:ins w:id="88" w:author="ZTE" w:date="2021-02-04T15:06:00Z">
              <w:r>
                <w:rPr>
                  <w:rFonts w:eastAsia="Yu Mincho"/>
                  <w:sz w:val="18"/>
                  <w:szCs w:val="18"/>
                  <w:lang w:eastAsia="ja-JP"/>
                </w:rPr>
                <w:t xml:space="preserve">We are fine with the revised proposal 1.1 for progress, although it is not our first preference. </w:t>
              </w:r>
            </w:ins>
          </w:p>
          <w:p w14:paraId="24BE02AF" w14:textId="77777777" w:rsidR="00C505A6" w:rsidRDefault="00C505A6" w:rsidP="00C505A6">
            <w:pPr>
              <w:pStyle w:val="a3"/>
              <w:numPr>
                <w:ilvl w:val="0"/>
                <w:numId w:val="28"/>
              </w:numPr>
              <w:snapToGrid w:val="0"/>
              <w:spacing w:after="0" w:line="257" w:lineRule="auto"/>
              <w:ind w:left="448" w:hanging="357"/>
              <w:rPr>
                <w:ins w:id="89" w:author="ZTE" w:date="2021-02-04T15:06:00Z"/>
                <w:rFonts w:eastAsia="Yu Mincho"/>
                <w:sz w:val="18"/>
                <w:szCs w:val="18"/>
                <w:lang w:eastAsia="ja-JP"/>
              </w:rPr>
            </w:pPr>
            <w:ins w:id="90" w:author="ZTE" w:date="2021-02-04T15:06:00Z">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ins>
          </w:p>
          <w:p w14:paraId="26AAAA53" w14:textId="2879B30A" w:rsidR="00C505A6" w:rsidRDefault="00C505A6">
            <w:pPr>
              <w:pStyle w:val="a3"/>
              <w:numPr>
                <w:ilvl w:val="0"/>
                <w:numId w:val="28"/>
              </w:numPr>
              <w:snapToGrid w:val="0"/>
              <w:spacing w:after="0" w:line="257" w:lineRule="auto"/>
              <w:ind w:left="448" w:hanging="357"/>
              <w:rPr>
                <w:ins w:id="91" w:author="ZTE" w:date="2021-02-04T15:06:00Z"/>
                <w:rFonts w:eastAsia="Yu Mincho"/>
                <w:sz w:val="18"/>
                <w:szCs w:val="18"/>
                <w:lang w:eastAsia="ja-JP"/>
              </w:rPr>
              <w:pPrChange w:id="92" w:author="ZTE" w:date="2021-02-04T15:06:00Z">
                <w:pPr>
                  <w:snapToGrid w:val="0"/>
                </w:pPr>
              </w:pPrChange>
            </w:pPr>
            <w:ins w:id="93" w:author="ZTE" w:date="2021-02-04T15:06:00Z">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ins>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hint="eastAsia"/>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新細明體"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ins w:id="94" w:author="Darcy Tsai" w:date="2021-02-04T15:26:00Z"/>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ins w:id="95" w:author="Darcy Tsai" w:date="2021-02-04T15:26:00Z">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ins>
            <w:ins w:id="96" w:author="Darcy Tsai" w:date="2021-02-04T15:27:00Z">
              <w:r w:rsidRPr="00A51292">
                <w:rPr>
                  <w:rFonts w:eastAsia="Batang"/>
                  <w:sz w:val="20"/>
                  <w:szCs w:val="20"/>
                  <w:shd w:val="clear" w:color="auto" w:fill="FFFFFF"/>
                  <w:lang w:val="en-GB"/>
                </w:rPr>
                <w:t>e</w:t>
              </w:r>
            </w:ins>
            <w:ins w:id="97" w:author="Darcy Tsai" w:date="2021-02-04T15:28:00Z">
              <w:r w:rsidRPr="00A51292">
                <w:rPr>
                  <w:rFonts w:eastAsia="Batang" w:hint="eastAsia"/>
                  <w:sz w:val="20"/>
                  <w:szCs w:val="20"/>
                  <w:shd w:val="clear" w:color="auto" w:fill="FFFFFF"/>
                  <w:lang w:val="en-GB"/>
                </w:rPr>
                <w:t xml:space="preserve"> </w:t>
              </w:r>
            </w:ins>
            <w:ins w:id="98" w:author="Darcy Tsai" w:date="2021-02-04T15:31:00Z">
              <w:r>
                <w:rPr>
                  <w:rFonts w:eastAsia="Batang"/>
                  <w:sz w:val="20"/>
                  <w:szCs w:val="20"/>
                  <w:shd w:val="clear" w:color="auto" w:fill="FFFFFF"/>
                  <w:lang w:val="en-GB"/>
                </w:rPr>
                <w:t>(</w:t>
              </w:r>
            </w:ins>
            <w:ins w:id="99" w:author="Darcy Tsai" w:date="2021-02-04T15:28:00Z">
              <w:r w:rsidRPr="00A51292">
                <w:rPr>
                  <w:rFonts w:eastAsia="Batang"/>
                  <w:sz w:val="20"/>
                  <w:szCs w:val="20"/>
                  <w:shd w:val="clear" w:color="auto" w:fill="FFFFFF"/>
                  <w:lang w:val="en-GB"/>
                </w:rPr>
                <w:t>in the single/shared RRC TCI state pool</w:t>
              </w:r>
            </w:ins>
            <w:ins w:id="100" w:author="Darcy Tsai" w:date="2021-02-04T15:31:00Z">
              <w:r>
                <w:rPr>
                  <w:rFonts w:eastAsia="Batang"/>
                  <w:sz w:val="20"/>
                  <w:szCs w:val="20"/>
                  <w:shd w:val="clear" w:color="auto" w:fill="FFFFFF"/>
                  <w:lang w:val="en-GB"/>
                </w:rPr>
                <w:t>)</w:t>
              </w:r>
            </w:ins>
            <w:ins w:id="101" w:author="Darcy Tsai" w:date="2021-02-04T15:27:00Z">
              <w:r w:rsidRPr="00A51292">
                <w:rPr>
                  <w:rFonts w:eastAsia="Batang"/>
                  <w:sz w:val="20"/>
                  <w:szCs w:val="20"/>
                  <w:shd w:val="clear" w:color="auto" w:fill="FFFFFF"/>
                  <w:lang w:val="en-GB"/>
                </w:rPr>
                <w:t xml:space="preserve"> </w:t>
              </w:r>
            </w:ins>
            <w:ins w:id="102" w:author="Darcy Tsai" w:date="2021-02-04T15:26:00Z">
              <w:r w:rsidRPr="00A51292">
                <w:rPr>
                  <w:rFonts w:eastAsia="Batang"/>
                  <w:sz w:val="20"/>
                  <w:szCs w:val="20"/>
                  <w:shd w:val="clear" w:color="auto" w:fill="FFFFFF"/>
                  <w:lang w:val="en-GB"/>
                </w:rPr>
                <w:t>indicated by a common TCI state ID is used to provide QCL Type-D indication across the set of configured CCs</w:t>
              </w:r>
            </w:ins>
          </w:p>
          <w:p w14:paraId="61B63256" w14:textId="7D224A19" w:rsidR="00A51292" w:rsidRPr="00E7081B" w:rsidDel="00A51292" w:rsidRDefault="00A51292" w:rsidP="00A51292">
            <w:pPr>
              <w:numPr>
                <w:ilvl w:val="2"/>
                <w:numId w:val="24"/>
              </w:numPr>
              <w:suppressAutoHyphens/>
              <w:autoSpaceDN w:val="0"/>
              <w:snapToGrid w:val="0"/>
              <w:jc w:val="both"/>
              <w:textAlignment w:val="baseline"/>
              <w:rPr>
                <w:ins w:id="103" w:author="Eko Onggosanusi" w:date="2021-02-03T23:30:00Z"/>
                <w:del w:id="104" w:author="Darcy Tsai" w:date="2021-02-04T15:25:00Z"/>
                <w:sz w:val="20"/>
                <w:szCs w:val="20"/>
              </w:rPr>
            </w:pPr>
            <w:ins w:id="105" w:author="Eko Onggosanusi" w:date="2021-02-03T23:30:00Z">
              <w:del w:id="106" w:author="Darcy Tsai" w:date="2021-02-04T15:25:00Z">
                <w:r w:rsidRPr="00E7081B" w:rsidDel="00A51292">
                  <w:rPr>
                    <w:rFonts w:eastAsia="Batang"/>
                    <w:sz w:val="20"/>
                    <w:szCs w:val="20"/>
                    <w:shd w:val="clear" w:color="auto" w:fill="FFFFFF"/>
                    <w:lang w:val="en-GB"/>
                  </w:rPr>
                  <w:delText xml:space="preserve">For QCL Type-D, a CC ID for QCL-Type D source RS can be absent in a TCI state. </w:delText>
                </w:r>
              </w:del>
            </w:ins>
          </w:p>
          <w:p w14:paraId="25B5E762" w14:textId="46FA68BD" w:rsidR="00A51292" w:rsidRPr="00E7081B" w:rsidDel="00A51292" w:rsidRDefault="00A51292" w:rsidP="00A51292">
            <w:pPr>
              <w:numPr>
                <w:ilvl w:val="2"/>
                <w:numId w:val="24"/>
              </w:numPr>
              <w:suppressAutoHyphens/>
              <w:autoSpaceDN w:val="0"/>
              <w:snapToGrid w:val="0"/>
              <w:jc w:val="both"/>
              <w:textAlignment w:val="baseline"/>
              <w:rPr>
                <w:ins w:id="107" w:author="Eko Onggosanusi" w:date="2021-02-03T23:30:00Z"/>
                <w:del w:id="108" w:author="Darcy Tsai" w:date="2021-02-04T15:25:00Z"/>
                <w:sz w:val="20"/>
                <w:szCs w:val="20"/>
              </w:rPr>
            </w:pPr>
            <w:ins w:id="109" w:author="Eko Onggosanusi" w:date="2021-02-03T23:30:00Z">
              <w:del w:id="110" w:author="Darcy Tsai" w:date="2021-02-04T15:25:00Z">
                <w:r w:rsidRPr="00E7081B" w:rsidDel="00A51292">
                  <w:rPr>
                    <w:rFonts w:eastAsia="Batang"/>
                    <w:sz w:val="20"/>
                    <w:szCs w:val="20"/>
                    <w:shd w:val="clear" w:color="auto" w:fill="FFFFFF"/>
                  </w:rPr>
                  <w:delText xml:space="preserve">When </w:delText>
                </w:r>
                <w:r w:rsidRPr="00E7081B" w:rsidDel="00A51292">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ins>
          </w:p>
          <w:p w14:paraId="4E7A61C8" w14:textId="5D39DA53" w:rsidR="00A51292" w:rsidRPr="00E7081B" w:rsidDel="00A51292" w:rsidRDefault="00A51292" w:rsidP="00A51292">
            <w:pPr>
              <w:numPr>
                <w:ilvl w:val="3"/>
                <w:numId w:val="24"/>
              </w:numPr>
              <w:suppressAutoHyphens/>
              <w:autoSpaceDN w:val="0"/>
              <w:snapToGrid w:val="0"/>
              <w:jc w:val="both"/>
              <w:textAlignment w:val="baseline"/>
              <w:rPr>
                <w:ins w:id="111" w:author="Eko Onggosanusi" w:date="2021-02-03T23:30:00Z"/>
                <w:del w:id="112" w:author="Darcy Tsai" w:date="2021-02-04T15:25:00Z"/>
                <w:sz w:val="22"/>
                <w:szCs w:val="20"/>
              </w:rPr>
            </w:pPr>
            <w:ins w:id="113" w:author="Eko Onggosanusi" w:date="2021-02-03T23:30:00Z">
              <w:del w:id="114" w:author="Darcy Tsai" w:date="2021-02-04T15:25:00Z">
                <w:r w:rsidRPr="00E7081B" w:rsidDel="00A51292">
                  <w:rPr>
                    <w:rFonts w:eastAsia="Malgun Gothic"/>
                    <w:sz w:val="20"/>
                  </w:rPr>
                  <w:delText>For each applied active BWP per CC, UE uses the corresponding BWP ID + CC ID + QCL TypeD RS source ID to locate the corresponding QCL Type-D source RS</w:delText>
                </w:r>
              </w:del>
            </w:ins>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Web"/>
              <w:numPr>
                <w:ilvl w:val="0"/>
                <w:numId w:val="24"/>
              </w:numPr>
              <w:snapToGrid w:val="0"/>
              <w:spacing w:before="0" w:after="0"/>
              <w:jc w:val="both"/>
              <w:rPr>
                <w:ins w:id="115" w:author="Eko Onggosanusi" w:date="2021-02-03T23:33:00Z"/>
                <w:sz w:val="20"/>
                <w:szCs w:val="20"/>
              </w:rPr>
            </w:pPr>
            <w:ins w:id="116" w:author="Eko Onggosanusi" w:date="2021-02-03T23:33:00Z">
              <w:r>
                <w:rPr>
                  <w:sz w:val="20"/>
                  <w:szCs w:val="20"/>
                  <w:lang w:val="en-GB"/>
                </w:rPr>
                <w:t>I</w:t>
              </w:r>
              <w:r>
                <w:rPr>
                  <w:sz w:val="20"/>
                  <w:szCs w:val="20"/>
                </w:rPr>
                <w:t>n case of separate DL/UL TCI, UL TCI uses a separate TCI state pool from joint DL/UL TCI</w:t>
              </w:r>
            </w:ins>
          </w:p>
          <w:p w14:paraId="114A9322" w14:textId="6B81923C" w:rsidR="00A51292" w:rsidRPr="00A51292" w:rsidRDefault="00A51292" w:rsidP="00A51292">
            <w:pPr>
              <w:pStyle w:val="a3"/>
              <w:numPr>
                <w:ilvl w:val="1"/>
                <w:numId w:val="24"/>
              </w:numPr>
              <w:rPr>
                <w:ins w:id="117" w:author="Darcy Tsai" w:date="2021-02-04T15:27:00Z"/>
                <w:rFonts w:eastAsia="Times New Roman"/>
                <w:sz w:val="20"/>
                <w:szCs w:val="20"/>
              </w:rPr>
            </w:pPr>
            <w:ins w:id="118" w:author="Darcy Tsai" w:date="2021-02-04T15:27:00Z">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ins>
            <w:ins w:id="119" w:author="Darcy Tsai" w:date="2021-02-04T15:31:00Z">
              <w:r>
                <w:rPr>
                  <w:rFonts w:eastAsia="Times New Roman"/>
                  <w:sz w:val="20"/>
                  <w:szCs w:val="20"/>
                </w:rPr>
                <w:t>(</w:t>
              </w:r>
            </w:ins>
            <w:ins w:id="120" w:author="Darcy Tsai" w:date="2021-02-04T15:30:00Z">
              <w:r>
                <w:rPr>
                  <w:rFonts w:eastAsia="Times New Roman"/>
                  <w:sz w:val="20"/>
                  <w:szCs w:val="20"/>
                </w:rPr>
                <w:t>in the separate TCI state pools</w:t>
              </w:r>
            </w:ins>
            <w:ins w:id="121" w:author="Darcy Tsai" w:date="2021-02-04T15:31:00Z">
              <w:r>
                <w:rPr>
                  <w:rFonts w:eastAsia="Times New Roman"/>
                  <w:sz w:val="20"/>
                  <w:szCs w:val="20"/>
                </w:rPr>
                <w:t>)</w:t>
              </w:r>
            </w:ins>
            <w:ins w:id="122" w:author="Darcy Tsai" w:date="2021-02-04T15:30:00Z">
              <w:r>
                <w:rPr>
                  <w:rFonts w:eastAsia="Times New Roman"/>
                  <w:sz w:val="20"/>
                  <w:szCs w:val="20"/>
                </w:rPr>
                <w:t xml:space="preserve"> </w:t>
              </w:r>
            </w:ins>
            <w:ins w:id="123" w:author="Darcy Tsai" w:date="2021-02-04T15:27:00Z">
              <w:r w:rsidRPr="00A51292">
                <w:rPr>
                  <w:rFonts w:eastAsia="Times New Roman"/>
                  <w:sz w:val="20"/>
                  <w:szCs w:val="20"/>
                </w:rPr>
                <w:t xml:space="preserve">indicated by a common TCI state ID is used to </w:t>
              </w:r>
            </w:ins>
            <w:ins w:id="124" w:author="Darcy Tsai" w:date="2021-02-04T15:31:00Z">
              <w:r w:rsidRPr="00A51292">
                <w:rPr>
                  <w:rFonts w:eastAsia="Times New Roman"/>
                  <w:sz w:val="20"/>
                  <w:szCs w:val="20"/>
                </w:rPr>
                <w:t>determine UL TX spatial filter across the set of configured CCs</w:t>
              </w:r>
            </w:ins>
          </w:p>
          <w:p w14:paraId="63555B12" w14:textId="77777777" w:rsidR="00A51292" w:rsidRDefault="00A51292" w:rsidP="00A51292">
            <w:pPr>
              <w:pStyle w:val="Web"/>
              <w:numPr>
                <w:ilvl w:val="1"/>
                <w:numId w:val="24"/>
              </w:numPr>
              <w:snapToGrid w:val="0"/>
              <w:spacing w:before="0" w:after="0"/>
              <w:jc w:val="both"/>
              <w:rPr>
                <w:ins w:id="125" w:author="Eko Onggosanusi" w:date="2021-02-03T23:33:00Z"/>
                <w:sz w:val="20"/>
                <w:szCs w:val="20"/>
              </w:rPr>
            </w:pPr>
            <w:ins w:id="126" w:author="Eko Onggosanusi" w:date="2021-02-03T23:33:00Z">
              <w:r>
                <w:rPr>
                  <w:sz w:val="20"/>
                  <w:szCs w:val="20"/>
                </w:rPr>
                <w:t>Note: By previous agreements, DL TCI shares the same TCI state pool as joint DL/UL TCI</w:t>
              </w:r>
            </w:ins>
          </w:p>
          <w:p w14:paraId="39EED841" w14:textId="62AD247B" w:rsidR="00A51292" w:rsidRDefault="00A51292" w:rsidP="00C505A6">
            <w:pPr>
              <w:snapToGrid w:val="0"/>
              <w:rPr>
                <w:rFonts w:eastAsia="Yu Mincho" w:hint="eastAsia"/>
                <w:sz w:val="18"/>
                <w:szCs w:val="18"/>
                <w:lang w:eastAsia="zh-TW"/>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3CADEF6"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3433226D" w14:textId="77777777" w:rsidR="00662873" w:rsidRDefault="00864CB1" w:rsidP="003F2B09">
            <w:pPr>
              <w:pStyle w:val="a3"/>
              <w:numPr>
                <w:ilvl w:val="0"/>
                <w:numId w:val="39"/>
              </w:numPr>
              <w:snapToGrid w:val="0"/>
              <w:spacing w:after="0" w:line="240" w:lineRule="auto"/>
              <w:rPr>
                <w:ins w:id="127" w:author="Eko Onggosanusi" w:date="2021-02-03T23:47:00Z"/>
                <w:sz w:val="20"/>
                <w:szCs w:val="28"/>
                <w:lang w:eastAsia="zh-CN"/>
              </w:rPr>
            </w:pPr>
            <w:ins w:id="128" w:author="Eko Onggosanusi" w:date="2021-02-03T23:46:00Z">
              <w:r>
                <w:rPr>
                  <w:sz w:val="20"/>
                  <w:szCs w:val="28"/>
                  <w:lang w:eastAsia="zh-CN"/>
                </w:rPr>
                <w:t>FFS: Whether t</w:t>
              </w:r>
            </w:ins>
            <w:del w:id="129" w:author="Eko Onggosanusi" w:date="2021-02-03T23:46:00Z">
              <w:r w:rsidR="003F2B09" w:rsidRPr="004C5CDE" w:rsidDel="00864CB1">
                <w:rPr>
                  <w:sz w:val="20"/>
                  <w:szCs w:val="28"/>
                  <w:lang w:eastAsia="zh-CN"/>
                </w:rPr>
                <w:delText>T</w:delText>
              </w:r>
            </w:del>
            <w:r w:rsidR="003F2B09" w:rsidRPr="004C5CDE">
              <w:rPr>
                <w:sz w:val="20"/>
                <w:szCs w:val="28"/>
                <w:lang w:eastAsia="zh-CN"/>
              </w:rPr>
              <w:t>he L1/L2-centri</w:t>
            </w:r>
            <w:r w:rsidR="00EC7475" w:rsidRPr="004C5CDE">
              <w:rPr>
                <w:sz w:val="20"/>
                <w:szCs w:val="28"/>
                <w:lang w:eastAsia="zh-CN"/>
              </w:rPr>
              <w:t>c</w:t>
            </w:r>
            <w:r w:rsidR="003F2B09" w:rsidRPr="004C5CDE">
              <w:rPr>
                <w:sz w:val="20"/>
                <w:szCs w:val="28"/>
                <w:lang w:eastAsia="zh-CN"/>
              </w:rPr>
              <w:t xml:space="preserve"> inter-cell mobility </w:t>
            </w:r>
            <w:del w:id="130" w:author="Eko Onggosanusi" w:date="2021-02-03T23:47:00Z">
              <w:r w:rsidR="003F2B09" w:rsidRPr="004C5CDE" w:rsidDel="00864CB1">
                <w:rPr>
                  <w:sz w:val="20"/>
                  <w:szCs w:val="28"/>
                  <w:lang w:eastAsia="zh-CN"/>
                </w:rPr>
                <w:delText xml:space="preserve">does not </w:delText>
              </w:r>
            </w:del>
            <w:r w:rsidR="003F2B09" w:rsidRPr="004C5CDE">
              <w:rPr>
                <w:sz w:val="20"/>
                <w:szCs w:val="28"/>
                <w:lang w:eastAsia="zh-CN"/>
              </w:rPr>
              <w:t>appl</w:t>
            </w:r>
            <w:ins w:id="131" w:author="Eko Onggosanusi" w:date="2021-02-03T23:47:00Z">
              <w:r>
                <w:rPr>
                  <w:sz w:val="20"/>
                  <w:szCs w:val="28"/>
                  <w:lang w:eastAsia="zh-CN"/>
                </w:rPr>
                <w:t>ies</w:t>
              </w:r>
            </w:ins>
            <w:del w:id="132" w:author="Eko Onggosanusi" w:date="2021-02-03T23:47:00Z">
              <w:r w:rsidR="003F2B09" w:rsidRPr="004C5CDE" w:rsidDel="00864CB1">
                <w:rPr>
                  <w:sz w:val="20"/>
                  <w:szCs w:val="28"/>
                  <w:lang w:eastAsia="zh-CN"/>
                </w:rPr>
                <w:delText>y</w:delText>
              </w:r>
            </w:del>
            <w:r w:rsidR="003F2B09" w:rsidRPr="004C5CDE">
              <w:rPr>
                <w:sz w:val="20"/>
                <w:szCs w:val="28"/>
                <w:lang w:eastAsia="zh-CN"/>
              </w:rPr>
              <w:t xml:space="preserve"> to inter-band CA</w:t>
            </w:r>
            <w:ins w:id="133" w:author="Eko Onggosanusi" w:date="2021-02-03T23:47:00Z">
              <w:r w:rsidR="00662873">
                <w:rPr>
                  <w:sz w:val="20"/>
                  <w:szCs w:val="28"/>
                  <w:lang w:eastAsia="zh-CN"/>
                </w:rPr>
                <w:t xml:space="preserve"> or not</w:t>
              </w:r>
            </w:ins>
            <w:r w:rsidR="003F2B09" w:rsidRPr="004C5CDE">
              <w:rPr>
                <w:sz w:val="20"/>
                <w:szCs w:val="28"/>
                <w:lang w:eastAsia="zh-CN"/>
              </w:rPr>
              <w:t xml:space="preserve"> </w:t>
            </w:r>
            <w:del w:id="134" w:author="Eko Onggosanusi" w:date="2021-02-03T23:47:00Z">
              <w:r w:rsidR="003F2B09" w:rsidRPr="004C5CDE" w:rsidDel="00662873">
                <w:rPr>
                  <w:sz w:val="20"/>
                  <w:szCs w:val="28"/>
                  <w:lang w:eastAsia="zh-CN"/>
                </w:rPr>
                <w:delText xml:space="preserve">and </w:delText>
              </w:r>
            </w:del>
          </w:p>
          <w:p w14:paraId="6DCFE589" w14:textId="51643CEC" w:rsidR="003F2B09" w:rsidRPr="004C5CDE" w:rsidRDefault="00662873" w:rsidP="003F2B09">
            <w:pPr>
              <w:pStyle w:val="a3"/>
              <w:numPr>
                <w:ilvl w:val="0"/>
                <w:numId w:val="39"/>
              </w:numPr>
              <w:snapToGrid w:val="0"/>
              <w:spacing w:after="0" w:line="240" w:lineRule="auto"/>
              <w:rPr>
                <w:sz w:val="20"/>
                <w:szCs w:val="28"/>
                <w:lang w:eastAsia="zh-CN"/>
              </w:rPr>
            </w:pPr>
            <w:ins w:id="135" w:author="Eko Onggosanusi" w:date="2021-02-03T23:47:00Z">
              <w:r w:rsidRPr="004C5CDE">
                <w:rPr>
                  <w:sz w:val="20"/>
                  <w:szCs w:val="28"/>
                  <w:lang w:eastAsia="zh-CN"/>
                </w:rPr>
                <w:t xml:space="preserve">The L1/L2-centric inter-cell mobility </w:t>
              </w:r>
              <w:r w:rsidR="00BC3B76">
                <w:rPr>
                  <w:sz w:val="20"/>
                  <w:szCs w:val="28"/>
                  <w:lang w:eastAsia="zh-CN"/>
                </w:rPr>
                <w:t>does not apply</w:t>
              </w:r>
              <w:r>
                <w:rPr>
                  <w:sz w:val="20"/>
                  <w:szCs w:val="28"/>
                  <w:lang w:eastAsia="zh-CN"/>
                </w:rPr>
                <w:t xml:space="preserve"> to </w:t>
              </w:r>
            </w:ins>
            <w:r w:rsidR="003F2B09" w:rsidRPr="004C5CDE">
              <w:rPr>
                <w:sz w:val="20"/>
                <w:szCs w:val="28"/>
                <w:lang w:eastAsia="zh-CN"/>
              </w:rPr>
              <w:t>inter-frequency scenarios.</w:t>
            </w:r>
          </w:p>
          <w:p w14:paraId="163CFD12" w14:textId="405DCA1A" w:rsidR="0042246A" w:rsidRPr="004C5CDE" w:rsidRDefault="0042246A" w:rsidP="003F2B09">
            <w:pPr>
              <w:pStyle w:val="a3"/>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b"/>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w:t>
            </w:r>
            <w:r>
              <w:rPr>
                <w:rFonts w:eastAsia="Yu Mincho"/>
                <w:sz w:val="18"/>
                <w:lang w:eastAsia="ja-JP"/>
              </w:rPr>
              <w:lastRenderedPageBreak/>
              <w:t>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b"/>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lastRenderedPageBreak/>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lastRenderedPageBreak/>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lastRenderedPageBreak/>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136"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ins w:id="137"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138" w:author="Eko Onggosanusi" w:date="2021-02-03T23:48:00Z">
              <w:r>
                <w:rPr>
                  <w:rFonts w:eastAsia="Yu Mincho"/>
                  <w:sz w:val="18"/>
                  <w:lang w:eastAsia="ja-JP"/>
                </w:rPr>
                <w:t>{Mod: Done, separated the inter-band CA and inter-frequency}</w:t>
              </w:r>
            </w:ins>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ins w:id="139" w:author="Darcy Tsai" w:date="2021-02-04T15:32:00Z"/>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rPr>
          <w:ins w:id="140"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141" w:author="Eko Onggosanusi" w:date="2021-02-03T23:53:00Z"/>
                <w:rFonts w:eastAsia="Yu Mincho"/>
                <w:sz w:val="18"/>
                <w:szCs w:val="18"/>
                <w:lang w:eastAsia="ja-JP"/>
              </w:rPr>
            </w:pPr>
            <w:ins w:id="142"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143" w:author="Eko Onggosanusi" w:date="2021-02-03T23:53:00Z"/>
                <w:rFonts w:eastAsia="Yu Mincho"/>
                <w:sz w:val="18"/>
                <w:lang w:eastAsia="ja-JP"/>
              </w:rPr>
            </w:pPr>
            <w:ins w:id="144" w:author="Eko Onggosanusi" w:date="2021-02-03T23:53:00Z">
              <w:r>
                <w:rPr>
                  <w:rFonts w:eastAsia="Yu Mincho"/>
                  <w:sz w:val="18"/>
                  <w:lang w:eastAsia="ja-JP"/>
                </w:rPr>
                <w:t>Slight revision to accommodate concern from NTT Docomo</w:t>
              </w:r>
            </w:ins>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lastRenderedPageBreak/>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77777777" w:rsidR="00C505A6" w:rsidRDefault="00C505A6" w:rsidP="00C505A6">
            <w:pPr>
              <w:snapToGrid w:val="0"/>
              <w:rPr>
                <w:rFonts w:eastAsia="Yu Mincho"/>
                <w:sz w:val="18"/>
                <w:lang w:eastAsia="ja-JP"/>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lastRenderedPageBreak/>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ins w:id="145" w:author="Eko Onggosanusi" w:date="2021-02-03T23:52:00Z">
              <w:r w:rsidR="00133A23">
                <w:rPr>
                  <w:rFonts w:ascii="Times" w:eastAsia="Batang" w:hAnsi="Times" w:cs="Times New Roman"/>
                  <w:sz w:val="20"/>
                  <w:szCs w:val="20"/>
                  <w:lang w:val="en-GB" w:eastAsia="en-US"/>
                </w:rPr>
                <w:t xml:space="preserve">successfully </w:t>
              </w:r>
            </w:ins>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ins w:id="146" w:author="Eko Onggosanusi" w:date="2021-02-03T23:49:00Z">
              <w:r w:rsidR="009C067B">
                <w:rPr>
                  <w:rFonts w:ascii="Times" w:eastAsia="Batang" w:hAnsi="Times"/>
                  <w:sz w:val="20"/>
                  <w:szCs w:val="20"/>
                  <w:lang w:val="en-GB"/>
                </w:rPr>
                <w:t>, if it exists,</w:t>
              </w:r>
            </w:ins>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lastRenderedPageBreak/>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lastRenderedPageBreak/>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TW"/>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8"/>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8"/>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147" w:author="Eko Onggosanusi" w:date="2021-02-03T23:50:00Z"/>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148" w:author="Eko Onggosanusi" w:date="2021-02-03T23:50:00Z">
              <w:r>
                <w:rPr>
                  <w:rFonts w:eastAsia="Yu Mincho"/>
                  <w:sz w:val="18"/>
                  <w:szCs w:val="18"/>
                  <w:lang w:eastAsia="ja-JP"/>
                </w:rPr>
                <w:t>{Mod: Added “successfully”. If it is not successfully received, nothing</w:t>
              </w:r>
            </w:ins>
            <w:ins w:id="149" w:author="Eko Onggosanusi" w:date="2021-02-03T23:51:00Z">
              <w:r>
                <w:rPr>
                  <w:rFonts w:eastAsia="Yu Mincho"/>
                  <w:sz w:val="18"/>
                  <w:szCs w:val="18"/>
                  <w:lang w:eastAsia="ja-JP"/>
                </w:rPr>
                <w:t xml:space="preserve"> required</w:t>
              </w:r>
            </w:ins>
            <w:ins w:id="150" w:author="Eko Onggosanusi" w:date="2021-02-03T23:50:00Z">
              <w:r>
                <w:rPr>
                  <w:rFonts w:eastAsia="Yu Mincho"/>
                  <w:sz w:val="18"/>
                  <w:szCs w:val="18"/>
                  <w:lang w:eastAsia="ja-JP"/>
                </w:rPr>
                <w:t xml:space="preserve"> is done at the UE side. So there is no change in TCI state assumption (not specified</w:t>
              </w:r>
            </w:ins>
            <w:ins w:id="151" w:author="Eko Onggosanusi" w:date="2021-02-03T23:51:00Z">
              <w:r>
                <w:rPr>
                  <w:rFonts w:eastAsia="Yu Mincho"/>
                  <w:sz w:val="18"/>
                  <w:szCs w:val="18"/>
                  <w:lang w:eastAsia="ja-JP"/>
                </w:rPr>
                <w:t xml:space="preserve"> – left to UE implementation, e.g. doing nothing is possible, or something else</w:t>
              </w:r>
            </w:ins>
            <w:ins w:id="152" w:author="Eko Onggosanusi" w:date="2021-02-03T23:50:00Z">
              <w:r>
                <w:rPr>
                  <w:rFonts w:eastAsia="Yu Mincho"/>
                  <w:sz w:val="18"/>
                  <w:szCs w:val="18"/>
                  <w:lang w:eastAsia="ja-JP"/>
                </w:rPr>
                <w:t>)}</w:t>
              </w:r>
            </w:ins>
          </w:p>
          <w:p w14:paraId="6E4E0BA4" w14:textId="77777777" w:rsidR="00854176" w:rsidRDefault="00F45042" w:rsidP="00854176">
            <w:pPr>
              <w:snapToGrid w:val="0"/>
              <w:rPr>
                <w:ins w:id="153" w:author="Eko Onggosanusi" w:date="2021-02-03T23:51:00Z"/>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154" w:author="Eko Onggosanusi" w:date="2021-02-03T23:51:00Z">
              <w:r>
                <w:rPr>
                  <w:sz w:val="18"/>
                  <w:szCs w:val="18"/>
                  <w:lang w:eastAsia="zh-CN"/>
                </w:rPr>
                <w:t>{Mod: Most companies understand that Alt2A is always the largest with proper selection of X</w:t>
              </w:r>
            </w:ins>
            <w:ins w:id="155" w:author="Eko Onggosanusi" w:date="2021-02-03T23:52:00Z">
              <w:r>
                <w:rPr>
                  <w:sz w:val="18"/>
                  <w:szCs w:val="18"/>
                  <w:lang w:eastAsia="zh-CN"/>
                </w:rPr>
                <w:t>1</w:t>
              </w:r>
            </w:ins>
            <w:ins w:id="156" w:author="Eko Onggosanusi" w:date="2021-02-03T23:51:00Z">
              <w:r>
                <w:rPr>
                  <w:sz w:val="18"/>
                  <w:szCs w:val="18"/>
                  <w:lang w:eastAsia="zh-CN"/>
                </w:rPr>
                <w:t>/Y</w:t>
              </w:r>
            </w:ins>
            <w:ins w:id="157" w:author="Eko Onggosanusi" w:date="2021-02-03T23:52:00Z">
              <w:r>
                <w:rPr>
                  <w:sz w:val="18"/>
                  <w:szCs w:val="18"/>
                  <w:lang w:eastAsia="zh-CN"/>
                </w:rPr>
                <w:t>1 or X2/Y2</w:t>
              </w:r>
            </w:ins>
            <w:ins w:id="158" w:author="Eko Onggosanusi" w:date="2021-02-03T23:51:00Z">
              <w:r>
                <w:rPr>
                  <w:sz w:val="18"/>
                  <w:szCs w:val="18"/>
                  <w:lang w:eastAsia="zh-CN"/>
                </w:rPr>
                <w:t xml:space="preserve"> values</w:t>
              </w:r>
            </w:ins>
            <w:ins w:id="159" w:author="Eko Onggosanusi" w:date="2021-02-03T23:52:00Z">
              <w:r w:rsidR="00857DB9">
                <w:rPr>
                  <w:sz w:val="18"/>
                  <w:szCs w:val="18"/>
                  <w:lang w:eastAsia="zh-CN"/>
                </w:rPr>
                <w:t>. But otherwise, you are correct it is the max of the two.</w:t>
              </w:r>
            </w:ins>
            <w:ins w:id="160"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w:t>
            </w:r>
            <w:r w:rsidRPr="00864DF1">
              <w:rPr>
                <w:rFonts w:eastAsia="Yu Mincho"/>
                <w:sz w:val="18"/>
                <w:szCs w:val="18"/>
                <w:lang w:eastAsia="ja-JP"/>
              </w:rPr>
              <w:lastRenderedPageBreak/>
              <w:t>(same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rPr>
          <w:ins w:id="161"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ins w:id="162" w:author="Eko Onggosanusi" w:date="2021-02-03T23:53:00Z"/>
                <w:rFonts w:eastAsia="Yu Mincho"/>
                <w:sz w:val="18"/>
                <w:szCs w:val="18"/>
                <w:lang w:eastAsia="ja-JP"/>
              </w:rPr>
            </w:pPr>
            <w:ins w:id="163" w:author="Eko Onggosanusi" w:date="2021-02-03T23:53:00Z">
              <w:r>
                <w:rPr>
                  <w:rFonts w:eastAsia="Yu Mincho"/>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164" w:author="Eko Onggosanusi" w:date="2021-02-03T23:53:00Z"/>
                <w:rFonts w:eastAsia="Yu Mincho"/>
                <w:sz w:val="18"/>
                <w:szCs w:val="18"/>
                <w:lang w:eastAsia="ja-JP"/>
              </w:rPr>
            </w:pPr>
            <w:ins w:id="165" w:author="Eko Onggosanusi" w:date="2021-02-03T23:53:00Z">
              <w:r>
                <w:rPr>
                  <w:rFonts w:eastAsia="Yu Mincho"/>
                  <w:sz w:val="18"/>
                  <w:szCs w:val="18"/>
                  <w:lang w:eastAsia="ja-JP"/>
                </w:rPr>
                <w:t>Slight revision to accommodate inputs from Sony and NTT Docomo</w:t>
              </w:r>
            </w:ins>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bookmarkStart w:id="166" w:name="_GoBack"/>
            <w:bookmarkEnd w:id="166"/>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A7C5F" w14:textId="77777777" w:rsidR="006840FE" w:rsidRDefault="006840FE">
      <w:r>
        <w:separator/>
      </w:r>
    </w:p>
  </w:endnote>
  <w:endnote w:type="continuationSeparator" w:id="0">
    <w:p w14:paraId="11BC76C9" w14:textId="77777777" w:rsidR="006840FE" w:rsidRDefault="0068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5D7FF" w14:textId="77777777" w:rsidR="006840FE" w:rsidRDefault="006840FE">
      <w:r>
        <w:rPr>
          <w:color w:val="000000"/>
        </w:rPr>
        <w:separator/>
      </w:r>
    </w:p>
  </w:footnote>
  <w:footnote w:type="continuationSeparator" w:id="0">
    <w:p w14:paraId="28D49182" w14:textId="77777777" w:rsidR="006840FE" w:rsidRDefault="00684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5"/>
  </w:num>
  <w:num w:numId="3">
    <w:abstractNumId w:val="3"/>
  </w:num>
  <w:num w:numId="4">
    <w:abstractNumId w:val="17"/>
  </w:num>
  <w:num w:numId="5">
    <w:abstractNumId w:val="29"/>
  </w:num>
  <w:num w:numId="6">
    <w:abstractNumId w:val="47"/>
  </w:num>
  <w:num w:numId="7">
    <w:abstractNumId w:val="25"/>
  </w:num>
  <w:num w:numId="8">
    <w:abstractNumId w:val="16"/>
  </w:num>
  <w:num w:numId="9">
    <w:abstractNumId w:val="9"/>
  </w:num>
  <w:num w:numId="10">
    <w:abstractNumId w:val="7"/>
  </w:num>
  <w:num w:numId="11">
    <w:abstractNumId w:val="41"/>
  </w:num>
  <w:num w:numId="12">
    <w:abstractNumId w:val="45"/>
  </w:num>
  <w:num w:numId="13">
    <w:abstractNumId w:val="34"/>
  </w:num>
  <w:num w:numId="14">
    <w:abstractNumId w:val="36"/>
  </w:num>
  <w:num w:numId="15">
    <w:abstractNumId w:val="43"/>
  </w:num>
  <w:num w:numId="16">
    <w:abstractNumId w:val="35"/>
  </w:num>
  <w:num w:numId="17">
    <w:abstractNumId w:val="8"/>
  </w:num>
  <w:num w:numId="18">
    <w:abstractNumId w:val="31"/>
  </w:num>
  <w:num w:numId="19">
    <w:abstractNumId w:val="2"/>
  </w:num>
  <w:num w:numId="20">
    <w:abstractNumId w:val="30"/>
  </w:num>
  <w:num w:numId="21">
    <w:abstractNumId w:val="0"/>
  </w:num>
  <w:num w:numId="22">
    <w:abstractNumId w:val="38"/>
  </w:num>
  <w:num w:numId="23">
    <w:abstractNumId w:val="10"/>
  </w:num>
  <w:num w:numId="24">
    <w:abstractNumId w:val="24"/>
  </w:num>
  <w:num w:numId="25">
    <w:abstractNumId w:val="6"/>
  </w:num>
  <w:num w:numId="26">
    <w:abstractNumId w:val="37"/>
  </w:num>
  <w:num w:numId="27">
    <w:abstractNumId w:val="21"/>
  </w:num>
  <w:num w:numId="28">
    <w:abstractNumId w:val="33"/>
  </w:num>
  <w:num w:numId="29">
    <w:abstractNumId w:val="1"/>
  </w:num>
  <w:num w:numId="30">
    <w:abstractNumId w:val="32"/>
  </w:num>
  <w:num w:numId="31">
    <w:abstractNumId w:val="42"/>
  </w:num>
  <w:num w:numId="32">
    <w:abstractNumId w:val="28"/>
  </w:num>
  <w:num w:numId="33">
    <w:abstractNumId w:val="39"/>
  </w:num>
  <w:num w:numId="34">
    <w:abstractNumId w:val="23"/>
  </w:num>
  <w:num w:numId="35">
    <w:abstractNumId w:val="23"/>
  </w:num>
  <w:num w:numId="36">
    <w:abstractNumId w:val="23"/>
  </w:num>
  <w:num w:numId="37">
    <w:abstractNumId w:val="26"/>
  </w:num>
  <w:num w:numId="38">
    <w:abstractNumId w:val="44"/>
  </w:num>
  <w:num w:numId="39">
    <w:abstractNumId w:val="27"/>
  </w:num>
  <w:num w:numId="40">
    <w:abstractNumId w:val="19"/>
  </w:num>
  <w:num w:numId="41">
    <w:abstractNumId w:val="14"/>
    <w:lvlOverride w:ilvl="0">
      <w:startOverride w:val="1"/>
    </w:lvlOverride>
  </w:num>
  <w:num w:numId="42">
    <w:abstractNumId w:val="20"/>
  </w:num>
  <w:num w:numId="43">
    <w:abstractNumId w:val="48"/>
  </w:num>
  <w:num w:numId="44">
    <w:abstractNumId w:val="4"/>
  </w:num>
  <w:num w:numId="45">
    <w:abstractNumId w:val="22"/>
  </w:num>
  <w:num w:numId="46">
    <w:abstractNumId w:val="13"/>
  </w:num>
  <w:num w:numId="47">
    <w:abstractNumId w:val="46"/>
  </w:num>
  <w:num w:numId="48">
    <w:abstractNumId w:val="18"/>
  </w:num>
  <w:num w:numId="49">
    <w:abstractNumId w:val="15"/>
  </w:num>
  <w:num w:numId="50">
    <w:abstractNumId w:val="11"/>
  </w:num>
  <w:num w:numId="51">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08EA-42F9-40EB-83A1-5FC41A29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16560</Words>
  <Characters>94397</Characters>
  <Application>Microsoft Office Word</Application>
  <DocSecurity>0</DocSecurity>
  <Lines>786</Lines>
  <Paragraphs>221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2021-02-04T07:05:00Z</dcterms:created>
  <dcterms:modified xsi:type="dcterms:W3CDTF">2021-02-04T07:33:00Z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