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117FB86" w14:textId="2096BCD6" w:rsidR="00E7081B"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E7081B">
              <w:rPr>
                <w:sz w:val="20"/>
                <w:szCs w:val="20"/>
              </w:rPr>
              <w:t>On Rel.17 unified TCI framework:</w:t>
            </w:r>
            <w:r w:rsidR="009E4223">
              <w:rPr>
                <w:sz w:val="20"/>
                <w:szCs w:val="20"/>
              </w:rPr>
              <w:t xml:space="preserve"> </w:t>
            </w:r>
          </w:p>
          <w:p w14:paraId="0FCE6D00" w14:textId="2221C358" w:rsidR="00446EBE" w:rsidRDefault="00E7081B" w:rsidP="00E7081B">
            <w:pPr>
              <w:pStyle w:val="NormalWeb"/>
              <w:numPr>
                <w:ilvl w:val="0"/>
                <w:numId w:val="47"/>
              </w:numPr>
              <w:snapToGrid w:val="0"/>
              <w:spacing w:before="0" w:after="0"/>
              <w:jc w:val="both"/>
              <w:rPr>
                <w:sz w:val="20"/>
                <w:szCs w:val="20"/>
              </w:rPr>
            </w:pPr>
            <w:r>
              <w:rPr>
                <w:sz w:val="20"/>
                <w:szCs w:val="20"/>
              </w:rPr>
              <w:t>S</w:t>
            </w:r>
            <w:r w:rsidR="009E4223">
              <w:rPr>
                <w:sz w:val="20"/>
                <w:szCs w:val="20"/>
              </w:rPr>
              <w:t>upport the following TCI state pool design for carrier aggregation (CA):</w:t>
            </w:r>
          </w:p>
          <w:p w14:paraId="2AA0AF1D" w14:textId="3F8AAD70" w:rsidR="00EE0CD3" w:rsidRPr="00EE0CD3" w:rsidRDefault="009E4223" w:rsidP="00E7081B">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r w:rsidR="00387168">
              <w:rPr>
                <w:rFonts w:eastAsia="Batang" w:cs="Times New Roman"/>
                <w:sz w:val="20"/>
                <w:szCs w:val="20"/>
                <w:lang w:val="en-GB" w:eastAsia="zh-CN"/>
              </w:rPr>
              <w:t xml:space="preserve"> (of all applicable types)</w:t>
            </w:r>
            <w:r w:rsidR="00A1597F">
              <w:rPr>
                <w:rFonts w:eastAsia="Batang" w:cs="Times New Roman"/>
                <w:sz w:val="20"/>
                <w:szCs w:val="20"/>
                <w:lang w:val="en-GB" w:eastAsia="zh-CN"/>
              </w:rPr>
              <w:t xml:space="preserve"> and UL TX spatial reference</w:t>
            </w:r>
          </w:p>
          <w:p w14:paraId="7D0665C8" w14:textId="4944888A" w:rsidR="004E5959" w:rsidRPr="004E5959" w:rsidRDefault="00EE0CD3"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536DF7C" w:rsidR="009E4223" w:rsidRPr="00A23128" w:rsidRDefault="004E5959"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141B74B" w:rsidR="00A23128" w:rsidRPr="004E5959" w:rsidRDefault="00A23128" w:rsidP="00E7081B">
            <w:pPr>
              <w:numPr>
                <w:ilvl w:val="3"/>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E075AA0" w14:textId="77777777" w:rsidR="00E7081B" w:rsidRPr="00E7081B" w:rsidRDefault="00E7081B" w:rsidP="00E7081B">
            <w:pPr>
              <w:numPr>
                <w:ilvl w:val="2"/>
                <w:numId w:val="24"/>
              </w:numPr>
              <w:suppressAutoHyphens/>
              <w:autoSpaceDN w:val="0"/>
              <w:snapToGrid w:val="0"/>
              <w:jc w:val="both"/>
              <w:textAlignment w:val="baseline"/>
              <w:rPr>
                <w:ins w:id="2" w:author="Eko Onggosanusi" w:date="2021-02-03T23:30:00Z"/>
                <w:sz w:val="20"/>
                <w:szCs w:val="20"/>
              </w:rPr>
            </w:pPr>
            <w:ins w:id="3" w:author="Eko Onggosanusi" w:date="2021-02-03T23:30:00Z">
              <w:r w:rsidRPr="00E7081B">
                <w:rPr>
                  <w:rFonts w:eastAsia="Batang"/>
                  <w:sz w:val="20"/>
                  <w:szCs w:val="20"/>
                  <w:shd w:val="clear" w:color="auto" w:fill="FFFFFF"/>
                  <w:lang w:val="en-GB"/>
                </w:rPr>
                <w:t xml:space="preserve">For QCL Type-D, a CC ID for QCL-Type D source RS can be absent in a TCI state. </w:t>
              </w:r>
            </w:ins>
          </w:p>
          <w:p w14:paraId="3B2C7DDF" w14:textId="77777777" w:rsidR="00E7081B" w:rsidRPr="00E7081B" w:rsidRDefault="00E7081B" w:rsidP="00E7081B">
            <w:pPr>
              <w:numPr>
                <w:ilvl w:val="2"/>
                <w:numId w:val="24"/>
              </w:numPr>
              <w:suppressAutoHyphens/>
              <w:autoSpaceDN w:val="0"/>
              <w:snapToGrid w:val="0"/>
              <w:jc w:val="both"/>
              <w:textAlignment w:val="baseline"/>
              <w:rPr>
                <w:ins w:id="4" w:author="Eko Onggosanusi" w:date="2021-02-03T23:30:00Z"/>
                <w:sz w:val="20"/>
                <w:szCs w:val="20"/>
              </w:rPr>
            </w:pPr>
            <w:ins w:id="5" w:author="Eko Onggosanusi" w:date="2021-02-03T23:30:00Z">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the CC ID for QCL-Type D source RS is absent in the TCI state, the CC ID for QCL-Type D source RS is determined according to a target CC of the TCI state and configured with source RS ID</w:t>
              </w:r>
            </w:ins>
          </w:p>
          <w:p w14:paraId="34E5B45F" w14:textId="77777777" w:rsidR="00E7081B" w:rsidRPr="00E7081B" w:rsidRDefault="00E7081B" w:rsidP="00E7081B">
            <w:pPr>
              <w:numPr>
                <w:ilvl w:val="3"/>
                <w:numId w:val="24"/>
              </w:numPr>
              <w:suppressAutoHyphens/>
              <w:autoSpaceDN w:val="0"/>
              <w:snapToGrid w:val="0"/>
              <w:jc w:val="both"/>
              <w:textAlignment w:val="baseline"/>
              <w:rPr>
                <w:ins w:id="6" w:author="Eko Onggosanusi" w:date="2021-02-03T23:30:00Z"/>
                <w:sz w:val="22"/>
                <w:szCs w:val="20"/>
              </w:rPr>
            </w:pPr>
            <w:ins w:id="7" w:author="Eko Onggosanusi" w:date="2021-02-03T23:30:00Z">
              <w:r w:rsidRPr="00E7081B">
                <w:rPr>
                  <w:rFonts w:eastAsia="Malgun Gothic"/>
                  <w:sz w:val="20"/>
                </w:rPr>
                <w:t>For each applied active BWP per CC, UE uses the corresponding BWP ID + CC ID + QCL TypeD RS source ID to locate the corresponding QCL Type-D source RS</w:t>
              </w:r>
            </w:ins>
          </w:p>
          <w:p w14:paraId="212160C9" w14:textId="188ABCC3" w:rsidR="004E5959" w:rsidRPr="004E5959" w:rsidRDefault="004E5959" w:rsidP="00E7081B">
            <w:pPr>
              <w:numPr>
                <w:ilvl w:val="2"/>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E7081B">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7C183098" w14:textId="77777777" w:rsidR="0059234A" w:rsidRDefault="0059234A" w:rsidP="0059234A">
            <w:pPr>
              <w:pStyle w:val="NormalWeb"/>
              <w:numPr>
                <w:ilvl w:val="0"/>
                <w:numId w:val="24"/>
              </w:numPr>
              <w:snapToGrid w:val="0"/>
              <w:spacing w:before="0" w:after="0"/>
              <w:jc w:val="both"/>
              <w:rPr>
                <w:ins w:id="8" w:author="Eko Onggosanusi" w:date="2021-02-03T23:33:00Z"/>
                <w:sz w:val="20"/>
                <w:szCs w:val="20"/>
              </w:rPr>
            </w:pPr>
            <w:ins w:id="9" w:author="Eko Onggosanusi" w:date="2021-02-03T23:33:00Z">
              <w:r>
                <w:rPr>
                  <w:sz w:val="20"/>
                  <w:szCs w:val="20"/>
                  <w:lang w:val="en-GB"/>
                </w:rPr>
                <w:t>I</w:t>
              </w:r>
              <w:r>
                <w:rPr>
                  <w:sz w:val="20"/>
                  <w:szCs w:val="20"/>
                </w:rPr>
                <w:t>n case of separate DL/UL TCI, UL TCI uses a separate TCI state pool from joint DL/UL TCI</w:t>
              </w:r>
            </w:ins>
          </w:p>
          <w:p w14:paraId="470D2E6E" w14:textId="77777777" w:rsidR="0059234A" w:rsidRDefault="0059234A" w:rsidP="0059234A">
            <w:pPr>
              <w:pStyle w:val="NormalWeb"/>
              <w:numPr>
                <w:ilvl w:val="1"/>
                <w:numId w:val="24"/>
              </w:numPr>
              <w:snapToGrid w:val="0"/>
              <w:spacing w:before="0" w:after="0"/>
              <w:jc w:val="both"/>
              <w:rPr>
                <w:ins w:id="10" w:author="Eko Onggosanusi" w:date="2021-02-03T23:33:00Z"/>
                <w:sz w:val="20"/>
                <w:szCs w:val="20"/>
              </w:rPr>
            </w:pPr>
            <w:ins w:id="11" w:author="Eko Onggosanusi" w:date="2021-02-03T23:33:00Z">
              <w:r>
                <w:rPr>
                  <w:sz w:val="20"/>
                  <w:szCs w:val="20"/>
                </w:rPr>
                <w:t>Note: By previous agreements, DL TCI shares the same TCI state pool as joint DL/UL TCI</w:t>
              </w:r>
            </w:ins>
          </w:p>
          <w:p w14:paraId="1A9F7DA7" w14:textId="77777777" w:rsidR="007D3127" w:rsidRDefault="007D3127" w:rsidP="009D4D35">
            <w:pPr>
              <w:pStyle w:val="NormalWeb"/>
              <w:snapToGrid w:val="0"/>
              <w:spacing w:before="0" w:after="0"/>
              <w:jc w:val="both"/>
              <w:rPr>
                <w:sz w:val="20"/>
                <w:szCs w:val="20"/>
              </w:rPr>
            </w:pPr>
          </w:p>
          <w:p w14:paraId="57C690E3" w14:textId="1C7C34C5" w:rsidR="003B4803" w:rsidDel="0059234A" w:rsidRDefault="00E42743" w:rsidP="006A0FF8">
            <w:pPr>
              <w:pStyle w:val="NormalWeb"/>
              <w:snapToGrid w:val="0"/>
              <w:spacing w:before="0" w:after="0"/>
              <w:jc w:val="both"/>
              <w:rPr>
                <w:del w:id="12" w:author="Eko Onggosanusi" w:date="2021-02-03T23:33:00Z"/>
                <w:sz w:val="20"/>
                <w:szCs w:val="20"/>
              </w:rPr>
            </w:pPr>
            <w:del w:id="13" w:author="Eko Onggosanusi" w:date="2021-02-03T23:33:00Z">
              <w:r w:rsidRPr="00E42743" w:rsidDel="0059234A">
                <w:rPr>
                  <w:b/>
                  <w:sz w:val="20"/>
                  <w:szCs w:val="20"/>
                  <w:u w:val="single"/>
                </w:rPr>
                <w:delText>Proposal 1.2</w:delText>
              </w:r>
              <w:r w:rsidDel="0059234A">
                <w:rPr>
                  <w:sz w:val="20"/>
                  <w:szCs w:val="20"/>
                </w:rPr>
                <w:delText xml:space="preserve">: </w:delText>
              </w:r>
              <w:r w:rsidR="00992466" w:rsidDel="0059234A">
                <w:rPr>
                  <w:sz w:val="20"/>
                  <w:szCs w:val="20"/>
                </w:rPr>
                <w:delText xml:space="preserve">On Rel.17 unified TCI framework, </w:delText>
              </w:r>
              <w:r w:rsidR="00F765EB" w:rsidDel="0059234A">
                <w:rPr>
                  <w:sz w:val="20"/>
                  <w:szCs w:val="20"/>
                </w:rPr>
                <w:delText xml:space="preserve">in case of </w:delText>
              </w:r>
              <w:r w:rsidR="00EC0C46" w:rsidDel="0059234A">
                <w:rPr>
                  <w:sz w:val="20"/>
                  <w:szCs w:val="20"/>
                </w:rPr>
                <w:delText xml:space="preserve">separate </w:delText>
              </w:r>
              <w:r w:rsidR="006A0FF8" w:rsidDel="0059234A">
                <w:rPr>
                  <w:sz w:val="20"/>
                  <w:szCs w:val="20"/>
                </w:rPr>
                <w:delText>DL/UL TCI, d</w:delText>
              </w:r>
              <w:r w:rsidR="003B4803" w:rsidDel="0059234A">
                <w:rPr>
                  <w:sz w:val="20"/>
                  <w:szCs w:val="20"/>
                </w:rPr>
                <w:delText xml:space="preserve">ecide between the following two alternatives </w:delText>
              </w:r>
              <w:r w:rsidR="00F765EB" w:rsidDel="0059234A">
                <w:rPr>
                  <w:sz w:val="20"/>
                  <w:szCs w:val="20"/>
                </w:rPr>
                <w:delText xml:space="preserve">for UL TCI state pool design </w:delText>
              </w:r>
              <w:r w:rsidR="00EE35E0" w:rsidDel="0059234A">
                <w:rPr>
                  <w:sz w:val="20"/>
                  <w:szCs w:val="20"/>
                </w:rPr>
                <w:delText>upon the conclusion of source RS type support for DL QCL reference and UL TX spatial reference</w:delText>
              </w:r>
              <w:r w:rsidR="003B4803" w:rsidDel="0059234A">
                <w:rPr>
                  <w:sz w:val="20"/>
                  <w:szCs w:val="20"/>
                </w:rPr>
                <w:delText>:</w:delText>
              </w:r>
            </w:del>
          </w:p>
          <w:p w14:paraId="2620937E" w14:textId="1A147D0D" w:rsidR="003B4803" w:rsidDel="0059234A" w:rsidRDefault="00EE35E0" w:rsidP="006A0FF8">
            <w:pPr>
              <w:pStyle w:val="NormalWeb"/>
              <w:numPr>
                <w:ilvl w:val="0"/>
                <w:numId w:val="38"/>
              </w:numPr>
              <w:snapToGrid w:val="0"/>
              <w:spacing w:before="0" w:after="0"/>
              <w:jc w:val="both"/>
              <w:rPr>
                <w:del w:id="14" w:author="Eko Onggosanusi" w:date="2021-02-03T23:33:00Z"/>
                <w:sz w:val="20"/>
                <w:szCs w:val="20"/>
              </w:rPr>
            </w:pPr>
            <w:del w:id="15" w:author="Eko Onggosanusi" w:date="2021-02-03T23:33:00Z">
              <w:r w:rsidDel="0059234A">
                <w:rPr>
                  <w:sz w:val="20"/>
                  <w:szCs w:val="20"/>
                </w:rPr>
                <w:delText>Alt1. UL TCI shares the same TCI state pool as joint DL/UL TCI</w:delText>
              </w:r>
            </w:del>
          </w:p>
          <w:p w14:paraId="07755B24" w14:textId="20640003" w:rsidR="00EE35E0" w:rsidDel="0059234A" w:rsidRDefault="00EE35E0" w:rsidP="006A0FF8">
            <w:pPr>
              <w:pStyle w:val="NormalWeb"/>
              <w:numPr>
                <w:ilvl w:val="0"/>
                <w:numId w:val="38"/>
              </w:numPr>
              <w:snapToGrid w:val="0"/>
              <w:spacing w:before="0" w:after="0"/>
              <w:jc w:val="both"/>
              <w:rPr>
                <w:del w:id="16" w:author="Eko Onggosanusi" w:date="2021-02-03T23:33:00Z"/>
                <w:sz w:val="20"/>
                <w:szCs w:val="20"/>
              </w:rPr>
            </w:pPr>
            <w:del w:id="17" w:author="Eko Onggosanusi" w:date="2021-02-03T23:33:00Z">
              <w:r w:rsidDel="0059234A">
                <w:rPr>
                  <w:sz w:val="20"/>
                  <w:szCs w:val="20"/>
                </w:rPr>
                <w:delText>Alt2. UL TCI uses a separate TCI state pool from joint DL/UL TCI</w:delText>
              </w:r>
            </w:del>
          </w:p>
          <w:p w14:paraId="1773A492" w14:textId="2886B284" w:rsidR="00BB2729" w:rsidRPr="006D6B6A" w:rsidRDefault="00855823" w:rsidP="00855823">
            <w:pPr>
              <w:pStyle w:val="NormalWeb"/>
              <w:snapToGrid w:val="0"/>
              <w:spacing w:before="0" w:after="0"/>
              <w:jc w:val="both"/>
              <w:rPr>
                <w:sz w:val="20"/>
                <w:szCs w:val="20"/>
              </w:rPr>
            </w:pPr>
            <w:del w:id="18" w:author="Eko Onggosanusi" w:date="2021-02-03T23:33:00Z">
              <w:r w:rsidDel="0059234A">
                <w:rPr>
                  <w:sz w:val="20"/>
                  <w:szCs w:val="20"/>
                </w:rPr>
                <w:delText>Note: By previous agreements, DL TCI shares the same TCI state pool as joint DL/UL TCI</w:delText>
              </w:r>
              <w:r w:rsidR="00FB044E" w:rsidDel="0059234A">
                <w:rPr>
                  <w:sz w:val="20"/>
                  <w:szCs w:val="20"/>
                </w:rPr>
                <w:delText>.</w:delText>
              </w:r>
            </w:del>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lastRenderedPageBreak/>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lastRenderedPageBreak/>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lastRenderedPageBreak/>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lastRenderedPageBreak/>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xml:space="preserve">: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w:t>
            </w:r>
            <w:r>
              <w:rPr>
                <w:rFonts w:eastAsia="Malgun Gothic"/>
                <w:sz w:val="18"/>
              </w:rPr>
              <w:lastRenderedPageBreak/>
              <w:t>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lastRenderedPageBreak/>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lastRenderedPageBreak/>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ins w:id="19" w:author="Eko Onggosanusi" w:date="2021-02-03T23:35:00Z">
              <w:r>
                <w:rPr>
                  <w:rFonts w:eastAsia="Malgun Gothic"/>
                  <w:sz w:val="18"/>
                </w:rPr>
                <w:t xml:space="preserve">{Mod: </w:t>
              </w:r>
            </w:ins>
            <w:ins w:id="20" w:author="Eko Onggosanusi" w:date="2021-02-03T23:36:00Z">
              <w:r>
                <w:rPr>
                  <w:rFonts w:eastAsia="Malgun Gothic"/>
                  <w:sz w:val="18"/>
                </w:rPr>
                <w:t xml:space="preserve">This is basically using </w:t>
              </w:r>
            </w:ins>
            <w:ins w:id="21" w:author="Eko Onggosanusi" w:date="2021-02-03T23:38:00Z">
              <w:r>
                <w:rPr>
                  <w:rFonts w:eastAsia="Malgun Gothic"/>
                  <w:sz w:val="18"/>
                </w:rPr>
                <w:t>a similar</w:t>
              </w:r>
            </w:ins>
            <w:ins w:id="22" w:author="Eko Onggosanusi" w:date="2021-02-03T23:36:00Z">
              <w:r>
                <w:rPr>
                  <w:rFonts w:eastAsia="Malgun Gothic"/>
                  <w:sz w:val="18"/>
                </w:rPr>
                <w:t xml:space="preserve"> solution for QCL </w:t>
              </w:r>
            </w:ins>
            <w:ins w:id="23" w:author="Eko Onggosanusi" w:date="2021-02-03T23:37:00Z">
              <w:r>
                <w:rPr>
                  <w:rFonts w:eastAsia="Malgun Gothic"/>
                  <w:sz w:val="18"/>
                </w:rPr>
                <w:t>Type-</w:t>
              </w:r>
            </w:ins>
            <w:ins w:id="24" w:author="Eko Onggosanusi" w:date="2021-02-03T23:36:00Z">
              <w:r>
                <w:rPr>
                  <w:rFonts w:eastAsia="Malgun Gothic"/>
                  <w:sz w:val="18"/>
                </w:rPr>
                <w:t xml:space="preserve">A as </w:t>
              </w:r>
            </w:ins>
            <w:ins w:id="25" w:author="Eko Onggosanusi" w:date="2021-02-03T23:37:00Z">
              <w:r>
                <w:rPr>
                  <w:rFonts w:eastAsia="Malgun Gothic"/>
                  <w:sz w:val="18"/>
                </w:rPr>
                <w:t xml:space="preserve">Rel.15/16 </w:t>
              </w:r>
            </w:ins>
            <w:ins w:id="26" w:author="Eko Onggosanusi" w:date="2021-02-03T23:36:00Z">
              <w:r>
                <w:rPr>
                  <w:rFonts w:eastAsia="Malgun Gothic"/>
                  <w:sz w:val="18"/>
                </w:rPr>
                <w:t xml:space="preserve">QCL </w:t>
              </w:r>
            </w:ins>
            <w:ins w:id="27" w:author="Eko Onggosanusi" w:date="2021-02-03T23:37:00Z">
              <w:r>
                <w:rPr>
                  <w:rFonts w:eastAsia="Malgun Gothic"/>
                  <w:sz w:val="18"/>
                </w:rPr>
                <w:t>Type-</w:t>
              </w:r>
            </w:ins>
            <w:ins w:id="28" w:author="Eko Onggosanusi" w:date="2021-02-03T23:36:00Z">
              <w:r>
                <w:rPr>
                  <w:rFonts w:eastAsia="Malgun Gothic"/>
                  <w:sz w:val="18"/>
                </w:rPr>
                <w:t>D</w:t>
              </w:r>
            </w:ins>
            <w:ins w:id="29" w:author="Eko Onggosanusi" w:date="2021-02-03T23:37:00Z">
              <w:r>
                <w:rPr>
                  <w:rFonts w:eastAsia="Malgun Gothic"/>
                  <w:sz w:val="18"/>
                </w:rPr>
                <w:t xml:space="preserve"> (</w:t>
              </w:r>
            </w:ins>
            <w:ins w:id="30" w:author="Eko Onggosanusi" w:date="2021-02-03T23:38:00Z">
              <w:r>
                <w:rPr>
                  <w:rFonts w:eastAsia="Malgun Gothic"/>
                  <w:sz w:val="18"/>
                </w:rPr>
                <w:t>CC ID inferred from target CC, linked with the associated RS ID)</w:t>
              </w:r>
            </w:ins>
            <w:ins w:id="31" w:author="Eko Onggosanusi" w:date="2021-02-03T23:35:00Z">
              <w:r>
                <w:rPr>
                  <w:rFonts w:eastAsia="Malgun Gothic"/>
                  <w:sz w:val="18"/>
                </w:rPr>
                <w:t>}</w:t>
              </w:r>
            </w:ins>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ins w:id="32" w:author="Eko Onggosanusi" w:date="2021-02-03T23:39:00Z">
              <w:r w:rsidRPr="00155287">
                <w:rPr>
                  <w:rFonts w:eastAsia="Times New Roman"/>
                  <w:color w:val="000000"/>
                  <w:sz w:val="18"/>
                  <w:szCs w:val="20"/>
                  <w:lang w:eastAsia="zh-TW"/>
                </w:rPr>
                <w:t xml:space="preserve">{Mod: The above was an agreement in RAN1#102-e. Then in RAN1#103-e, we agreed on Alt2. </w:t>
              </w:r>
            </w:ins>
            <w:ins w:id="33" w:author="Eko Onggosanusi" w:date="2021-02-03T23:40:00Z">
              <w:r w:rsidRPr="00155287">
                <w:rPr>
                  <w:rFonts w:eastAsia="Times New Roman"/>
                  <w:color w:val="000000"/>
                  <w:sz w:val="18"/>
                  <w:szCs w:val="20"/>
                  <w:lang w:eastAsia="zh-TW"/>
                </w:rPr>
                <w:t>Since DL TCI is the same as the joint TCI, the pool for DL TCI is by deduction the same as that for joint TCI.</w:t>
              </w:r>
            </w:ins>
            <w:ins w:id="34" w:author="Eko Onggosanusi" w:date="2021-02-03T23:39:00Z">
              <w:r w:rsidRPr="00155287">
                <w:rPr>
                  <w:rFonts w:eastAsia="Times New Roman"/>
                  <w:color w:val="000000"/>
                  <w:sz w:val="18"/>
                  <w:szCs w:val="20"/>
                  <w:lang w:eastAsia="zh-TW"/>
                </w:rPr>
                <w:t>}</w:t>
              </w:r>
            </w:ins>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ins w:id="35" w:author="Eko Onggosanusi" w:date="2021-02-03T23:40:00Z">
              <w:r>
                <w:rPr>
                  <w:rFonts w:eastAsia="Yu Mincho"/>
                  <w:sz w:val="18"/>
                  <w:szCs w:val="18"/>
                  <w:lang w:eastAsia="ja-JP"/>
                </w:rPr>
                <w:t>{Mod: Thanks, done}</w:t>
              </w:r>
            </w:ins>
          </w:p>
        </w:tc>
      </w:tr>
      <w:tr w:rsidR="00155287" w:rsidRPr="006652C3" w14:paraId="3FE52D6C" w14:textId="77777777" w:rsidTr="00B5236B">
        <w:trPr>
          <w:ins w:id="36" w:author="Eko Onggosanusi" w:date="2021-02-03T23:4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ins w:id="37" w:author="Eko Onggosanusi" w:date="2021-02-03T23:41:00Z"/>
                <w:rFonts w:eastAsia="Yu Mincho" w:hint="eastAsia"/>
                <w:sz w:val="18"/>
                <w:szCs w:val="18"/>
                <w:lang w:eastAsia="ja-JP"/>
              </w:rPr>
            </w:pPr>
            <w:ins w:id="38" w:author="Eko Onggosanusi" w:date="2021-02-03T23:41:00Z">
              <w:r>
                <w:rPr>
                  <w:rFonts w:eastAsia="Yu Mincho"/>
                  <w:sz w:val="18"/>
                  <w:szCs w:val="18"/>
                  <w:lang w:eastAsia="ja-JP"/>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ins w:id="39" w:author="Eko Onggosanusi" w:date="2021-02-03T23:42:00Z"/>
                <w:rFonts w:eastAsia="Yu Mincho"/>
                <w:sz w:val="18"/>
                <w:szCs w:val="18"/>
                <w:lang w:eastAsia="ja-JP"/>
              </w:rPr>
            </w:pPr>
            <w:ins w:id="40" w:author="Eko Onggosanusi" w:date="2021-02-03T23:41:00Z">
              <w:r>
                <w:rPr>
                  <w:rFonts w:eastAsia="Yu Mincho"/>
                  <w:sz w:val="18"/>
                  <w:szCs w:val="18"/>
                  <w:lang w:eastAsia="ja-JP"/>
                </w:rPr>
                <w:t>As summarized before, from companies’ inputs:</w:t>
              </w:r>
            </w:ins>
          </w:p>
          <w:p w14:paraId="572B5533" w14:textId="3A1C49DD" w:rsidR="00155287" w:rsidRDefault="0047240D" w:rsidP="0047240D">
            <w:pPr>
              <w:pStyle w:val="ListParagraph"/>
              <w:numPr>
                <w:ilvl w:val="0"/>
                <w:numId w:val="49"/>
              </w:numPr>
              <w:snapToGrid w:val="0"/>
              <w:rPr>
                <w:ins w:id="41" w:author="Eko Onggosanusi" w:date="2021-02-03T23:42:00Z"/>
                <w:rFonts w:eastAsia="Yu Mincho"/>
                <w:sz w:val="18"/>
                <w:szCs w:val="18"/>
                <w:lang w:eastAsia="ja-JP"/>
              </w:rPr>
            </w:pPr>
            <w:ins w:id="42" w:author="Eko Onggosanusi" w:date="2021-02-03T23:43:00Z">
              <w:r>
                <w:rPr>
                  <w:rFonts w:eastAsia="Yu Mincho"/>
                  <w:sz w:val="18"/>
                  <w:szCs w:val="18"/>
                  <w:lang w:eastAsia="ja-JP"/>
                </w:rPr>
                <w:t xml:space="preserve">Technically, </w:t>
              </w:r>
            </w:ins>
            <w:ins w:id="43" w:author="Eko Onggosanusi" w:date="2021-02-03T23:42:00Z">
              <w:r>
                <w:rPr>
                  <w:rFonts w:eastAsia="Yu Mincho"/>
                  <w:sz w:val="18"/>
                  <w:szCs w:val="18"/>
                  <w:lang w:eastAsia="ja-JP"/>
                </w:rPr>
                <w:t>e</w:t>
              </w:r>
              <w:r w:rsidR="00155287">
                <w:rPr>
                  <w:rFonts w:eastAsia="Yu Mincho"/>
                  <w:sz w:val="18"/>
                  <w:szCs w:val="18"/>
                  <w:lang w:eastAsia="ja-JP"/>
                </w:rPr>
                <w:t>ither Alt1 or Alt2 works for CA as well as UL TCI</w:t>
              </w:r>
            </w:ins>
          </w:p>
          <w:p w14:paraId="100BDFAD" w14:textId="77777777" w:rsidR="00155287" w:rsidRDefault="00155287" w:rsidP="0047240D">
            <w:pPr>
              <w:pStyle w:val="ListParagraph"/>
              <w:numPr>
                <w:ilvl w:val="0"/>
                <w:numId w:val="49"/>
              </w:numPr>
              <w:snapToGrid w:val="0"/>
              <w:rPr>
                <w:ins w:id="44" w:author="Eko Onggosanusi" w:date="2021-02-03T23:43:00Z"/>
                <w:rFonts w:eastAsia="Yu Mincho"/>
                <w:sz w:val="18"/>
                <w:szCs w:val="18"/>
                <w:lang w:eastAsia="ja-JP"/>
              </w:rPr>
            </w:pPr>
            <w:ins w:id="45" w:author="Eko Onggosanusi" w:date="2021-02-03T23:42:00Z">
              <w:r w:rsidRPr="00155287">
                <w:rPr>
                  <w:rFonts w:eastAsia="Yu Mincho" w:hint="eastAsia"/>
                  <w:sz w:val="18"/>
                  <w:szCs w:val="18"/>
                  <w:lang w:eastAsia="ja-JP"/>
                </w:rPr>
                <w:t xml:space="preserve">For CA, Alt1 has slight </w:t>
              </w:r>
            </w:ins>
            <w:ins w:id="46" w:author="Eko Onggosanusi" w:date="2021-02-03T23:43:00Z">
              <w:r>
                <w:rPr>
                  <w:rFonts w:eastAsia="Yu Mincho"/>
                  <w:sz w:val="18"/>
                  <w:szCs w:val="18"/>
                  <w:lang w:eastAsia="ja-JP"/>
                </w:rPr>
                <w:t>majority while the opposite holds for UL TCI</w:t>
              </w:r>
            </w:ins>
          </w:p>
          <w:p w14:paraId="366917DD" w14:textId="77777777" w:rsidR="00155287" w:rsidRDefault="00155287" w:rsidP="0047240D">
            <w:pPr>
              <w:pStyle w:val="ListParagraph"/>
              <w:numPr>
                <w:ilvl w:val="0"/>
                <w:numId w:val="49"/>
              </w:numPr>
              <w:snapToGrid w:val="0"/>
              <w:rPr>
                <w:ins w:id="47" w:author="Eko Onggosanusi" w:date="2021-02-03T23:43:00Z"/>
                <w:rFonts w:eastAsia="Yu Mincho"/>
                <w:sz w:val="18"/>
                <w:szCs w:val="18"/>
                <w:lang w:eastAsia="ja-JP"/>
              </w:rPr>
            </w:pPr>
            <w:ins w:id="48" w:author="Eko Onggosanusi" w:date="2021-02-03T23:43:00Z">
              <w:r>
                <w:rPr>
                  <w:rFonts w:eastAsia="Yu Mincho"/>
                  <w:sz w:val="18"/>
                  <w:szCs w:val="18"/>
                  <w:lang w:eastAsia="ja-JP"/>
                </w:rPr>
                <w:t>The supporters of Alt1 and Alt2 for each case are almost the same</w:t>
              </w:r>
            </w:ins>
          </w:p>
          <w:p w14:paraId="14A59360" w14:textId="69F9684E" w:rsidR="00155287" w:rsidRDefault="0047240D" w:rsidP="0047240D">
            <w:pPr>
              <w:snapToGrid w:val="0"/>
              <w:rPr>
                <w:ins w:id="49" w:author="Eko Onggosanusi" w:date="2021-02-03T23:44:00Z"/>
                <w:rFonts w:eastAsia="Yu Mincho"/>
                <w:sz w:val="18"/>
                <w:szCs w:val="18"/>
                <w:lang w:eastAsia="ja-JP"/>
              </w:rPr>
            </w:pPr>
            <w:ins w:id="50" w:author="Eko Onggosanusi" w:date="2021-02-03T23:43:00Z">
              <w:r>
                <w:rPr>
                  <w:rFonts w:eastAsia="Yu Mincho"/>
                  <w:sz w:val="18"/>
                  <w:szCs w:val="18"/>
                  <w:lang w:eastAsia="ja-JP"/>
                </w:rPr>
                <w:t>Therefore</w:t>
              </w:r>
            </w:ins>
            <w:ins w:id="51" w:author="Eko Onggosanusi" w:date="2021-02-03T23:45:00Z">
              <w:r>
                <w:rPr>
                  <w:rFonts w:eastAsia="Yu Mincho"/>
                  <w:sz w:val="18"/>
                  <w:szCs w:val="18"/>
                  <w:lang w:eastAsia="ja-JP"/>
                </w:rPr>
                <w:t>,</w:t>
              </w:r>
            </w:ins>
            <w:ins w:id="52" w:author="Eko Onggosanusi" w:date="2021-02-03T23:43:00Z">
              <w:r>
                <w:rPr>
                  <w:rFonts w:eastAsia="Yu Mincho"/>
                  <w:sz w:val="18"/>
                  <w:szCs w:val="18"/>
                  <w:lang w:eastAsia="ja-JP"/>
                </w:rPr>
                <w:t xml:space="preserve"> I </w:t>
              </w:r>
            </w:ins>
            <w:ins w:id="53" w:author="Eko Onggosanusi" w:date="2021-02-03T23:44:00Z">
              <w:r>
                <w:rPr>
                  <w:rFonts w:eastAsia="Yu Mincho"/>
                  <w:sz w:val="18"/>
                  <w:szCs w:val="18"/>
                  <w:lang w:eastAsia="ja-JP"/>
                </w:rPr>
                <w:t xml:space="preserve">propose a compromise in the revised proposal 1.1: Alt1 for CA and Alt2 for UL TCI. This makes almost all interested companies equally happy/unhappy. </w:t>
              </w:r>
            </w:ins>
          </w:p>
          <w:p w14:paraId="19E4F58F" w14:textId="77777777" w:rsidR="0047240D" w:rsidRDefault="0047240D" w:rsidP="0047240D">
            <w:pPr>
              <w:snapToGrid w:val="0"/>
              <w:rPr>
                <w:ins w:id="54" w:author="Eko Onggosanusi" w:date="2021-02-03T23:44:00Z"/>
                <w:rFonts w:eastAsia="Yu Mincho"/>
                <w:sz w:val="18"/>
                <w:szCs w:val="18"/>
                <w:lang w:eastAsia="ja-JP"/>
              </w:rPr>
            </w:pPr>
          </w:p>
          <w:p w14:paraId="239FAE0F" w14:textId="4DD852B2" w:rsidR="0047240D" w:rsidRPr="0047240D" w:rsidRDefault="0047240D" w:rsidP="0047240D">
            <w:pPr>
              <w:snapToGrid w:val="0"/>
              <w:rPr>
                <w:ins w:id="55" w:author="Eko Onggosanusi" w:date="2021-02-03T23:41:00Z"/>
                <w:rFonts w:eastAsia="Yu Mincho" w:hint="eastAsia"/>
                <w:sz w:val="18"/>
                <w:szCs w:val="18"/>
                <w:lang w:eastAsia="ja-JP"/>
              </w:rPr>
            </w:pPr>
            <w:ins w:id="56" w:author="Eko Onggosanusi" w:date="2021-02-03T23:45:00Z">
              <w:r>
                <w:rPr>
                  <w:rFonts w:eastAsia="Yu Mincho"/>
                  <w:sz w:val="18"/>
                  <w:szCs w:val="18"/>
                  <w:lang w:eastAsia="ja-JP"/>
                </w:rPr>
                <w:t>I hope</w:t>
              </w:r>
            </w:ins>
            <w:ins w:id="57" w:author="Eko Onggosanusi" w:date="2021-02-03T23:44:00Z">
              <w:r>
                <w:rPr>
                  <w:rFonts w:eastAsia="Yu Mincho"/>
                  <w:sz w:val="18"/>
                  <w:szCs w:val="18"/>
                  <w:lang w:eastAsia="ja-JP"/>
                </w:rPr>
                <w:t xml:space="preserve"> this compromise proposal 1.1 is acceptable to all.</w:t>
              </w:r>
            </w:ins>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lastRenderedPageBreak/>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3CADEF6"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w:t>
            </w:r>
            <w:r w:rsidR="0002226F">
              <w:rPr>
                <w:sz w:val="20"/>
                <w:szCs w:val="20"/>
              </w:rPr>
              <w:t>using</w:t>
            </w:r>
            <w:r w:rsidR="0002226F" w:rsidRPr="008B7569">
              <w:rPr>
                <w:sz w:val="20"/>
                <w:szCs w:val="20"/>
              </w:rPr>
              <w:t xml:space="preserve"> </w:t>
            </w:r>
            <w:r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18BD6C92"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5941D9C3" w14:textId="0C56CAAA"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only supports intra-DU operation but</w:t>
            </w:r>
            <w:r w:rsidR="00C10A01" w:rsidRPr="004C5CDE">
              <w:rPr>
                <w:sz w:val="20"/>
                <w:szCs w:val="28"/>
                <w:lang w:eastAsia="zh-CN"/>
              </w:rPr>
              <w:t xml:space="preserve"> does</w:t>
            </w:r>
            <w:r w:rsidRPr="004C5CDE">
              <w:rPr>
                <w:sz w:val="20"/>
                <w:szCs w:val="28"/>
                <w:lang w:eastAsia="zh-CN"/>
              </w:rPr>
              <w:t xml:space="preserve"> not support inter-DU operation.  </w:t>
            </w:r>
          </w:p>
          <w:p w14:paraId="3433226D" w14:textId="77777777" w:rsidR="00662873" w:rsidRDefault="00864CB1" w:rsidP="003F2B09">
            <w:pPr>
              <w:pStyle w:val="ListParagraph"/>
              <w:numPr>
                <w:ilvl w:val="0"/>
                <w:numId w:val="39"/>
              </w:numPr>
              <w:snapToGrid w:val="0"/>
              <w:spacing w:after="0" w:line="240" w:lineRule="auto"/>
              <w:rPr>
                <w:ins w:id="58" w:author="Eko Onggosanusi" w:date="2021-02-03T23:47:00Z"/>
                <w:sz w:val="20"/>
                <w:szCs w:val="28"/>
                <w:lang w:eastAsia="zh-CN"/>
              </w:rPr>
            </w:pPr>
            <w:ins w:id="59" w:author="Eko Onggosanusi" w:date="2021-02-03T23:46:00Z">
              <w:r>
                <w:rPr>
                  <w:sz w:val="20"/>
                  <w:szCs w:val="28"/>
                  <w:lang w:eastAsia="zh-CN"/>
                </w:rPr>
                <w:t>FFS: Whether t</w:t>
              </w:r>
            </w:ins>
            <w:del w:id="60" w:author="Eko Onggosanusi" w:date="2021-02-03T23:46:00Z">
              <w:r w:rsidR="003F2B09" w:rsidRPr="004C5CDE" w:rsidDel="00864CB1">
                <w:rPr>
                  <w:sz w:val="20"/>
                  <w:szCs w:val="28"/>
                  <w:lang w:eastAsia="zh-CN"/>
                </w:rPr>
                <w:delText>T</w:delText>
              </w:r>
            </w:del>
            <w:r w:rsidR="003F2B09" w:rsidRPr="004C5CDE">
              <w:rPr>
                <w:sz w:val="20"/>
                <w:szCs w:val="28"/>
                <w:lang w:eastAsia="zh-CN"/>
              </w:rPr>
              <w:t>he L1/L2-centri</w:t>
            </w:r>
            <w:r w:rsidR="00EC7475" w:rsidRPr="004C5CDE">
              <w:rPr>
                <w:sz w:val="20"/>
                <w:szCs w:val="28"/>
                <w:lang w:eastAsia="zh-CN"/>
              </w:rPr>
              <w:t>c</w:t>
            </w:r>
            <w:r w:rsidR="003F2B09" w:rsidRPr="004C5CDE">
              <w:rPr>
                <w:sz w:val="20"/>
                <w:szCs w:val="28"/>
                <w:lang w:eastAsia="zh-CN"/>
              </w:rPr>
              <w:t xml:space="preserve"> inter-cell mobility </w:t>
            </w:r>
            <w:del w:id="61" w:author="Eko Onggosanusi" w:date="2021-02-03T23:47:00Z">
              <w:r w:rsidR="003F2B09" w:rsidRPr="004C5CDE" w:rsidDel="00864CB1">
                <w:rPr>
                  <w:sz w:val="20"/>
                  <w:szCs w:val="28"/>
                  <w:lang w:eastAsia="zh-CN"/>
                </w:rPr>
                <w:delText xml:space="preserve">does not </w:delText>
              </w:r>
            </w:del>
            <w:r w:rsidR="003F2B09" w:rsidRPr="004C5CDE">
              <w:rPr>
                <w:sz w:val="20"/>
                <w:szCs w:val="28"/>
                <w:lang w:eastAsia="zh-CN"/>
              </w:rPr>
              <w:t>appl</w:t>
            </w:r>
            <w:ins w:id="62" w:author="Eko Onggosanusi" w:date="2021-02-03T23:47:00Z">
              <w:r>
                <w:rPr>
                  <w:sz w:val="20"/>
                  <w:szCs w:val="28"/>
                  <w:lang w:eastAsia="zh-CN"/>
                </w:rPr>
                <w:t>ies</w:t>
              </w:r>
            </w:ins>
            <w:del w:id="63" w:author="Eko Onggosanusi" w:date="2021-02-03T23:47:00Z">
              <w:r w:rsidR="003F2B09" w:rsidRPr="004C5CDE" w:rsidDel="00864CB1">
                <w:rPr>
                  <w:sz w:val="20"/>
                  <w:szCs w:val="28"/>
                  <w:lang w:eastAsia="zh-CN"/>
                </w:rPr>
                <w:delText>y</w:delText>
              </w:r>
            </w:del>
            <w:r w:rsidR="003F2B09" w:rsidRPr="004C5CDE">
              <w:rPr>
                <w:sz w:val="20"/>
                <w:szCs w:val="28"/>
                <w:lang w:eastAsia="zh-CN"/>
              </w:rPr>
              <w:t xml:space="preserve"> to inter-band CA</w:t>
            </w:r>
            <w:ins w:id="64" w:author="Eko Onggosanusi" w:date="2021-02-03T23:47:00Z">
              <w:r w:rsidR="00662873">
                <w:rPr>
                  <w:sz w:val="20"/>
                  <w:szCs w:val="28"/>
                  <w:lang w:eastAsia="zh-CN"/>
                </w:rPr>
                <w:t xml:space="preserve"> or not</w:t>
              </w:r>
            </w:ins>
            <w:r w:rsidR="003F2B09" w:rsidRPr="004C5CDE">
              <w:rPr>
                <w:sz w:val="20"/>
                <w:szCs w:val="28"/>
                <w:lang w:eastAsia="zh-CN"/>
              </w:rPr>
              <w:t xml:space="preserve"> </w:t>
            </w:r>
            <w:del w:id="65" w:author="Eko Onggosanusi" w:date="2021-02-03T23:47:00Z">
              <w:r w:rsidR="003F2B09" w:rsidRPr="004C5CDE" w:rsidDel="00662873">
                <w:rPr>
                  <w:sz w:val="20"/>
                  <w:szCs w:val="28"/>
                  <w:lang w:eastAsia="zh-CN"/>
                </w:rPr>
                <w:delText xml:space="preserve">and </w:delText>
              </w:r>
            </w:del>
          </w:p>
          <w:p w14:paraId="6DCFE589" w14:textId="51643CEC" w:rsidR="003F2B09" w:rsidRPr="004C5CDE" w:rsidRDefault="00662873" w:rsidP="003F2B09">
            <w:pPr>
              <w:pStyle w:val="ListParagraph"/>
              <w:numPr>
                <w:ilvl w:val="0"/>
                <w:numId w:val="39"/>
              </w:numPr>
              <w:snapToGrid w:val="0"/>
              <w:spacing w:after="0" w:line="240" w:lineRule="auto"/>
              <w:rPr>
                <w:sz w:val="20"/>
                <w:szCs w:val="28"/>
                <w:lang w:eastAsia="zh-CN"/>
              </w:rPr>
            </w:pPr>
            <w:ins w:id="66" w:author="Eko Onggosanusi" w:date="2021-02-03T23:47:00Z">
              <w:r w:rsidRPr="004C5CDE">
                <w:rPr>
                  <w:sz w:val="20"/>
                  <w:szCs w:val="28"/>
                  <w:lang w:eastAsia="zh-CN"/>
                </w:rPr>
                <w:t xml:space="preserve">The L1/L2-centric inter-cell mobility </w:t>
              </w:r>
              <w:r w:rsidR="00BC3B76">
                <w:rPr>
                  <w:sz w:val="20"/>
                  <w:szCs w:val="28"/>
                  <w:lang w:eastAsia="zh-CN"/>
                </w:rPr>
                <w:t>does not apply</w:t>
              </w:r>
              <w:r>
                <w:rPr>
                  <w:sz w:val="20"/>
                  <w:szCs w:val="28"/>
                  <w:lang w:eastAsia="zh-CN"/>
                </w:rPr>
                <w:t xml:space="preserve"> to </w:t>
              </w:r>
            </w:ins>
            <w:r w:rsidR="003F2B09" w:rsidRPr="004C5CDE">
              <w:rPr>
                <w:sz w:val="20"/>
                <w:szCs w:val="28"/>
                <w:lang w:eastAsia="zh-CN"/>
              </w:rPr>
              <w:t>inter-frequency scenarios.</w:t>
            </w:r>
          </w:p>
          <w:p w14:paraId="163CFD12" w14:textId="405DCA1A" w:rsidR="0042246A" w:rsidRPr="004C5CDE" w:rsidRDefault="0042246A" w:rsidP="003F2B09">
            <w:pPr>
              <w:pStyle w:val="ListParagraph"/>
              <w:numPr>
                <w:ilvl w:val="0"/>
                <w:numId w:val="39"/>
              </w:numPr>
              <w:snapToGrid w:val="0"/>
              <w:spacing w:after="0" w:line="240" w:lineRule="auto"/>
              <w:rPr>
                <w:sz w:val="22"/>
                <w:szCs w:val="28"/>
                <w:lang w:eastAsia="zh-CN"/>
              </w:rPr>
            </w:pPr>
            <w:r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p>
          <w:p w14:paraId="3D0B3DA5" w14:textId="15772116"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L1/L2-centric inter-cell mobility:</w:t>
            </w:r>
          </w:p>
          <w:p w14:paraId="7C500F62" w14:textId="02D9F25D"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for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57D29648"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UE needs/can change serving cell during L1/L2-centric inter-cell mobility.</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lastRenderedPageBreak/>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lastRenderedPageBreak/>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lastRenderedPageBreak/>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lastRenderedPageBreak/>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lastRenderedPageBreak/>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lastRenderedPageBreak/>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lastRenderedPageBreak/>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 xml:space="preserve">{Mod: Some companies (see above comments) have correctly pointed out that without C-RNTI change (or at least additional knowledge on NSC(s)), DL reception and UL transmission associated with NSC(s) may not be possible. </w:t>
            </w:r>
            <w:r>
              <w:rPr>
                <w:sz w:val="18"/>
                <w:lang w:eastAsia="zh-CN"/>
              </w:rPr>
              <w:lastRenderedPageBreak/>
              <w:t>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ins w:id="67" w:author="Eko Onggosanusi" w:date="2021-02-03T23:48:00Z"/>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ins w:id="68" w:author="Eko Onggosanusi" w:date="2021-02-03T23:48:00Z">
              <w:r>
                <w:rPr>
                  <w:rFonts w:eastAsia="Yu Mincho"/>
                  <w:sz w:val="18"/>
                  <w:lang w:eastAsia="ja-JP"/>
                </w:rPr>
                <w:t>{Mod: Strictly speaking, yes. We will explore a possibility to get a lower latency response from RAN2.}</w:t>
              </w:r>
            </w:ins>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ins w:id="69" w:author="Eko Onggosanusi" w:date="2021-02-03T23:48:00Z">
              <w:r>
                <w:rPr>
                  <w:rFonts w:eastAsia="Yu Mincho"/>
                  <w:sz w:val="18"/>
                  <w:lang w:eastAsia="ja-JP"/>
                </w:rPr>
                <w:t>{Mod: Done, separated the inter-band CA and inter-frequency}</w:t>
              </w:r>
            </w:ins>
          </w:p>
        </w:tc>
      </w:tr>
      <w:tr w:rsidR="00862565" w14:paraId="025E7E12" w14:textId="77777777" w:rsidTr="001578B1">
        <w:trPr>
          <w:ins w:id="70" w:author="Eko Onggosanusi" w:date="2021-02-03T23:5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ins w:id="71" w:author="Eko Onggosanusi" w:date="2021-02-03T23:53:00Z"/>
                <w:rFonts w:eastAsia="Yu Mincho" w:hint="eastAsia"/>
                <w:sz w:val="18"/>
                <w:szCs w:val="18"/>
                <w:lang w:eastAsia="ja-JP"/>
              </w:rPr>
            </w:pPr>
            <w:ins w:id="72" w:author="Eko Onggosanusi" w:date="2021-02-03T23:53:00Z">
              <w:r>
                <w:rPr>
                  <w:rFonts w:eastAsia="Yu Mincho"/>
                  <w:sz w:val="18"/>
                  <w:szCs w:val="18"/>
                  <w:lang w:eastAsia="ja-JP"/>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ins w:id="73" w:author="Eko Onggosanusi" w:date="2021-02-03T23:53:00Z"/>
                <w:rFonts w:eastAsia="Yu Mincho" w:hint="eastAsia"/>
                <w:sz w:val="18"/>
                <w:lang w:eastAsia="ja-JP"/>
              </w:rPr>
            </w:pPr>
            <w:ins w:id="74" w:author="Eko Onggosanusi" w:date="2021-02-03T23:53:00Z">
              <w:r>
                <w:rPr>
                  <w:rFonts w:eastAsia="Yu Mincho"/>
                  <w:sz w:val="18"/>
                  <w:lang w:eastAsia="ja-JP"/>
                </w:rPr>
                <w:t>Slight revision to accommodate concern from NTT Docomo</w:t>
              </w:r>
              <w:bookmarkStart w:id="75" w:name="_GoBack"/>
              <w:bookmarkEnd w:id="75"/>
            </w:ins>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ins w:id="76" w:author="Eko Onggosanusi" w:date="2021-02-03T23:52:00Z">
              <w:r w:rsidR="00133A23">
                <w:rPr>
                  <w:rFonts w:ascii="Times" w:eastAsia="Batang" w:hAnsi="Times" w:cs="Times New Roman"/>
                  <w:sz w:val="20"/>
                  <w:szCs w:val="20"/>
                  <w:lang w:val="en-GB" w:eastAsia="en-US"/>
                </w:rPr>
                <w:t xml:space="preserve">successfully </w:t>
              </w:r>
            </w:ins>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32E04277"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 the first slot that is at least X ms or Y symbols after 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ins w:id="77" w:author="Eko Onggosanusi" w:date="2021-02-03T23:49:00Z">
              <w:r w:rsidR="009C067B">
                <w:rPr>
                  <w:rFonts w:ascii="Times" w:eastAsia="Batang" w:hAnsi="Times"/>
                  <w:sz w:val="20"/>
                  <w:szCs w:val="20"/>
                  <w:lang w:val="en-GB"/>
                </w:rPr>
                <w:t>, if it exists,</w:t>
              </w:r>
            </w:ins>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4163CC91"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lastRenderedPageBreak/>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lastRenderedPageBreak/>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lastRenderedPageBreak/>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lastRenderedPageBreak/>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ins w:id="78" w:author="Eko Onggosanusi" w:date="2021-02-03T23:50:00Z"/>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ins w:id="79" w:author="Eko Onggosanusi" w:date="2021-02-03T23:50:00Z">
              <w:r>
                <w:rPr>
                  <w:rFonts w:eastAsia="Yu Mincho"/>
                  <w:sz w:val="18"/>
                  <w:szCs w:val="18"/>
                  <w:lang w:eastAsia="ja-JP"/>
                </w:rPr>
                <w:t>{Mod: Added “successfully”. If it is not successfully received, nothing</w:t>
              </w:r>
            </w:ins>
            <w:ins w:id="80" w:author="Eko Onggosanusi" w:date="2021-02-03T23:51:00Z">
              <w:r>
                <w:rPr>
                  <w:rFonts w:eastAsia="Yu Mincho"/>
                  <w:sz w:val="18"/>
                  <w:szCs w:val="18"/>
                  <w:lang w:eastAsia="ja-JP"/>
                </w:rPr>
                <w:t xml:space="preserve"> required</w:t>
              </w:r>
            </w:ins>
            <w:ins w:id="81" w:author="Eko Onggosanusi" w:date="2021-02-03T23:50:00Z">
              <w:r>
                <w:rPr>
                  <w:rFonts w:eastAsia="Yu Mincho"/>
                  <w:sz w:val="18"/>
                  <w:szCs w:val="18"/>
                  <w:lang w:eastAsia="ja-JP"/>
                </w:rPr>
                <w:t xml:space="preserve"> is done at the UE side. So there is no change in TCI state assumption (not specified</w:t>
              </w:r>
            </w:ins>
            <w:ins w:id="82" w:author="Eko Onggosanusi" w:date="2021-02-03T23:51:00Z">
              <w:r>
                <w:rPr>
                  <w:rFonts w:eastAsia="Yu Mincho"/>
                  <w:sz w:val="18"/>
                  <w:szCs w:val="18"/>
                  <w:lang w:eastAsia="ja-JP"/>
                </w:rPr>
                <w:t xml:space="preserve"> – left to UE implementation, e.g. doing nothing is possible, or something else</w:t>
              </w:r>
            </w:ins>
            <w:ins w:id="83" w:author="Eko Onggosanusi" w:date="2021-02-03T23:50:00Z">
              <w:r>
                <w:rPr>
                  <w:rFonts w:eastAsia="Yu Mincho"/>
                  <w:sz w:val="18"/>
                  <w:szCs w:val="18"/>
                  <w:lang w:eastAsia="ja-JP"/>
                </w:rPr>
                <w:t>)}</w:t>
              </w:r>
            </w:ins>
          </w:p>
          <w:p w14:paraId="6E4E0BA4" w14:textId="77777777" w:rsidR="00854176" w:rsidRDefault="00F45042" w:rsidP="00854176">
            <w:pPr>
              <w:snapToGrid w:val="0"/>
              <w:rPr>
                <w:ins w:id="84" w:author="Eko Onggosanusi" w:date="2021-02-03T23:51:00Z"/>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ins w:id="85" w:author="Eko Onggosanusi" w:date="2021-02-03T23:51:00Z">
              <w:r>
                <w:rPr>
                  <w:sz w:val="18"/>
                  <w:szCs w:val="18"/>
                  <w:lang w:eastAsia="zh-CN"/>
                </w:rPr>
                <w:t>{Mod: Most companies understand that Alt2A is always the largest with proper selection of X</w:t>
              </w:r>
            </w:ins>
            <w:ins w:id="86" w:author="Eko Onggosanusi" w:date="2021-02-03T23:52:00Z">
              <w:r>
                <w:rPr>
                  <w:sz w:val="18"/>
                  <w:szCs w:val="18"/>
                  <w:lang w:eastAsia="zh-CN"/>
                </w:rPr>
                <w:t>1</w:t>
              </w:r>
            </w:ins>
            <w:ins w:id="87" w:author="Eko Onggosanusi" w:date="2021-02-03T23:51:00Z">
              <w:r>
                <w:rPr>
                  <w:sz w:val="18"/>
                  <w:szCs w:val="18"/>
                  <w:lang w:eastAsia="zh-CN"/>
                </w:rPr>
                <w:t>/Y</w:t>
              </w:r>
            </w:ins>
            <w:ins w:id="88" w:author="Eko Onggosanusi" w:date="2021-02-03T23:52:00Z">
              <w:r>
                <w:rPr>
                  <w:sz w:val="18"/>
                  <w:szCs w:val="18"/>
                  <w:lang w:eastAsia="zh-CN"/>
                </w:rPr>
                <w:t>1 or X2/Y2</w:t>
              </w:r>
            </w:ins>
            <w:ins w:id="89" w:author="Eko Onggosanusi" w:date="2021-02-03T23:51:00Z">
              <w:r>
                <w:rPr>
                  <w:sz w:val="18"/>
                  <w:szCs w:val="18"/>
                  <w:lang w:eastAsia="zh-CN"/>
                </w:rPr>
                <w:t xml:space="preserve"> values</w:t>
              </w:r>
            </w:ins>
            <w:ins w:id="90" w:author="Eko Onggosanusi" w:date="2021-02-03T23:52:00Z">
              <w:r w:rsidR="00857DB9">
                <w:rPr>
                  <w:sz w:val="18"/>
                  <w:szCs w:val="18"/>
                  <w:lang w:eastAsia="zh-CN"/>
                </w:rPr>
                <w:t>. But otherwise, you are correct it is the max of the two.</w:t>
              </w:r>
            </w:ins>
            <w:ins w:id="91" w:author="Eko Onggosanusi" w:date="2021-02-03T23:51:00Z">
              <w:r>
                <w:rPr>
                  <w:sz w:val="18"/>
                  <w:szCs w:val="18"/>
                  <w:lang w:eastAsia="zh-CN"/>
                </w:rPr>
                <w:t>}</w:t>
              </w:r>
            </w:ins>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A0563F">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A0563F">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 xml:space="preserve">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w:t>
            </w:r>
            <w:r w:rsidRPr="00864DF1">
              <w:rPr>
                <w:rFonts w:eastAsia="Yu Mincho"/>
                <w:sz w:val="18"/>
                <w:szCs w:val="18"/>
                <w:lang w:eastAsia="ja-JP"/>
              </w:rPr>
              <w:lastRenderedPageBreak/>
              <w:t>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A0563F">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A0563F">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A0563F">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A0563F">
            <w:pPr>
              <w:snapToGrid w:val="0"/>
              <w:rPr>
                <w:rFonts w:eastAsia="Yu Mincho"/>
                <w:sz w:val="18"/>
                <w:szCs w:val="18"/>
                <w:lang w:eastAsia="ja-JP"/>
              </w:rPr>
            </w:pPr>
          </w:p>
          <w:p w14:paraId="5AE9D969" w14:textId="77777777" w:rsidR="00864DF1" w:rsidRPr="00864DF1" w:rsidRDefault="00864DF1" w:rsidP="00A0563F">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A0563F">
            <w:pPr>
              <w:snapToGrid w:val="0"/>
              <w:rPr>
                <w:rFonts w:eastAsia="Yu Mincho"/>
                <w:sz w:val="18"/>
                <w:szCs w:val="18"/>
                <w:lang w:eastAsia="ja-JP"/>
              </w:rPr>
            </w:pPr>
          </w:p>
          <w:p w14:paraId="252C018D" w14:textId="77777777" w:rsidR="00864DF1" w:rsidRPr="00864DF1" w:rsidRDefault="00864DF1" w:rsidP="00A0563F">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A0563F">
            <w:pPr>
              <w:snapToGrid w:val="0"/>
              <w:rPr>
                <w:rFonts w:eastAsia="Yu Mincho"/>
                <w:sz w:val="18"/>
                <w:szCs w:val="18"/>
                <w:lang w:eastAsia="ja-JP"/>
              </w:rPr>
            </w:pPr>
          </w:p>
        </w:tc>
      </w:tr>
      <w:tr w:rsidR="00312A02" w:rsidRPr="006C6E0E" w14:paraId="6438A8C9" w14:textId="77777777" w:rsidTr="00864DF1">
        <w:trPr>
          <w:ins w:id="92" w:author="Eko Onggosanusi" w:date="2021-02-03T23:5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A0563F">
            <w:pPr>
              <w:snapToGrid w:val="0"/>
              <w:rPr>
                <w:ins w:id="93" w:author="Eko Onggosanusi" w:date="2021-02-03T23:53:00Z"/>
                <w:rFonts w:eastAsia="Yu Mincho" w:hint="eastAsia"/>
                <w:sz w:val="18"/>
                <w:szCs w:val="18"/>
                <w:lang w:eastAsia="ja-JP"/>
              </w:rPr>
            </w:pPr>
            <w:ins w:id="94" w:author="Eko Onggosanusi" w:date="2021-02-03T23:53:00Z">
              <w:r>
                <w:rPr>
                  <w:rFonts w:eastAsia="Yu Mincho"/>
                  <w:sz w:val="18"/>
                  <w:szCs w:val="18"/>
                  <w:lang w:eastAsia="ja-JP"/>
                </w:rPr>
                <w:lastRenderedPageBreak/>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ins w:id="95" w:author="Eko Onggosanusi" w:date="2021-02-03T23:53:00Z"/>
                <w:rFonts w:eastAsia="Yu Mincho" w:hint="eastAsia"/>
                <w:sz w:val="18"/>
                <w:szCs w:val="18"/>
                <w:lang w:eastAsia="ja-JP"/>
              </w:rPr>
            </w:pPr>
            <w:ins w:id="96" w:author="Eko Onggosanusi" w:date="2021-02-03T23:53:00Z">
              <w:r>
                <w:rPr>
                  <w:rFonts w:eastAsia="Yu Mincho"/>
                  <w:sz w:val="18"/>
                  <w:szCs w:val="18"/>
                  <w:lang w:eastAsia="ja-JP"/>
                </w:rPr>
                <w:t>Slight revision to accommodate inputs from Sony and NTT Docomo</w:t>
              </w:r>
            </w:ins>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978A2" w14:textId="77777777" w:rsidR="00CC19EE" w:rsidRDefault="00CC19EE">
      <w:r>
        <w:separator/>
      </w:r>
    </w:p>
  </w:endnote>
  <w:endnote w:type="continuationSeparator" w:id="0">
    <w:p w14:paraId="2F190CCC" w14:textId="77777777" w:rsidR="00CC19EE" w:rsidRDefault="00CC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roma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28E42" w14:textId="77777777" w:rsidR="00CC19EE" w:rsidRDefault="00CC19EE">
      <w:r>
        <w:rPr>
          <w:color w:val="000000"/>
        </w:rPr>
        <w:separator/>
      </w:r>
    </w:p>
  </w:footnote>
  <w:footnote w:type="continuationSeparator" w:id="0">
    <w:p w14:paraId="4CBB3AE9" w14:textId="77777777" w:rsidR="00CC19EE" w:rsidRDefault="00CC1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0"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342713"/>
    <w:multiLevelType w:val="hybridMultilevel"/>
    <w:tmpl w:val="8BE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8"/>
  </w:num>
  <w:num w:numId="2">
    <w:abstractNumId w:val="5"/>
  </w:num>
  <w:num w:numId="3">
    <w:abstractNumId w:val="3"/>
  </w:num>
  <w:num w:numId="4">
    <w:abstractNumId w:val="15"/>
  </w:num>
  <w:num w:numId="5">
    <w:abstractNumId w:val="27"/>
  </w:num>
  <w:num w:numId="6">
    <w:abstractNumId w:val="45"/>
  </w:num>
  <w:num w:numId="7">
    <w:abstractNumId w:val="23"/>
  </w:num>
  <w:num w:numId="8">
    <w:abstractNumId w:val="14"/>
  </w:num>
  <w:num w:numId="9">
    <w:abstractNumId w:val="9"/>
  </w:num>
  <w:num w:numId="10">
    <w:abstractNumId w:val="7"/>
  </w:num>
  <w:num w:numId="11">
    <w:abstractNumId w:val="39"/>
  </w:num>
  <w:num w:numId="12">
    <w:abstractNumId w:val="43"/>
  </w:num>
  <w:num w:numId="13">
    <w:abstractNumId w:val="32"/>
  </w:num>
  <w:num w:numId="14">
    <w:abstractNumId w:val="34"/>
  </w:num>
  <w:num w:numId="15">
    <w:abstractNumId w:val="41"/>
  </w:num>
  <w:num w:numId="16">
    <w:abstractNumId w:val="33"/>
  </w:num>
  <w:num w:numId="17">
    <w:abstractNumId w:val="8"/>
  </w:num>
  <w:num w:numId="18">
    <w:abstractNumId w:val="29"/>
  </w:num>
  <w:num w:numId="19">
    <w:abstractNumId w:val="2"/>
  </w:num>
  <w:num w:numId="20">
    <w:abstractNumId w:val="28"/>
  </w:num>
  <w:num w:numId="21">
    <w:abstractNumId w:val="0"/>
  </w:num>
  <w:num w:numId="22">
    <w:abstractNumId w:val="36"/>
  </w:num>
  <w:num w:numId="23">
    <w:abstractNumId w:val="10"/>
  </w:num>
  <w:num w:numId="24">
    <w:abstractNumId w:val="22"/>
  </w:num>
  <w:num w:numId="25">
    <w:abstractNumId w:val="6"/>
  </w:num>
  <w:num w:numId="26">
    <w:abstractNumId w:val="35"/>
  </w:num>
  <w:num w:numId="27">
    <w:abstractNumId w:val="19"/>
  </w:num>
  <w:num w:numId="28">
    <w:abstractNumId w:val="31"/>
  </w:num>
  <w:num w:numId="29">
    <w:abstractNumId w:val="1"/>
  </w:num>
  <w:num w:numId="30">
    <w:abstractNumId w:val="30"/>
  </w:num>
  <w:num w:numId="31">
    <w:abstractNumId w:val="40"/>
  </w:num>
  <w:num w:numId="32">
    <w:abstractNumId w:val="26"/>
  </w:num>
  <w:num w:numId="33">
    <w:abstractNumId w:val="37"/>
  </w:num>
  <w:num w:numId="34">
    <w:abstractNumId w:val="21"/>
  </w:num>
  <w:num w:numId="35">
    <w:abstractNumId w:val="21"/>
  </w:num>
  <w:num w:numId="36">
    <w:abstractNumId w:val="21"/>
  </w:num>
  <w:num w:numId="37">
    <w:abstractNumId w:val="24"/>
  </w:num>
  <w:num w:numId="38">
    <w:abstractNumId w:val="42"/>
  </w:num>
  <w:num w:numId="39">
    <w:abstractNumId w:val="25"/>
  </w:num>
  <w:num w:numId="40">
    <w:abstractNumId w:val="17"/>
  </w:num>
  <w:num w:numId="41">
    <w:abstractNumId w:val="12"/>
    <w:lvlOverride w:ilvl="0">
      <w:startOverride w:val="1"/>
    </w:lvlOverride>
  </w:num>
  <w:num w:numId="42">
    <w:abstractNumId w:val="18"/>
  </w:num>
  <w:num w:numId="43">
    <w:abstractNumId w:val="46"/>
  </w:num>
  <w:num w:numId="44">
    <w:abstractNumId w:val="4"/>
  </w:num>
  <w:num w:numId="45">
    <w:abstractNumId w:val="20"/>
  </w:num>
  <w:num w:numId="46">
    <w:abstractNumId w:val="11"/>
  </w:num>
  <w:num w:numId="47">
    <w:abstractNumId w:val="44"/>
  </w:num>
  <w:num w:numId="48">
    <w:abstractNumId w:val="16"/>
  </w:num>
  <w:num w:numId="49">
    <w:abstractNumId w:val="1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3D6F"/>
    <w:rsid w:val="0027656D"/>
    <w:rsid w:val="00276C6D"/>
    <w:rsid w:val="0028009A"/>
    <w:rsid w:val="00280474"/>
    <w:rsid w:val="00282C13"/>
    <w:rsid w:val="002834BD"/>
    <w:rsid w:val="00284688"/>
    <w:rsid w:val="002861EA"/>
    <w:rsid w:val="0028692C"/>
    <w:rsid w:val="0028728E"/>
    <w:rsid w:val="00290F7F"/>
    <w:rsid w:val="00291090"/>
    <w:rsid w:val="002913C9"/>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F02"/>
    <w:rsid w:val="00302381"/>
    <w:rsid w:val="00303B09"/>
    <w:rsid w:val="003041F5"/>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C87"/>
    <w:rsid w:val="00471A58"/>
    <w:rsid w:val="0047240D"/>
    <w:rsid w:val="004743D6"/>
    <w:rsid w:val="00475017"/>
    <w:rsid w:val="0047531A"/>
    <w:rsid w:val="004757FC"/>
    <w:rsid w:val="00480CE6"/>
    <w:rsid w:val="00480D01"/>
    <w:rsid w:val="004828D7"/>
    <w:rsid w:val="004858AC"/>
    <w:rsid w:val="004864DC"/>
    <w:rsid w:val="00486DC8"/>
    <w:rsid w:val="00494843"/>
    <w:rsid w:val="004964D1"/>
    <w:rsid w:val="004A0F2B"/>
    <w:rsid w:val="004A182E"/>
    <w:rsid w:val="004A2713"/>
    <w:rsid w:val="004A2A54"/>
    <w:rsid w:val="004A4FCD"/>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7000"/>
    <w:rsid w:val="00670BB2"/>
    <w:rsid w:val="00675D0C"/>
    <w:rsid w:val="006762FC"/>
    <w:rsid w:val="00677878"/>
    <w:rsid w:val="0068009F"/>
    <w:rsid w:val="00681698"/>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A1662"/>
    <w:rsid w:val="007A1BB1"/>
    <w:rsid w:val="007A2E97"/>
    <w:rsid w:val="007A3274"/>
    <w:rsid w:val="007A62D3"/>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B4E"/>
    <w:rsid w:val="008027FF"/>
    <w:rsid w:val="008058A9"/>
    <w:rsid w:val="008064DC"/>
    <w:rsid w:val="00806965"/>
    <w:rsid w:val="00807F22"/>
    <w:rsid w:val="00812DA8"/>
    <w:rsid w:val="008140E7"/>
    <w:rsid w:val="0081463A"/>
    <w:rsid w:val="00817A2A"/>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44A"/>
    <w:rsid w:val="009E76E1"/>
    <w:rsid w:val="009E7706"/>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8AB"/>
    <w:rsid w:val="00B323C2"/>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07F9"/>
    <w:rsid w:val="00C05419"/>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1CFA"/>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4D59"/>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81B"/>
    <w:rsid w:val="00E746FD"/>
    <w:rsid w:val="00E7641B"/>
    <w:rsid w:val="00E82780"/>
    <w:rsid w:val="00E8559A"/>
    <w:rsid w:val="00E85625"/>
    <w:rsid w:val="00E900F7"/>
    <w:rsid w:val="00E911C8"/>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40039"/>
    <w:rsid w:val="00F4064C"/>
    <w:rsid w:val="00F413F0"/>
    <w:rsid w:val="00F41BDB"/>
    <w:rsid w:val="00F442F6"/>
    <w:rsid w:val="00F45042"/>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E8D0E-87F1-4E34-9CF6-19026973E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27</Pages>
  <Words>15023</Words>
  <Characters>85634</Characters>
  <Application>Microsoft Office Word</Application>
  <DocSecurity>0</DocSecurity>
  <Lines>713</Lines>
  <Paragraphs>200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25</cp:revision>
  <dcterms:created xsi:type="dcterms:W3CDTF">2021-02-04T04:30:00Z</dcterms:created>
  <dcterms:modified xsi:type="dcterms:W3CDTF">2021-02-04T05:53:00Z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