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DAB2F" w14:textId="3D90BB12"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1C1BE3">
        <w:rPr>
          <w:rFonts w:ascii="Arial" w:hAnsi="Arial" w:cs="Arial"/>
          <w:b/>
          <w:bCs/>
          <w:lang w:val="de-DE"/>
        </w:rPr>
        <w:t>xxxx</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BF1EA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w:t>
            </w:r>
            <w:r>
              <w:rPr>
                <w:sz w:val="18"/>
                <w:szCs w:val="20"/>
              </w:rPr>
              <w:t>n</w:t>
            </w:r>
            <w:r>
              <w:rPr>
                <w:sz w:val="18"/>
                <w:szCs w:val="20"/>
              </w:rPr>
              <w:t>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 (14)</w:t>
            </w:r>
            <w:r>
              <w:rPr>
                <w:sz w:val="18"/>
                <w:szCs w:val="20"/>
              </w:rPr>
              <w:t>: Spreadtrum, Xiaomi, ZTE, vivo, MTK, Intel, Sony, NTT Docomo, Samsung, Qua</w:t>
            </w:r>
            <w:r>
              <w:rPr>
                <w:sz w:val="18"/>
                <w:szCs w:val="20"/>
              </w:rPr>
              <w:t>l</w:t>
            </w:r>
            <w:r>
              <w:rPr>
                <w:sz w:val="18"/>
                <w:szCs w:val="20"/>
              </w:rPr>
              <w:t>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 (12)</w:t>
            </w:r>
            <w:r>
              <w:rPr>
                <w:sz w:val="18"/>
                <w:szCs w:val="20"/>
              </w:rPr>
              <w:t>: OPPO, Nokia/NSB, CMCC, Huawei/</w:t>
            </w:r>
            <w:proofErr w:type="spellStart"/>
            <w:r>
              <w:rPr>
                <w:sz w:val="18"/>
                <w:szCs w:val="20"/>
              </w:rPr>
              <w:t>HiSi</w:t>
            </w:r>
            <w:proofErr w:type="spellEnd"/>
            <w:r>
              <w:rPr>
                <w:sz w:val="18"/>
                <w:szCs w:val="20"/>
              </w:rPr>
              <w:t>, CATT, APT, TCL, Ericsson (DL TCI), F</w:t>
            </w:r>
            <w:r>
              <w:rPr>
                <w:sz w:val="18"/>
                <w:szCs w:val="20"/>
              </w:rPr>
              <w:t>u</w:t>
            </w:r>
            <w:r>
              <w:rPr>
                <w:sz w:val="18"/>
                <w:szCs w:val="20"/>
              </w:rPr>
              <w:t>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CC5EA4F" w:rsidR="00A33839" w:rsidRDefault="00A33839" w:rsidP="00A33839">
            <w:pPr>
              <w:snapToGrid w:val="0"/>
            </w:pPr>
            <w:r>
              <w:rPr>
                <w:b/>
                <w:sz w:val="18"/>
                <w:szCs w:val="20"/>
              </w:rPr>
              <w:t>Alt1 (12)</w:t>
            </w:r>
            <w:r>
              <w:rPr>
                <w:sz w:val="18"/>
                <w:szCs w:val="20"/>
              </w:rPr>
              <w:t>: Spreadtrum, Xiaomi, ZTE, CATT, vivo, MTK, Intel, Convida, Qualcomm, Samsung, CATT, NTT Docomo</w:t>
            </w:r>
          </w:p>
          <w:p w14:paraId="59D6E68A" w14:textId="77777777" w:rsidR="00A33839" w:rsidRDefault="00A33839" w:rsidP="00A33839">
            <w:pPr>
              <w:snapToGrid w:val="0"/>
              <w:rPr>
                <w:sz w:val="18"/>
                <w:szCs w:val="20"/>
              </w:rPr>
            </w:pPr>
          </w:p>
          <w:p w14:paraId="53123EF9" w14:textId="04AA37EB" w:rsidR="00A33839" w:rsidRDefault="00A33839" w:rsidP="00A33839">
            <w:pPr>
              <w:snapToGrid w:val="0"/>
              <w:rPr>
                <w:sz w:val="18"/>
                <w:szCs w:val="20"/>
              </w:rPr>
            </w:pPr>
            <w:r>
              <w:rPr>
                <w:b/>
                <w:sz w:val="18"/>
                <w:szCs w:val="20"/>
              </w:rPr>
              <w:t>Alt2 (15)</w:t>
            </w:r>
            <w:r>
              <w:rPr>
                <w:sz w:val="18"/>
                <w:szCs w:val="20"/>
              </w:rPr>
              <w:t>: Futurewei, OPPO, Lenovo/</w:t>
            </w:r>
            <w:proofErr w:type="spellStart"/>
            <w:r>
              <w:rPr>
                <w:sz w:val="18"/>
                <w:szCs w:val="20"/>
              </w:rPr>
              <w:t>MoM</w:t>
            </w:r>
            <w:proofErr w:type="spellEnd"/>
            <w:r>
              <w:rPr>
                <w:sz w:val="18"/>
                <w:szCs w:val="20"/>
              </w:rPr>
              <w:t>, Nokia/NSB, CMCC, Ericsson, Huawei/</w:t>
            </w:r>
            <w:proofErr w:type="spellStart"/>
            <w:r>
              <w:rPr>
                <w:sz w:val="18"/>
                <w:szCs w:val="20"/>
              </w:rPr>
              <w:t>HiSi</w:t>
            </w:r>
            <w:proofErr w:type="spellEnd"/>
            <w:r>
              <w:rPr>
                <w:sz w:val="18"/>
                <w:szCs w:val="20"/>
              </w:rPr>
              <w:t>,  AT&amp;T, Sony, Lenovo/</w:t>
            </w:r>
            <w:proofErr w:type="spellStart"/>
            <w:r>
              <w:rPr>
                <w:sz w:val="18"/>
                <w:szCs w:val="20"/>
              </w:rPr>
              <w:t>MoM</w:t>
            </w:r>
            <w:proofErr w:type="spellEnd"/>
            <w:r>
              <w:rPr>
                <w:sz w:val="18"/>
                <w:szCs w:val="20"/>
              </w:rPr>
              <w:t>, APT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0FCE6D00" w14:textId="5D2C2C3B"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On Rel.17 unified TCI framework:</w:t>
            </w:r>
          </w:p>
          <w:p w14:paraId="02A9C6AD" w14:textId="699C99B5" w:rsidR="00314031" w:rsidRDefault="00314031" w:rsidP="009D4D35">
            <w:pPr>
              <w:pStyle w:val="NormalWeb"/>
              <w:snapToGrid w:val="0"/>
              <w:spacing w:before="0" w:after="0"/>
              <w:jc w:val="both"/>
              <w:rPr>
                <w:sz w:val="20"/>
                <w:szCs w:val="20"/>
              </w:rPr>
            </w:pPr>
            <w:r>
              <w:rPr>
                <w:sz w:val="20"/>
                <w:szCs w:val="20"/>
              </w:rPr>
              <w:t>...</w:t>
            </w:r>
          </w:p>
          <w:p w14:paraId="1773A492" w14:textId="6D6E03C1" w:rsidR="001D6EE0" w:rsidRPr="00502AF0" w:rsidRDefault="001D6EE0" w:rsidP="00314031">
            <w:pPr>
              <w:pStyle w:val="NormalWeb"/>
              <w:snapToGrid w:val="0"/>
              <w:spacing w:before="0" w:after="0"/>
              <w:jc w:val="both"/>
              <w:rPr>
                <w:rFonts w:eastAsiaTheme="minorEastAsia"/>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1E230148" w:rsidR="00502032" w:rsidRDefault="00502032" w:rsidP="00502032">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E426" w14:textId="77777777" w:rsidR="00502032" w:rsidRDefault="00502032" w:rsidP="00502032">
            <w:pPr>
              <w:snapToGrid w:val="0"/>
              <w:rPr>
                <w:rFonts w:eastAsia="DengXian"/>
                <w:sz w:val="18"/>
                <w:szCs w:val="18"/>
                <w:lang w:eastAsia="zh-CN"/>
              </w:rPr>
            </w:pPr>
            <w:r>
              <w:rPr>
                <w:rFonts w:eastAsia="DengXian"/>
                <w:sz w:val="18"/>
                <w:szCs w:val="18"/>
                <w:lang w:eastAsia="zh-CN"/>
              </w:rPr>
              <w:t>1a: It is true that there could be a problem for QCL-</w:t>
            </w:r>
            <w:proofErr w:type="spellStart"/>
            <w:r>
              <w:rPr>
                <w:rFonts w:eastAsia="DengXian"/>
                <w:sz w:val="18"/>
                <w:szCs w:val="18"/>
                <w:lang w:eastAsia="zh-CN"/>
              </w:rPr>
              <w:t>TypeA</w:t>
            </w:r>
            <w:proofErr w:type="spellEnd"/>
            <w:r>
              <w:rPr>
                <w:rFonts w:eastAsia="DengXian"/>
                <w:sz w:val="18"/>
                <w:szCs w:val="18"/>
                <w:lang w:eastAsia="zh-CN"/>
              </w:rPr>
              <w:t xml:space="preserve"> for Alt1.</w:t>
            </w:r>
          </w:p>
          <w:p w14:paraId="30E15A1A" w14:textId="77777777" w:rsidR="00502032" w:rsidRDefault="00502032" w:rsidP="00502032">
            <w:pPr>
              <w:snapToGrid w:val="0"/>
              <w:rPr>
                <w:rFonts w:eastAsia="DengXian"/>
                <w:sz w:val="18"/>
                <w:szCs w:val="18"/>
                <w:lang w:eastAsia="zh-CN"/>
              </w:rPr>
            </w:pPr>
            <w:r>
              <w:rPr>
                <w:rFonts w:eastAsia="DengXian"/>
                <w:sz w:val="18"/>
                <w:szCs w:val="18"/>
                <w:lang w:eastAsia="zh-CN"/>
              </w:rPr>
              <w:t>1b: It seems not. I am not sure whether power control could be a problem.</w:t>
            </w:r>
          </w:p>
          <w:p w14:paraId="504A582F" w14:textId="77777777" w:rsidR="00502032" w:rsidRDefault="00502032" w:rsidP="00502032">
            <w:pPr>
              <w:snapToGrid w:val="0"/>
              <w:rPr>
                <w:rFonts w:eastAsia="DengXian"/>
                <w:sz w:val="18"/>
                <w:szCs w:val="18"/>
                <w:lang w:eastAsia="zh-CN"/>
              </w:rPr>
            </w:pPr>
            <w:r>
              <w:rPr>
                <w:rFonts w:eastAsia="DengXian"/>
                <w:sz w:val="18"/>
                <w:szCs w:val="18"/>
                <w:lang w:eastAsia="zh-CN"/>
              </w:rPr>
              <w:t>2a: Indeed, some rules need to be defined for Alt1, like TCI selection for CORESET0, where only the first 64 valid TCI states can be indicated</w:t>
            </w:r>
          </w:p>
          <w:p w14:paraId="7D4112D5" w14:textId="4F25DA84" w:rsidR="00502032" w:rsidRPr="00545C01" w:rsidRDefault="00502032" w:rsidP="00502032">
            <w:pPr>
              <w:snapToGrid w:val="0"/>
              <w:rPr>
                <w:rFonts w:eastAsia="DengXian"/>
                <w:sz w:val="18"/>
                <w:szCs w:val="18"/>
                <w:lang w:eastAsia="zh-CN"/>
              </w:rPr>
            </w:pPr>
            <w:r>
              <w:rPr>
                <w:rFonts w:eastAsia="DengXian"/>
                <w:sz w:val="18"/>
                <w:szCs w:val="18"/>
                <w:lang w:eastAsia="zh-CN"/>
              </w:rPr>
              <w:t>2b: I guess the potential advantage could be RRC overhead reduction. gNB does not need to configure the same RSs in different TCI states.</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50AC60B9" w:rsidR="00502032" w:rsidRDefault="004C114C" w:rsidP="00502032">
            <w:pPr>
              <w:snapToGrid w:val="0"/>
              <w:rPr>
                <w:rFonts w:eastAsia="Malgun Gothic"/>
                <w:sz w:val="18"/>
                <w:szCs w:val="18"/>
              </w:rPr>
            </w:pPr>
            <w:r>
              <w:rPr>
                <w:rFonts w:eastAsia="Malgun Gothic"/>
                <w:sz w:val="18"/>
                <w:szCs w:val="18"/>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E178" w14:textId="4E05926E" w:rsidR="00502032" w:rsidRDefault="004C114C" w:rsidP="00502032">
            <w:pPr>
              <w:snapToGrid w:val="0"/>
              <w:rPr>
                <w:sz w:val="18"/>
                <w:szCs w:val="18"/>
                <w:lang w:val="en-GB"/>
              </w:rPr>
            </w:pPr>
            <w:r>
              <w:rPr>
                <w:sz w:val="18"/>
                <w:szCs w:val="18"/>
                <w:lang w:val="en-GB"/>
              </w:rPr>
              <w:t>1a: Agree that QCL-</w:t>
            </w:r>
            <w:proofErr w:type="spellStart"/>
            <w:r>
              <w:rPr>
                <w:sz w:val="18"/>
                <w:szCs w:val="18"/>
                <w:lang w:val="en-GB"/>
              </w:rPr>
              <w:t>typeA</w:t>
            </w:r>
            <w:proofErr w:type="spellEnd"/>
            <w:r>
              <w:rPr>
                <w:sz w:val="18"/>
                <w:szCs w:val="18"/>
                <w:lang w:val="en-GB"/>
              </w:rPr>
              <w:t xml:space="preserve"> RS derivation may need to be addressed for alt-1. </w:t>
            </w:r>
          </w:p>
          <w:p w14:paraId="46CF6E7C" w14:textId="7A871F52" w:rsidR="004C114C" w:rsidRDefault="004C114C" w:rsidP="00502032">
            <w:pPr>
              <w:snapToGrid w:val="0"/>
              <w:rPr>
                <w:sz w:val="18"/>
                <w:szCs w:val="18"/>
                <w:lang w:val="en-GB"/>
              </w:rPr>
            </w:pPr>
            <w:r>
              <w:rPr>
                <w:sz w:val="18"/>
                <w:szCs w:val="18"/>
                <w:lang w:val="en-GB"/>
              </w:rPr>
              <w:t xml:space="preserve">1b: It is preferable the CA framework is band-agnostic at least from RAN1 perspective. For (future potential) inter-band application, common pool may mandate the same </w:t>
            </w:r>
            <w:r w:rsidR="008811E4">
              <w:rPr>
                <w:sz w:val="18"/>
                <w:szCs w:val="18"/>
                <w:lang w:val="en-GB"/>
              </w:rPr>
              <w:t>QCL-</w:t>
            </w:r>
            <w:r>
              <w:rPr>
                <w:sz w:val="18"/>
                <w:szCs w:val="18"/>
                <w:lang w:val="en-GB"/>
              </w:rPr>
              <w:t>typeD RS (</w:t>
            </w:r>
            <w:r w:rsidR="008811E4">
              <w:rPr>
                <w:sz w:val="18"/>
                <w:szCs w:val="18"/>
                <w:lang w:val="en-GB"/>
              </w:rPr>
              <w:t>assuming</w:t>
            </w:r>
            <w:r>
              <w:rPr>
                <w:sz w:val="18"/>
                <w:szCs w:val="18"/>
                <w:lang w:val="en-GB"/>
              </w:rPr>
              <w:t xml:space="preserve"> same TCI-ID)</w:t>
            </w:r>
            <w:r w:rsidR="008811E4">
              <w:rPr>
                <w:sz w:val="18"/>
                <w:szCs w:val="18"/>
                <w:lang w:val="en-GB"/>
              </w:rPr>
              <w:t xml:space="preserve"> for each CC</w:t>
            </w:r>
            <w:r>
              <w:rPr>
                <w:sz w:val="18"/>
                <w:szCs w:val="18"/>
                <w:lang w:val="en-GB"/>
              </w:rPr>
              <w:t xml:space="preserve"> and same DL/UL spatial filter for CC</w:t>
            </w:r>
            <w:r w:rsidR="008811E4">
              <w:rPr>
                <w:sz w:val="18"/>
                <w:szCs w:val="18"/>
                <w:lang w:val="en-GB"/>
              </w:rPr>
              <w:t>s</w:t>
            </w:r>
            <w:r>
              <w:rPr>
                <w:sz w:val="18"/>
                <w:szCs w:val="18"/>
                <w:lang w:val="en-GB"/>
              </w:rPr>
              <w:t xml:space="preserve"> in different bands, thereby limiting its use case. Alt-2 avoids this issue. </w:t>
            </w:r>
          </w:p>
          <w:p w14:paraId="1C9BCC6B" w14:textId="77777777" w:rsidR="004C114C" w:rsidRDefault="004C114C" w:rsidP="00502032">
            <w:pPr>
              <w:snapToGrid w:val="0"/>
              <w:rPr>
                <w:sz w:val="18"/>
                <w:szCs w:val="18"/>
                <w:lang w:val="en-GB"/>
              </w:rPr>
            </w:pPr>
            <w:r>
              <w:rPr>
                <w:sz w:val="18"/>
                <w:szCs w:val="18"/>
                <w:lang w:val="en-GB"/>
              </w:rPr>
              <w:t xml:space="preserve">2a: </w:t>
            </w:r>
          </w:p>
          <w:p w14:paraId="1FFDEF34" w14:textId="7DE496CD" w:rsidR="004C114C" w:rsidRDefault="004C114C" w:rsidP="00502032">
            <w:pPr>
              <w:snapToGrid w:val="0"/>
              <w:rPr>
                <w:sz w:val="18"/>
                <w:szCs w:val="18"/>
                <w:lang w:val="en-GB"/>
              </w:rPr>
            </w:pPr>
            <w:r>
              <w:rPr>
                <w:sz w:val="18"/>
                <w:szCs w:val="18"/>
                <w:lang w:val="en-GB"/>
              </w:rPr>
              <w:t xml:space="preserve">2b: </w:t>
            </w:r>
            <w:bookmarkStart w:id="2" w:name="_GoBack"/>
            <w:bookmarkEnd w:id="2"/>
            <w:r>
              <w:rPr>
                <w:sz w:val="18"/>
                <w:szCs w:val="18"/>
                <w:lang w:val="en-GB"/>
              </w:rPr>
              <w:t xml:space="preserve">Unclear. We don’t think RRC overhead is a major optimization area. </w:t>
            </w:r>
          </w:p>
          <w:p w14:paraId="031EDB64" w14:textId="77777777" w:rsidR="004C114C" w:rsidRDefault="004C114C" w:rsidP="00502032">
            <w:pPr>
              <w:snapToGrid w:val="0"/>
              <w:rPr>
                <w:sz w:val="18"/>
                <w:szCs w:val="18"/>
                <w:lang w:val="en-GB"/>
              </w:rPr>
            </w:pPr>
          </w:p>
          <w:p w14:paraId="6CCAE774" w14:textId="000787A8" w:rsidR="004C114C" w:rsidRPr="0096531D" w:rsidRDefault="004C114C" w:rsidP="00502032">
            <w:pPr>
              <w:snapToGrid w:val="0"/>
              <w:rPr>
                <w:sz w:val="18"/>
                <w:szCs w:val="18"/>
                <w:lang w:val="en-GB"/>
              </w:rPr>
            </w:pPr>
          </w:p>
        </w:tc>
      </w:tr>
      <w:tr w:rsidR="00502032"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6BCE588F" w:rsidR="00502032" w:rsidRDefault="00502032" w:rsidP="00502032">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DBB7B" w14:textId="15DC649D" w:rsidR="00502032" w:rsidRDefault="00502032" w:rsidP="00502032">
            <w:pPr>
              <w:snapToGrid w:val="0"/>
              <w:rPr>
                <w:sz w:val="18"/>
              </w:rPr>
            </w:pPr>
          </w:p>
        </w:tc>
      </w:tr>
      <w:tr w:rsidR="00502032"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2227B44E" w:rsidR="00502032" w:rsidRDefault="00502032" w:rsidP="00502032">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F67D" w14:textId="56AF67A3" w:rsidR="00502032" w:rsidRDefault="00502032" w:rsidP="00502032">
            <w:pPr>
              <w:snapToGrid w:val="0"/>
              <w:rPr>
                <w:sz w:val="18"/>
              </w:rPr>
            </w:pPr>
          </w:p>
        </w:tc>
      </w:tr>
      <w:tr w:rsidR="00502032"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00261897" w:rsidR="00502032" w:rsidRDefault="00502032" w:rsidP="00502032">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B2CEB" w14:textId="683CD0E0" w:rsidR="00502032" w:rsidRDefault="00502032" w:rsidP="00502032">
            <w:pPr>
              <w:snapToGrid w:val="0"/>
              <w:rPr>
                <w:rFonts w:eastAsia="Malgun Gothic"/>
                <w:sz w:val="18"/>
              </w:rPr>
            </w:pPr>
          </w:p>
        </w:tc>
      </w:tr>
      <w:tr w:rsidR="00502032"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AF98B33" w:rsidR="00502032" w:rsidRDefault="00502032" w:rsidP="00502032">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25150" w14:textId="508A0BF5" w:rsidR="00502032" w:rsidRDefault="00502032" w:rsidP="00502032">
            <w:pPr>
              <w:snapToGrid w:val="0"/>
              <w:rPr>
                <w:rFonts w:eastAsia="Malgun Gothic"/>
                <w:sz w:val="18"/>
              </w:rPr>
            </w:pPr>
          </w:p>
        </w:tc>
      </w:tr>
      <w:tr w:rsidR="00502032"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5A3B376A"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6C3B4" w14:textId="325DF98C" w:rsidR="00502032" w:rsidRDefault="00502032" w:rsidP="00502032">
            <w:pPr>
              <w:snapToGrid w:val="0"/>
              <w:rPr>
                <w:sz w:val="18"/>
                <w:lang w:eastAsia="zh-CN"/>
              </w:rPr>
            </w:pPr>
          </w:p>
        </w:tc>
      </w:tr>
      <w:tr w:rsidR="00502032"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43AA418"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EC0C9" w14:textId="2CC9C942" w:rsidR="00502032" w:rsidRDefault="00502032" w:rsidP="00502032">
            <w:pPr>
              <w:snapToGrid w:val="0"/>
              <w:rPr>
                <w:sz w:val="18"/>
                <w:lang w:eastAsia="zh-CN"/>
              </w:rPr>
            </w:pPr>
          </w:p>
        </w:tc>
      </w:tr>
      <w:tr w:rsidR="00502032"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2BF538CD"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BFAA3" w14:textId="68B6129E" w:rsidR="00502032" w:rsidRDefault="00502032" w:rsidP="00502032">
            <w:pPr>
              <w:snapToGrid w:val="0"/>
              <w:rPr>
                <w:sz w:val="18"/>
                <w:lang w:eastAsia="zh-CN"/>
              </w:rPr>
            </w:pPr>
          </w:p>
        </w:tc>
      </w:tr>
      <w:tr w:rsidR="00502032"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5B6850A"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7ECED" w14:textId="7990DE8B" w:rsidR="00502032" w:rsidRDefault="00502032" w:rsidP="00502032">
            <w:pPr>
              <w:snapToGrid w:val="0"/>
              <w:rPr>
                <w:sz w:val="18"/>
                <w:lang w:eastAsia="zh-CN"/>
              </w:rPr>
            </w:pPr>
          </w:p>
        </w:tc>
      </w:tr>
      <w:tr w:rsidR="00502032"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4735FF33"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BBDA5" w14:textId="061AA4EE" w:rsidR="00502032" w:rsidRDefault="00502032" w:rsidP="00502032">
            <w:pPr>
              <w:snapToGrid w:val="0"/>
              <w:rPr>
                <w:sz w:val="18"/>
                <w:lang w:eastAsia="zh-CN"/>
              </w:rPr>
            </w:pPr>
          </w:p>
        </w:tc>
      </w:tr>
      <w:tr w:rsidR="00502032"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038CE8F6"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877AF" w14:textId="7D8C1EF7" w:rsidR="00502032" w:rsidRDefault="00502032" w:rsidP="00502032">
            <w:pPr>
              <w:pStyle w:val="NormalWeb"/>
              <w:snapToGrid w:val="0"/>
              <w:spacing w:before="0" w:after="0"/>
              <w:jc w:val="both"/>
              <w:rPr>
                <w:sz w:val="18"/>
                <w:lang w:eastAsia="zh-CN"/>
              </w:rPr>
            </w:pPr>
          </w:p>
        </w:tc>
      </w:tr>
    </w:tbl>
    <w:p w14:paraId="428D58E3" w14:textId="492ABCF6" w:rsidR="00DE37B1" w:rsidRPr="003D00D4"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 xml:space="preserve">Note: currently there is no agreement on supported </w:t>
            </w:r>
            <w:r w:rsidRPr="00986FA6">
              <w:rPr>
                <w:color w:val="FF0000"/>
                <w:sz w:val="20"/>
                <w:szCs w:val="20"/>
              </w:rPr>
              <w:lastRenderedPageBreak/>
              <w:t>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lastRenderedPageBreak/>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w:t>
            </w:r>
            <w:proofErr w:type="spellStart"/>
            <w:r w:rsidRPr="006F32F1">
              <w:rPr>
                <w:sz w:val="18"/>
                <w:szCs w:val="20"/>
              </w:rPr>
              <w:t>MoM</w:t>
            </w:r>
            <w:proofErr w:type="spellEnd"/>
            <w:r w:rsidRPr="006F32F1">
              <w:rPr>
                <w:sz w:val="18"/>
                <w:szCs w:val="20"/>
              </w:rPr>
              <w:t>, Huawei/</w:t>
            </w:r>
            <w:proofErr w:type="spellStart"/>
            <w:r w:rsidRPr="006F32F1">
              <w:rPr>
                <w:sz w:val="18"/>
                <w:szCs w:val="20"/>
              </w:rPr>
              <w:t>HiSi</w:t>
            </w:r>
            <w:proofErr w:type="spellEnd"/>
            <w:r w:rsidRPr="006F32F1">
              <w:rPr>
                <w:sz w:val="18"/>
                <w:szCs w:val="20"/>
              </w:rPr>
              <w:t>,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lastRenderedPageBreak/>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Yes</w:t>
            </w:r>
            <w:r w:rsidRPr="006F32F1">
              <w:rPr>
                <w:sz w:val="18"/>
                <w:szCs w:val="20"/>
              </w:rPr>
              <w:t>: Samsung, ZTE</w:t>
            </w:r>
            <w:r w:rsidRPr="006F32F1">
              <w:rPr>
                <w:rFonts w:eastAsia="DengXian"/>
                <w:sz w:val="18"/>
                <w:szCs w:val="20"/>
              </w:rPr>
              <w:t>, Futurewei, Huawei/</w:t>
            </w:r>
            <w:proofErr w:type="spellStart"/>
            <w:r w:rsidRPr="006F32F1">
              <w:rPr>
                <w:rFonts w:eastAsia="DengXian"/>
                <w:sz w:val="18"/>
                <w:szCs w:val="20"/>
              </w:rPr>
              <w:t>HiSi</w:t>
            </w:r>
            <w:proofErr w:type="spellEnd"/>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w:t>
            </w:r>
            <w:r>
              <w:rPr>
                <w:color w:val="3333FF"/>
                <w:sz w:val="20"/>
                <w:szCs w:val="20"/>
              </w:rPr>
              <w:t>i</w:t>
            </w:r>
            <w:r>
              <w:rPr>
                <w:color w:val="3333FF"/>
                <w:sz w:val="20"/>
                <w:szCs w:val="20"/>
              </w:rPr>
              <w:t>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77777777" w:rsidR="001175C0" w:rsidRDefault="001175C0" w:rsidP="008930FC">
            <w:pPr>
              <w:snapToGrid w:val="0"/>
              <w:rPr>
                <w:rFonts w:cs="Times New Roman"/>
                <w:color w:val="000000"/>
                <w:sz w:val="20"/>
                <w:szCs w:val="20"/>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361547D4" w:rsidR="001175C0" w:rsidRDefault="001175C0" w:rsidP="008930FC">
            <w:pPr>
              <w:snapToGrid w:val="0"/>
              <w:rPr>
                <w:rFonts w:cs="Times New Roman"/>
                <w:color w:val="000000"/>
                <w:sz w:val="20"/>
                <w:szCs w:val="20"/>
              </w:rPr>
            </w:pPr>
          </w:p>
          <w:p w14:paraId="69714EBA" w14:textId="59AEFB7A" w:rsidR="001175C0" w:rsidRDefault="001175C0" w:rsidP="008930FC">
            <w:pPr>
              <w:snapToGrid w:val="0"/>
              <w:rPr>
                <w:rFonts w:cs="Times New Roman"/>
                <w:color w:val="000000"/>
                <w:sz w:val="20"/>
                <w:szCs w:val="20"/>
              </w:rPr>
            </w:pPr>
            <w:r>
              <w:rPr>
                <w:rFonts w:cs="Times New Roman"/>
                <w:color w:val="000000"/>
                <w:sz w:val="20"/>
                <w:szCs w:val="20"/>
              </w:rPr>
              <w:t>...</w:t>
            </w:r>
          </w:p>
          <w:p w14:paraId="1B39EABA" w14:textId="77777777" w:rsidR="001175C0" w:rsidRPr="001175C0" w:rsidRDefault="001175C0" w:rsidP="008930FC">
            <w:pPr>
              <w:snapToGrid w:val="0"/>
              <w:rPr>
                <w:sz w:val="20"/>
              </w:rPr>
            </w:pPr>
            <w:r w:rsidRPr="007009E1">
              <w:rPr>
                <w:rFonts w:cs="Times New Roman"/>
                <w:color w:val="000000"/>
                <w:sz w:val="20"/>
                <w:szCs w:val="20"/>
              </w:rPr>
              <w:t xml:space="preserve"> </w:t>
            </w: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502032"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1971918B" w:rsidR="00502032" w:rsidRPr="00213008" w:rsidRDefault="00502032" w:rsidP="00502032">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3AD1" w14:textId="77777777" w:rsidR="00502032" w:rsidRDefault="00502032" w:rsidP="00502032">
            <w:pPr>
              <w:rPr>
                <w:sz w:val="18"/>
                <w:szCs w:val="18"/>
              </w:rPr>
            </w:pPr>
            <w:r>
              <w:rPr>
                <w:sz w:val="18"/>
                <w:szCs w:val="18"/>
              </w:rPr>
              <w:t>Q1: Yes</w:t>
            </w:r>
          </w:p>
          <w:p w14:paraId="4A88194B" w14:textId="72823C0A" w:rsidR="00502032" w:rsidRPr="00E24894" w:rsidRDefault="00502032" w:rsidP="00502032">
            <w:pPr>
              <w:rPr>
                <w:sz w:val="18"/>
                <w:szCs w:val="18"/>
              </w:rPr>
            </w:pPr>
            <w:r>
              <w:rPr>
                <w:sz w:val="18"/>
                <w:szCs w:val="18"/>
              </w:rPr>
              <w:t>Q2a/Q2b: all RSs based on legacy QCL rule can be allowed</w:t>
            </w:r>
          </w:p>
        </w:tc>
      </w:tr>
      <w:tr w:rsidR="00502032"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4CA5646B" w:rsidR="00502032" w:rsidRDefault="004C114C" w:rsidP="00502032">
            <w:pPr>
              <w:snapToGrid w:val="0"/>
              <w:rPr>
                <w:rFonts w:eastAsia="SimSun"/>
                <w:sz w:val="18"/>
                <w:szCs w:val="18"/>
                <w:lang w:eastAsia="zh-CN"/>
              </w:rPr>
            </w:pPr>
            <w:r>
              <w:rPr>
                <w:rFonts w:eastAsia="SimSun"/>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4434" w14:textId="77777777" w:rsidR="00502032" w:rsidRDefault="004C114C" w:rsidP="00502032">
            <w:pPr>
              <w:snapToGrid w:val="0"/>
              <w:rPr>
                <w:sz w:val="18"/>
                <w:szCs w:val="18"/>
              </w:rPr>
            </w:pPr>
            <w:r>
              <w:rPr>
                <w:sz w:val="18"/>
                <w:szCs w:val="18"/>
              </w:rPr>
              <w:t>Q1: Yes</w:t>
            </w:r>
          </w:p>
          <w:p w14:paraId="518A5418" w14:textId="28A787DC" w:rsidR="004C114C" w:rsidRDefault="004C114C" w:rsidP="00502032">
            <w:pPr>
              <w:snapToGrid w:val="0"/>
              <w:rPr>
                <w:sz w:val="18"/>
                <w:szCs w:val="18"/>
              </w:rPr>
            </w:pPr>
            <w:r>
              <w:rPr>
                <w:sz w:val="18"/>
                <w:szCs w:val="18"/>
              </w:rPr>
              <w:t xml:space="preserve">Q2:  all RS </w:t>
            </w:r>
            <w:r w:rsidR="00F01ECA">
              <w:rPr>
                <w:sz w:val="18"/>
                <w:szCs w:val="18"/>
              </w:rPr>
              <w:t>allowed in legacy QCL provision (</w:t>
            </w:r>
            <w:r>
              <w:rPr>
                <w:sz w:val="18"/>
                <w:szCs w:val="18"/>
              </w:rPr>
              <w:t>unless there is g</w:t>
            </w:r>
            <w:r w:rsidR="00F01ECA">
              <w:rPr>
                <w:sz w:val="18"/>
                <w:szCs w:val="18"/>
              </w:rPr>
              <w:t>ood reason for their exclusion)</w:t>
            </w:r>
          </w:p>
          <w:p w14:paraId="16A65774" w14:textId="264E8DB7" w:rsidR="004C114C" w:rsidRDefault="004C114C" w:rsidP="00502032">
            <w:pPr>
              <w:snapToGrid w:val="0"/>
              <w:rPr>
                <w:sz w:val="18"/>
                <w:szCs w:val="18"/>
              </w:rPr>
            </w:pPr>
          </w:p>
        </w:tc>
      </w:tr>
      <w:tr w:rsidR="00502032"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24E71E83"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A134" w14:textId="358E595D" w:rsidR="00502032" w:rsidRDefault="00502032" w:rsidP="00502032">
            <w:pPr>
              <w:snapToGrid w:val="0"/>
              <w:rPr>
                <w:sz w:val="18"/>
                <w:lang w:eastAsia="zh-CN"/>
              </w:rPr>
            </w:pPr>
          </w:p>
        </w:tc>
      </w:tr>
      <w:tr w:rsidR="00502032"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3D5641E4"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09C2" w14:textId="75579E06" w:rsidR="00502032" w:rsidRDefault="00502032" w:rsidP="00502032">
            <w:pPr>
              <w:snapToGrid w:val="0"/>
              <w:rPr>
                <w:sz w:val="18"/>
                <w:lang w:eastAsia="zh-CN"/>
              </w:rPr>
            </w:pPr>
          </w:p>
        </w:tc>
      </w:tr>
      <w:tr w:rsidR="00502032"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4D99D6FF"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77D0" w14:textId="312AAF75" w:rsidR="00502032" w:rsidRDefault="00502032" w:rsidP="00502032">
            <w:pPr>
              <w:snapToGrid w:val="0"/>
              <w:rPr>
                <w:sz w:val="18"/>
                <w:lang w:eastAsia="zh-CN"/>
              </w:rPr>
            </w:pPr>
          </w:p>
        </w:tc>
      </w:tr>
      <w:tr w:rsidR="00502032"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3D1AA140"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E7B8" w14:textId="21D9D705" w:rsidR="00502032" w:rsidRDefault="00502032" w:rsidP="00502032">
            <w:pPr>
              <w:snapToGrid w:val="0"/>
              <w:rPr>
                <w:sz w:val="18"/>
                <w:lang w:eastAsia="zh-CN"/>
              </w:rPr>
            </w:pPr>
          </w:p>
        </w:tc>
      </w:tr>
      <w:tr w:rsidR="00502032"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41A8E433"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DD35" w14:textId="77777777" w:rsidR="00502032" w:rsidRDefault="00502032" w:rsidP="00502032">
            <w:pPr>
              <w:snapToGrid w:val="0"/>
              <w:rPr>
                <w:sz w:val="18"/>
                <w:lang w:eastAsia="zh-CN"/>
              </w:rPr>
            </w:pPr>
          </w:p>
        </w:tc>
      </w:tr>
      <w:tr w:rsidR="00502032"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5518DE5D" w:rsidR="00502032" w:rsidRDefault="00502032" w:rsidP="00502032">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4DE67" w14:textId="07474B1A" w:rsidR="00502032" w:rsidRDefault="00502032" w:rsidP="00502032">
            <w:pPr>
              <w:rPr>
                <w:sz w:val="18"/>
                <w:lang w:eastAsia="zh-CN"/>
              </w:rPr>
            </w:pP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lastRenderedPageBreak/>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w:t>
            </w:r>
            <w:r>
              <w:rPr>
                <w:sz w:val="18"/>
                <w:szCs w:val="20"/>
              </w:rPr>
              <w:t>i</w:t>
            </w:r>
            <w:r>
              <w:rPr>
                <w:sz w:val="18"/>
                <w:szCs w:val="20"/>
              </w:rPr>
              <w:t>tion:</w:t>
            </w:r>
          </w:p>
          <w:p w14:paraId="5FDA57BC" w14:textId="77777777" w:rsidR="00780201" w:rsidRDefault="00780201">
            <w:pPr>
              <w:snapToGrid w:val="0"/>
              <w:rPr>
                <w:sz w:val="18"/>
                <w:szCs w:val="20"/>
              </w:rPr>
            </w:pPr>
            <w:r>
              <w:rPr>
                <w:sz w:val="18"/>
                <w:szCs w:val="20"/>
              </w:rPr>
              <w:t>Alt1: Measured from DCI rece</w:t>
            </w:r>
            <w:r>
              <w:rPr>
                <w:sz w:val="18"/>
                <w:szCs w:val="20"/>
              </w:rPr>
              <w:t>p</w:t>
            </w:r>
            <w:r>
              <w:rPr>
                <w:sz w:val="18"/>
                <w:szCs w:val="20"/>
              </w:rPr>
              <w:t>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Alt1: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xml:space="preserve">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Alt1: the first slot that is at least X </w:t>
      </w:r>
      <w:proofErr w:type="spellStart"/>
      <w:r w:rsidRPr="003439B6">
        <w:rPr>
          <w:rFonts w:ascii="Times" w:eastAsia="Batang" w:hAnsi="Times"/>
          <w:sz w:val="18"/>
          <w:szCs w:val="18"/>
          <w:lang w:val="en-GB" w:eastAsia="en-US"/>
        </w:rPr>
        <w:t>ms</w:t>
      </w:r>
      <w:proofErr w:type="spellEnd"/>
      <w:r w:rsidRPr="003439B6">
        <w:rPr>
          <w:rFonts w:ascii="Times" w:eastAsia="Batang" w:hAnsi="Times"/>
          <w:sz w:val="18"/>
          <w:szCs w:val="18"/>
          <w:lang w:val="en-GB" w:eastAsia="en-US"/>
        </w:rPr>
        <w:t>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09241B" w:rsidRDefault="0009241B" w:rsidP="0009241B">
            <w:pPr>
              <w:snapToGrid w:val="0"/>
              <w:jc w:val="both"/>
              <w:rPr>
                <w:rFonts w:eastAsia="Batang" w:cs="Times New Roman"/>
                <w:bCs/>
                <w:sz w:val="20"/>
                <w:szCs w:val="20"/>
                <w:lang w:val="en-GB" w:eastAsia="en-US"/>
              </w:rPr>
            </w:pPr>
            <w:r w:rsidRPr="0009241B">
              <w:rPr>
                <w:rFonts w:cs="Times New Roman"/>
                <w:b/>
                <w:sz w:val="20"/>
                <w:szCs w:val="20"/>
                <w:u w:val="single"/>
              </w:rPr>
              <w:t>Proposal 3.1</w:t>
            </w:r>
            <w:r w:rsidR="008B61C7" w:rsidRPr="0009241B">
              <w:rPr>
                <w:rFonts w:cs="Times New Roman"/>
                <w:sz w:val="20"/>
                <w:szCs w:val="20"/>
              </w:rPr>
              <w:t xml:space="preserve">: </w:t>
            </w:r>
            <w:r w:rsidR="008F4222" w:rsidRPr="0009241B">
              <w:rPr>
                <w:rFonts w:eastAsia="Batang" w:cs="Times New Roman"/>
                <w:bCs/>
                <w:sz w:val="20"/>
                <w:szCs w:val="20"/>
                <w:lang w:val="en-GB" w:eastAsia="en-US"/>
              </w:rPr>
              <w:t xml:space="preserve">On Rel.17 DCI-based beam indication, </w:t>
            </w:r>
            <w:r w:rsidRPr="0009241B">
              <w:rPr>
                <w:rFonts w:ascii="Times" w:eastAsia="Batang" w:hAnsi="Times" w:cs="Times New Roman"/>
                <w:sz w:val="20"/>
                <w:szCs w:val="20"/>
                <w:lang w:val="en-GB" w:eastAsia="en-US"/>
              </w:rPr>
              <w:t>regarding application time of the beam indication: if beam indic</w:t>
            </w:r>
            <w:r w:rsidRPr="0009241B">
              <w:rPr>
                <w:rFonts w:ascii="Times" w:eastAsia="Batang" w:hAnsi="Times" w:cs="Times New Roman"/>
                <w:sz w:val="20"/>
                <w:szCs w:val="20"/>
                <w:lang w:val="en-GB" w:eastAsia="en-US"/>
              </w:rPr>
              <w:t>a</w:t>
            </w:r>
            <w:r w:rsidRPr="0009241B">
              <w:rPr>
                <w:rFonts w:ascii="Times" w:eastAsia="Batang" w:hAnsi="Times" w:cs="Times New Roman"/>
                <w:sz w:val="20"/>
                <w:szCs w:val="20"/>
                <w:lang w:val="en-GB" w:eastAsia="en-US"/>
              </w:rPr>
              <w:t>tion is received, down-select (</w:t>
            </w:r>
            <w:r w:rsidRPr="0075184B">
              <w:rPr>
                <w:rFonts w:ascii="Times" w:eastAsia="Batang" w:hAnsi="Times" w:cs="Times New Roman"/>
                <w:color w:val="3333FF"/>
                <w:sz w:val="20"/>
                <w:szCs w:val="20"/>
                <w:lang w:val="en-GB" w:eastAsia="en-US"/>
              </w:rPr>
              <w:t xml:space="preserve">no later than RAN1#105-e) </w:t>
            </w:r>
            <w:r w:rsidRPr="0009241B">
              <w:rPr>
                <w:rFonts w:ascii="Times" w:eastAsia="Batang" w:hAnsi="Times" w:cs="Times New Roman"/>
                <w:sz w:val="20"/>
                <w:szCs w:val="20"/>
                <w:lang w:val="en-GB" w:eastAsia="en-US"/>
              </w:rPr>
              <w:t>from the following:</w:t>
            </w:r>
          </w:p>
          <w:p w14:paraId="6EFF5CF0" w14:textId="796AF27B"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t xml:space="preserve">Alt1A: the first slot that is at least X </w:t>
            </w:r>
            <w:proofErr w:type="spellStart"/>
            <w:r w:rsidRPr="0009241B">
              <w:rPr>
                <w:rFonts w:ascii="Times" w:eastAsia="Batang" w:hAnsi="Times" w:cs="Times New Roman"/>
                <w:sz w:val="20"/>
                <w:szCs w:val="20"/>
                <w:lang w:val="en-GB" w:eastAsia="en-US"/>
              </w:rPr>
              <w:t>ms</w:t>
            </w:r>
            <w:proofErr w:type="spellEnd"/>
            <w:r w:rsidRPr="0009241B">
              <w:rPr>
                <w:rFonts w:ascii="Times" w:eastAsia="Batang" w:hAnsi="Times" w:cs="Times New Roman"/>
                <w:sz w:val="20"/>
                <w:szCs w:val="20"/>
                <w:lang w:val="en-GB" w:eastAsia="en-US"/>
              </w:rPr>
              <w:t> or Y symbols after the DCI with the joint or separate DL/UL beam indication</w:t>
            </w:r>
          </w:p>
          <w:p w14:paraId="158F15B9" w14:textId="731A7680" w:rsidR="0009241B" w:rsidRPr="0075184B" w:rsidRDefault="0009241B" w:rsidP="00E03338">
            <w:pPr>
              <w:numPr>
                <w:ilvl w:val="0"/>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s="Times New Roman"/>
                <w:color w:val="3333FF"/>
                <w:sz w:val="20"/>
                <w:szCs w:val="20"/>
                <w:lang w:val="en-GB" w:eastAsia="en-US"/>
              </w:rPr>
              <w:t xml:space="preserve">Alt1B: the first slot that is at least X </w:t>
            </w:r>
            <w:proofErr w:type="spellStart"/>
            <w:r w:rsidRPr="0075184B">
              <w:rPr>
                <w:rFonts w:ascii="Times" w:eastAsia="Batang" w:hAnsi="Times" w:cs="Times New Roman"/>
                <w:color w:val="3333FF"/>
                <w:sz w:val="20"/>
                <w:szCs w:val="20"/>
                <w:lang w:val="en-GB" w:eastAsia="en-US"/>
              </w:rPr>
              <w:t>ms</w:t>
            </w:r>
            <w:proofErr w:type="spellEnd"/>
            <w:r w:rsidRPr="0075184B">
              <w:rPr>
                <w:rFonts w:ascii="Times" w:eastAsia="Batang" w:hAnsi="Times" w:cs="Times New Roman"/>
                <w:color w:val="3333FF"/>
                <w:sz w:val="20"/>
                <w:szCs w:val="20"/>
                <w:lang w:val="en-GB" w:eastAsia="en-US"/>
              </w:rPr>
              <w:t> or Y symbols after the DCI with the joint or separate DL/UL beam indication</w:t>
            </w:r>
          </w:p>
          <w:p w14:paraId="59410C8D" w14:textId="3E3D701E" w:rsidR="0009241B" w:rsidRPr="0075184B" w:rsidRDefault="0009241B" w:rsidP="00E03338">
            <w:pPr>
              <w:numPr>
                <w:ilvl w:val="1"/>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olor w:val="3333FF"/>
                <w:sz w:val="20"/>
                <w:szCs w:val="20"/>
                <w:lang w:val="en-GB" w:eastAsia="en-US"/>
              </w:rPr>
              <w:t>In addition, the UE may assume that the (gNB-)configured application time is after the acknowledgement</w:t>
            </w:r>
          </w:p>
          <w:p w14:paraId="25AEF46A" w14:textId="77777777"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t xml:space="preserve">Alt2: the first slot that is at least X </w:t>
            </w:r>
            <w:proofErr w:type="spellStart"/>
            <w:r w:rsidRPr="0009241B">
              <w:rPr>
                <w:rFonts w:ascii="Times" w:eastAsia="Batang" w:hAnsi="Times" w:cs="Times New Roman"/>
                <w:sz w:val="20"/>
                <w:szCs w:val="20"/>
                <w:lang w:val="en-GB" w:eastAsia="en-US"/>
              </w:rPr>
              <w:t>ms</w:t>
            </w:r>
            <w:proofErr w:type="spellEnd"/>
            <w:r w:rsidRPr="0009241B">
              <w:rPr>
                <w:rFonts w:ascii="Times" w:eastAsia="Batang" w:hAnsi="Times" w:cs="Times New Roman"/>
                <w:sz w:val="20"/>
                <w:szCs w:val="20"/>
                <w:lang w:val="en-GB" w:eastAsia="en-US"/>
              </w:rPr>
              <w:t xml:space="preserve"> or Y symbols after the acknowledgment of the joint or separate DL/UL beam indication </w:t>
            </w:r>
          </w:p>
          <w:p w14:paraId="43E340E1" w14:textId="77777777" w:rsidR="0009241B" w:rsidRPr="0009241B" w:rsidRDefault="0009241B" w:rsidP="00E03338">
            <w:pPr>
              <w:numPr>
                <w:ilvl w:val="0"/>
                <w:numId w:val="8"/>
              </w:numPr>
              <w:suppressAutoHyphens/>
              <w:autoSpaceDN w:val="0"/>
              <w:snapToGrid w:val="0"/>
              <w:jc w:val="both"/>
              <w:textAlignment w:val="baseline"/>
              <w:rPr>
                <w:sz w:val="20"/>
                <w:szCs w:val="20"/>
              </w:rPr>
            </w:pPr>
            <w:r w:rsidRPr="0009241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09241B">
              <w:rPr>
                <w:rFonts w:ascii="Times" w:eastAsia="Batang" w:hAnsi="Times" w:cs="Times New Roman"/>
                <w:bCs/>
                <w:sz w:val="20"/>
                <w:szCs w:val="20"/>
                <w:lang w:val="en-GB" w:eastAsia="en-US"/>
              </w:rPr>
              <w:t xml:space="preserve">FFS: </w:t>
            </w:r>
            <w:r w:rsidRPr="0009241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502032"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FC47EF8" w:rsidR="00502032" w:rsidRPr="003439B6" w:rsidRDefault="00502032" w:rsidP="00502032">
            <w:pPr>
              <w:snapToGrid w:val="0"/>
              <w:rPr>
                <w:sz w:val="18"/>
                <w:szCs w:val="18"/>
              </w:rPr>
            </w:pPr>
            <w:r>
              <w:rPr>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3047F59E" w:rsidR="00502032" w:rsidRPr="003439B6" w:rsidRDefault="00502032" w:rsidP="00502032">
            <w:pPr>
              <w:snapToGrid w:val="0"/>
              <w:rPr>
                <w:rFonts w:eastAsia="Malgun Gothic"/>
                <w:sz w:val="18"/>
                <w:szCs w:val="18"/>
                <w:lang w:eastAsia="zh-TW"/>
              </w:rPr>
            </w:pPr>
            <w:r>
              <w:rPr>
                <w:rFonts w:eastAsia="Malgun Gothic"/>
                <w:sz w:val="18"/>
                <w:szCs w:val="18"/>
                <w:lang w:eastAsia="zh-TW"/>
              </w:rPr>
              <w:t xml:space="preserve">For both Alt1B and Alt2, we suggest </w:t>
            </w:r>
            <w:proofErr w:type="gramStart"/>
            <w:r>
              <w:rPr>
                <w:rFonts w:eastAsia="Malgun Gothic"/>
                <w:sz w:val="18"/>
                <w:szCs w:val="18"/>
                <w:lang w:eastAsia="zh-TW"/>
              </w:rPr>
              <w:t>to change</w:t>
            </w:r>
            <w:proofErr w:type="gramEnd"/>
            <w:r>
              <w:rPr>
                <w:rFonts w:eastAsia="Malgun Gothic"/>
                <w:sz w:val="18"/>
                <w:szCs w:val="18"/>
                <w:lang w:eastAsia="zh-TW"/>
              </w:rPr>
              <w:t xml:space="preserve"> “acknowledgement” into “last symbol of the acknowledgement”. </w:t>
            </w:r>
          </w:p>
        </w:tc>
      </w:tr>
      <w:tr w:rsidR="00502032"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3BA49C98"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37B1D0D0" w:rsidR="00502032" w:rsidRPr="003439B6" w:rsidRDefault="00502032" w:rsidP="00502032">
            <w:pPr>
              <w:snapToGrid w:val="0"/>
              <w:rPr>
                <w:rFonts w:eastAsia="Malgun Gothic"/>
                <w:sz w:val="18"/>
                <w:szCs w:val="18"/>
              </w:rPr>
            </w:pPr>
          </w:p>
        </w:tc>
      </w:tr>
      <w:tr w:rsidR="00502032"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019B9B41"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7DB3" w14:textId="351855AD" w:rsidR="00502032" w:rsidRPr="003439B6" w:rsidRDefault="00502032" w:rsidP="00502032">
            <w:pPr>
              <w:snapToGrid w:val="0"/>
              <w:rPr>
                <w:rFonts w:eastAsia="Malgun Gothic"/>
                <w:sz w:val="18"/>
                <w:szCs w:val="18"/>
              </w:rPr>
            </w:pPr>
          </w:p>
        </w:tc>
      </w:tr>
      <w:tr w:rsidR="0050203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0E7F7C37"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8766" w14:textId="499FB214" w:rsidR="00502032" w:rsidRPr="003439B6" w:rsidRDefault="00502032" w:rsidP="00502032">
            <w:pPr>
              <w:snapToGrid w:val="0"/>
              <w:rPr>
                <w:rFonts w:eastAsia="Malgun Gothic"/>
                <w:sz w:val="18"/>
                <w:szCs w:val="18"/>
              </w:rPr>
            </w:pPr>
          </w:p>
        </w:tc>
      </w:tr>
      <w:tr w:rsidR="00502032"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4C2A59"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4BCD0BD8" w:rsidR="00502032" w:rsidRPr="003439B6" w:rsidRDefault="00502032" w:rsidP="00502032">
            <w:pPr>
              <w:snapToGrid w:val="0"/>
              <w:rPr>
                <w:rFonts w:eastAsia="Malgun Gothic"/>
                <w:b/>
                <w:bCs/>
                <w:sz w:val="18"/>
                <w:szCs w:val="18"/>
              </w:rPr>
            </w:pPr>
          </w:p>
        </w:tc>
      </w:tr>
      <w:tr w:rsidR="00502032"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53DCBDD1"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90159BF" w:rsidR="00502032" w:rsidRPr="003439B6" w:rsidRDefault="00502032" w:rsidP="00502032">
            <w:pPr>
              <w:snapToGrid w:val="0"/>
              <w:rPr>
                <w:rFonts w:eastAsia="Malgun Gothic"/>
                <w:sz w:val="18"/>
                <w:szCs w:val="18"/>
              </w:rPr>
            </w:pPr>
          </w:p>
        </w:tc>
      </w:tr>
      <w:tr w:rsidR="00502032"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B7CB45B"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47B51" w14:textId="566AD510" w:rsidR="00502032" w:rsidRPr="003439B6" w:rsidRDefault="00502032" w:rsidP="00502032">
            <w:pPr>
              <w:snapToGrid w:val="0"/>
              <w:rPr>
                <w:rFonts w:eastAsia="Malgun Gothic"/>
                <w:sz w:val="18"/>
                <w:szCs w:val="18"/>
              </w:rPr>
            </w:pPr>
          </w:p>
        </w:tc>
      </w:tr>
      <w:tr w:rsidR="00502032"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1739C43E"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07B99" w14:textId="5A1FF653" w:rsidR="00502032" w:rsidRPr="003439B6" w:rsidRDefault="00502032" w:rsidP="00502032">
            <w:pPr>
              <w:snapToGrid w:val="0"/>
              <w:rPr>
                <w:rFonts w:eastAsia="Malgun Gothic"/>
                <w:sz w:val="18"/>
                <w:szCs w:val="18"/>
              </w:rPr>
            </w:pPr>
          </w:p>
        </w:tc>
      </w:tr>
      <w:tr w:rsidR="00502032"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553EA15"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B625" w14:textId="1E2A3C31" w:rsidR="00502032" w:rsidRPr="003439B6" w:rsidRDefault="00502032" w:rsidP="00502032">
            <w:pPr>
              <w:snapToGrid w:val="0"/>
              <w:rPr>
                <w:rFonts w:eastAsia="Malgun Gothic"/>
                <w:sz w:val="18"/>
                <w:szCs w:val="18"/>
              </w:rPr>
            </w:pPr>
          </w:p>
        </w:tc>
      </w:tr>
      <w:tr w:rsidR="00502032"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5A9AD12D" w:rsidR="00502032" w:rsidRPr="003439B6" w:rsidRDefault="00502032" w:rsidP="0050203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0F481002" w:rsidR="00502032" w:rsidRPr="003439B6" w:rsidRDefault="00502032" w:rsidP="00502032">
            <w:pPr>
              <w:snapToGrid w:val="0"/>
              <w:rPr>
                <w:rFonts w:eastAsia="Malgun Gothic"/>
                <w:sz w:val="18"/>
                <w:szCs w:val="18"/>
              </w:rPr>
            </w:pP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t>Alternatives:</w:t>
            </w:r>
          </w:p>
          <w:p w14:paraId="017767E7" w14:textId="77777777" w:rsidR="002929FD" w:rsidRDefault="002929FD" w:rsidP="00E03338">
            <w:pPr>
              <w:pStyle w:val="ListParagraph"/>
              <w:numPr>
                <w:ilvl w:val="0"/>
                <w:numId w:val="10"/>
              </w:numPr>
              <w:snapToGrid w:val="0"/>
              <w:spacing w:after="0" w:line="240" w:lineRule="auto"/>
              <w:ind w:left="342" w:hanging="342"/>
              <w:rPr>
                <w:sz w:val="18"/>
                <w:szCs w:val="20"/>
              </w:rPr>
            </w:pPr>
            <w:r w:rsidRPr="002929FD">
              <w:rPr>
                <w:sz w:val="18"/>
                <w:szCs w:val="20"/>
              </w:rPr>
              <w:t>Newly defined panel ID(s): Lenovo/MoM (study), LGE, Xiaomi, NTT Docomo, Qualcomm, Spreadtrum, ZTE, Huawei/</w:t>
            </w:r>
            <w:proofErr w:type="spellStart"/>
            <w:r w:rsidRPr="002929FD">
              <w:rPr>
                <w:sz w:val="18"/>
                <w:szCs w:val="20"/>
              </w:rPr>
              <w:t>HiSi</w:t>
            </w:r>
            <w:proofErr w:type="spellEnd"/>
            <w:r w:rsidRPr="002929FD">
              <w:rPr>
                <w:sz w:val="18"/>
                <w:szCs w:val="20"/>
              </w:rPr>
              <w:t xml:space="preserve">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ListParagraph"/>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w:t>
            </w:r>
            <w:proofErr w:type="spellStart"/>
            <w:r>
              <w:rPr>
                <w:sz w:val="18"/>
                <w:szCs w:val="20"/>
              </w:rPr>
              <w:t>HiSi</w:t>
            </w:r>
            <w:proofErr w:type="spellEnd"/>
            <w:r>
              <w:rPr>
                <w:sz w:val="18"/>
                <w:szCs w:val="20"/>
              </w:rPr>
              <w:t>, APT</w:t>
            </w:r>
          </w:p>
          <w:p w14:paraId="7F1A9DEE" w14:textId="7F0573BF" w:rsidR="002929FD" w:rsidRPr="00172139" w:rsidRDefault="002929FD" w:rsidP="00E03338">
            <w:pPr>
              <w:pStyle w:val="ListParagraph"/>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TableGrid"/>
        <w:tblW w:w="0" w:type="auto"/>
        <w:tblLook w:val="04A0" w:firstRow="1" w:lastRow="0" w:firstColumn="1" w:lastColumn="0" w:noHBand="0" w:noVBand="1"/>
      </w:tblPr>
      <w:tblGrid>
        <w:gridCol w:w="9926"/>
      </w:tblGrid>
      <w:tr w:rsidR="00F26F0A" w:rsidRPr="00F26F0A" w14:paraId="71DA4170" w14:textId="77777777" w:rsidTr="00C14891">
        <w:tc>
          <w:tcPr>
            <w:tcW w:w="9926" w:type="dxa"/>
          </w:tcPr>
          <w:p w14:paraId="4EA42FA4" w14:textId="77777777" w:rsidR="00F26F0A" w:rsidRPr="00F26F0A" w:rsidRDefault="00F26F0A" w:rsidP="00C14891">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ListParagraph"/>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ListParagraph"/>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ListParagraph"/>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ListParagraph"/>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ListParagraph"/>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ListParagraph"/>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Interested companies are encouraged to provide their inputs on the following alternatives:</w:t>
            </w:r>
          </w:p>
          <w:p w14:paraId="536E2BEC" w14:textId="547EBE7D" w:rsidR="0079640C" w:rsidRPr="0079640C" w:rsidRDefault="0079640C" w:rsidP="00E03338">
            <w:pPr>
              <w:pStyle w:val="ListParagraph"/>
              <w:numPr>
                <w:ilvl w:val="0"/>
                <w:numId w:val="25"/>
              </w:numPr>
              <w:snapToGrid w:val="0"/>
              <w:spacing w:after="0" w:line="240" w:lineRule="auto"/>
              <w:jc w:val="both"/>
              <w:rPr>
                <w:color w:val="3333FF"/>
                <w:sz w:val="20"/>
                <w:szCs w:val="20"/>
              </w:rPr>
            </w:pPr>
            <w:r w:rsidRPr="0079640C">
              <w:rPr>
                <w:color w:val="3333FF"/>
                <w:sz w:val="20"/>
                <w:szCs w:val="20"/>
              </w:rPr>
              <w:t>Alt1. A panel entity corresponds to a group of antenna ports</w:t>
            </w:r>
          </w:p>
          <w:p w14:paraId="0BA392CD" w14:textId="4FFC7F26" w:rsidR="0079640C" w:rsidRPr="0079640C" w:rsidRDefault="0079640C" w:rsidP="00E03338">
            <w:pPr>
              <w:pStyle w:val="ListParagraph"/>
              <w:numPr>
                <w:ilvl w:val="0"/>
                <w:numId w:val="10"/>
              </w:numPr>
              <w:snapToGrid w:val="0"/>
              <w:spacing w:after="0" w:line="240" w:lineRule="auto"/>
              <w:rPr>
                <w:color w:val="3333FF"/>
                <w:sz w:val="20"/>
                <w:szCs w:val="20"/>
              </w:rPr>
            </w:pPr>
            <w:r w:rsidRPr="0079640C">
              <w:rPr>
                <w:color w:val="3333FF"/>
                <w:sz w:val="20"/>
                <w:szCs w:val="20"/>
              </w:rPr>
              <w:t xml:space="preserve">Alt2. A panel entity corresponds to a group RS resources </w:t>
            </w:r>
          </w:p>
          <w:p w14:paraId="3BAB9B7B" w14:textId="77777777"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AF7F89" w14:paraId="75792F84" w14:textId="77777777" w:rsidTr="00AF7F89">
        <w:tc>
          <w:tcPr>
            <w:tcW w:w="9926" w:type="dxa"/>
          </w:tcPr>
          <w:p w14:paraId="48468306" w14:textId="0B20971E" w:rsidR="00A60FAD" w:rsidRDefault="00A40879">
            <w:pPr>
              <w:snapToGrid w:val="0"/>
              <w:jc w:val="both"/>
              <w:rPr>
                <w:rFonts w:eastAsia="Batang" w:cs="Times New Roman"/>
                <w:sz w:val="20"/>
                <w:szCs w:val="20"/>
                <w:lang w:val="en-GB" w:eastAsia="en-US"/>
              </w:rPr>
            </w:pPr>
            <w:r w:rsidRPr="00E46B14">
              <w:rPr>
                <w:b/>
                <w:sz w:val="20"/>
                <w:u w:val="single"/>
              </w:rPr>
              <w:t>Proposal 4.1</w:t>
            </w:r>
            <w:r>
              <w:rPr>
                <w:sz w:val="20"/>
              </w:rPr>
              <w:t>:</w:t>
            </w:r>
            <w:r w:rsidR="007645EF">
              <w:rPr>
                <w:sz w:val="20"/>
              </w:rPr>
              <w:t xml:space="preserve"> </w:t>
            </w:r>
            <w:r w:rsidR="000A0E4A" w:rsidRPr="00217372">
              <w:rPr>
                <w:rFonts w:eastAsia="Batang"/>
                <w:sz w:val="20"/>
                <w:szCs w:val="20"/>
                <w:lang w:val="en-GB" w:eastAsia="en-US"/>
              </w:rPr>
              <w:t xml:space="preserve">On Rel.17 enhancement for facilitating fast uplink panel </w:t>
            </w:r>
            <w:r w:rsidR="000A0E4A" w:rsidRPr="001F5F81">
              <w:rPr>
                <w:rFonts w:eastAsia="Batang" w:cs="Times New Roman"/>
                <w:sz w:val="20"/>
                <w:szCs w:val="20"/>
                <w:lang w:val="en-GB" w:eastAsia="en-US"/>
              </w:rPr>
              <w:t>selection</w:t>
            </w:r>
            <w:r w:rsidR="000A0E4A">
              <w:rPr>
                <w:rFonts w:eastAsia="Batang" w:cs="Times New Roman"/>
                <w:sz w:val="20"/>
                <w:szCs w:val="20"/>
                <w:lang w:val="en-GB" w:eastAsia="en-US"/>
              </w:rPr>
              <w:t xml:space="preserve">, </w:t>
            </w:r>
          </w:p>
          <w:p w14:paraId="4057703A" w14:textId="21E37669" w:rsidR="00E46B14" w:rsidRPr="00DF1D50" w:rsidRDefault="00F26F0A" w:rsidP="00E03338">
            <w:pPr>
              <w:pStyle w:val="ListParagraph"/>
              <w:numPr>
                <w:ilvl w:val="0"/>
                <w:numId w:val="12"/>
              </w:numPr>
              <w:snapToGrid w:val="0"/>
              <w:spacing w:after="0" w:line="240" w:lineRule="auto"/>
              <w:rPr>
                <w:sz w:val="20"/>
              </w:rPr>
            </w:pPr>
            <w:r>
              <w:rPr>
                <w:rFonts w:eastAsia="Batang"/>
                <w:sz w:val="20"/>
                <w:szCs w:val="20"/>
                <w:lang w:val="en-GB"/>
              </w:rPr>
              <w:t>…</w:t>
            </w: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SimSun"/>
                <w:sz w:val="18"/>
                <w:szCs w:val="18"/>
                <w:lang w:eastAsia="zh-CN"/>
              </w:rPr>
            </w:pPr>
            <w:r>
              <w:rPr>
                <w:rFonts w:eastAsia="SimSun"/>
                <w:sz w:val="18"/>
                <w:szCs w:val="18"/>
                <w:lang w:eastAsia="zh-CN"/>
              </w:rPr>
              <w:t>Please provide answers to the question</w:t>
            </w:r>
          </w:p>
        </w:tc>
      </w:tr>
      <w:tr w:rsidR="00502032"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2E22B02" w:rsidR="00502032" w:rsidRDefault="00502032" w:rsidP="00502032">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0998B04A" w:rsidR="00502032" w:rsidRDefault="00502032" w:rsidP="00502032">
            <w:pPr>
              <w:snapToGrid w:val="0"/>
              <w:rPr>
                <w:sz w:val="18"/>
                <w:lang w:eastAsia="zh-CN"/>
              </w:rPr>
            </w:pPr>
            <w:r>
              <w:rPr>
                <w:sz w:val="18"/>
                <w:lang w:eastAsia="zh-CN"/>
              </w:rPr>
              <w:t>Support Alt1</w:t>
            </w:r>
          </w:p>
        </w:tc>
      </w:tr>
      <w:tr w:rsidR="00502032"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68FA236D" w:rsidR="00502032" w:rsidRDefault="00502032" w:rsidP="00502032">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70543174" w:rsidR="00502032" w:rsidRDefault="00502032" w:rsidP="00502032">
            <w:pPr>
              <w:snapToGrid w:val="0"/>
              <w:rPr>
                <w:sz w:val="18"/>
                <w:lang w:eastAsia="zh-CN"/>
              </w:rPr>
            </w:pPr>
          </w:p>
        </w:tc>
      </w:tr>
      <w:tr w:rsidR="00502032"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0423EC5B" w:rsidR="00502032" w:rsidRDefault="00502032" w:rsidP="00502032">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5F2E0934" w:rsidR="00502032" w:rsidRDefault="00502032" w:rsidP="00502032">
            <w:pPr>
              <w:snapToGrid w:val="0"/>
              <w:rPr>
                <w:sz w:val="18"/>
                <w:lang w:eastAsia="zh-CN"/>
              </w:rPr>
            </w:pPr>
          </w:p>
        </w:tc>
      </w:tr>
      <w:tr w:rsidR="00502032"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36BB99DF" w:rsidR="00502032" w:rsidRPr="00550DBA" w:rsidRDefault="00502032" w:rsidP="00502032">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A7221" w14:textId="712F1814" w:rsidR="00502032" w:rsidRDefault="00502032" w:rsidP="00502032">
            <w:pPr>
              <w:snapToGrid w:val="0"/>
              <w:rPr>
                <w:sz w:val="18"/>
                <w:lang w:eastAsia="zh-CN"/>
              </w:rPr>
            </w:pPr>
          </w:p>
        </w:tc>
      </w:tr>
      <w:tr w:rsidR="00502032"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798DCF47" w:rsidR="00502032" w:rsidRDefault="00502032" w:rsidP="00502032">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38B32" w14:textId="560ADB59" w:rsidR="00502032" w:rsidRDefault="00502032" w:rsidP="00502032">
            <w:pPr>
              <w:snapToGrid w:val="0"/>
              <w:rPr>
                <w:sz w:val="18"/>
                <w:lang w:eastAsia="zh-CN"/>
              </w:rPr>
            </w:pPr>
          </w:p>
        </w:tc>
      </w:tr>
      <w:tr w:rsidR="00502032"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7FD35FD7" w:rsidR="00502032" w:rsidRDefault="00502032" w:rsidP="00502032">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9AA92EC" w:rsidR="00502032" w:rsidRDefault="00502032" w:rsidP="00502032">
            <w:pPr>
              <w:snapToGrid w:val="0"/>
              <w:rPr>
                <w:rFonts w:eastAsia="Malgun Gothic"/>
                <w:sz w:val="18"/>
                <w:szCs w:val="18"/>
              </w:rPr>
            </w:pPr>
          </w:p>
        </w:tc>
      </w:tr>
      <w:tr w:rsidR="00502032"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7CE8AC44" w:rsidR="00502032" w:rsidRDefault="00502032" w:rsidP="00502032">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6B10C1D3" w:rsidR="00502032" w:rsidRDefault="00502032" w:rsidP="00502032">
            <w:pPr>
              <w:snapToGrid w:val="0"/>
              <w:rPr>
                <w:rFonts w:eastAsia="Malgun Gothic"/>
                <w:sz w:val="18"/>
                <w:szCs w:val="18"/>
              </w:rPr>
            </w:pPr>
          </w:p>
        </w:tc>
      </w:tr>
      <w:tr w:rsidR="00502032"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3DAE86D5" w:rsidR="00502032" w:rsidRDefault="00502032" w:rsidP="00502032">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73451E76" w:rsidR="00502032" w:rsidRPr="00282BAD" w:rsidRDefault="00502032" w:rsidP="00502032">
            <w:pPr>
              <w:snapToGrid w:val="0"/>
              <w:rPr>
                <w:sz w:val="18"/>
                <w:szCs w:val="18"/>
                <w:lang w:eastAsia="zh-CN"/>
              </w:rPr>
            </w:pP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Opt 2 or Opt3 </w:t>
            </w:r>
            <w:r w:rsidRPr="00702AAC">
              <w:rPr>
                <w:rFonts w:cs="Times New Roman"/>
                <w:color w:val="FF0000"/>
                <w:sz w:val="18"/>
                <w:szCs w:val="18"/>
              </w:rPr>
              <w:t>or Opt4</w:t>
            </w:r>
          </w:p>
          <w:p w14:paraId="162BCF0B" w14:textId="698C02BF"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How panel-level L1-RSRP [L1-SINR] is calculated if L1-RSRP [L1-SINR] is associated with panel</w:t>
            </w:r>
          </w:p>
          <w:p w14:paraId="6A2AA82A"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FFS: Whether/how to include MPE effect in L1-RSRP [L1-SINR], e.g. by using scaled or modified L1-RSRP [L1-SINR]</w:t>
            </w:r>
          </w:p>
          <w:p w14:paraId="01824FCB"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ListParagraph"/>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w:t>
            </w:r>
            <w:r w:rsidRPr="00702AAC">
              <w:rPr>
                <w:rFonts w:cs="Times New Roman"/>
                <w:sz w:val="18"/>
                <w:szCs w:val="22"/>
                <w:lang w:eastAsia="zh-CN"/>
              </w:rPr>
              <w:t>n</w:t>
            </w:r>
            <w:r w:rsidRPr="00702AAC">
              <w:rPr>
                <w:rFonts w:cs="Times New Roman"/>
                <w:sz w:val="18"/>
                <w:szCs w:val="22"/>
                <w:lang w:eastAsia="zh-CN"/>
              </w:rPr>
              <w:t>dication (if configured)</w:t>
            </w:r>
          </w:p>
          <w:p w14:paraId="03448BBE"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include MPE effect in L1-RSRP [L1-SINR], e.g. by using scaled or modified L1-RSRP [L1-SINR]</w:t>
            </w:r>
          </w:p>
          <w:p w14:paraId="74A5CF56"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27FCF3E"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decide in RAN1#104bis-e whether the following should be further studied (not necessarily, but can be, in one reporting instance):</w:t>
            </w:r>
          </w:p>
          <w:p w14:paraId="137647F8"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or Opt1C:</w:t>
            </w:r>
          </w:p>
          <w:p w14:paraId="3BB3A7E5"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17CBF87E"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1C: No additional reporting quantity</w:t>
            </w:r>
          </w:p>
          <w:p w14:paraId="0708C4A1"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2A: L1-RSRP [L1-SINR] associated with each of the reported SSBRI(s)/CRI(s) and/or panel indication (if configured)</w:t>
            </w:r>
          </w:p>
          <w:p w14:paraId="2C1DE203"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 xml:space="preserve">FFS: How panel-level L1-RSRP [L1-SINR] is calculated if L1-RSRP [L1-SINR] is associated </w:t>
            </w:r>
            <w:r w:rsidRPr="00702AAC">
              <w:rPr>
                <w:rFonts w:cs="Times New Roman"/>
                <w:sz w:val="20"/>
                <w:szCs w:val="20"/>
                <w:lang w:eastAsia="zh-CN"/>
              </w:rPr>
              <w:lastRenderedPageBreak/>
              <w:t>with panel</w:t>
            </w:r>
          </w:p>
          <w:p w14:paraId="11745D31"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Whether/how to include MPE effect in L1-RSRP [L1-SINR], e.g. by using scaled or modified L1-RSRP [L1-SINR]</w:t>
            </w:r>
          </w:p>
          <w:p w14:paraId="3827DAF2"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Whether/how to enhance existing beam reporting format to support Option 1</w:t>
            </w:r>
          </w:p>
          <w:p w14:paraId="6C074DF4"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ListParagraph"/>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Caption"/>
        <w:jc w:val="center"/>
      </w:pPr>
      <w:r>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DengXian"/>
                <w:sz w:val="18"/>
                <w:szCs w:val="18"/>
                <w:lang w:eastAsia="zh-CN"/>
              </w:rPr>
            </w:pPr>
            <w:r>
              <w:rPr>
                <w:rFonts w:eastAsia="DengXian"/>
                <w:sz w:val="18"/>
                <w:szCs w:val="18"/>
                <w:lang w:eastAsia="zh-CN"/>
              </w:rPr>
              <w:t>5.1: Using the latest Intel’s version</w:t>
            </w:r>
          </w:p>
        </w:tc>
      </w:tr>
      <w:tr w:rsidR="00502032"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3E290D76" w:rsidR="00502032" w:rsidRDefault="00502032" w:rsidP="00502032">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47F63891" w:rsidR="00502032" w:rsidRPr="00CF7BB4" w:rsidRDefault="00502032" w:rsidP="00502032">
            <w:pPr>
              <w:snapToGrid w:val="0"/>
              <w:rPr>
                <w:rFonts w:eastAsia="DengXian"/>
                <w:sz w:val="18"/>
                <w:szCs w:val="18"/>
                <w:lang w:eastAsia="zh-CN"/>
              </w:rPr>
            </w:pPr>
            <w:r>
              <w:rPr>
                <w:rFonts w:eastAsia="DengXian"/>
                <w:sz w:val="18"/>
                <w:szCs w:val="18"/>
                <w:lang w:eastAsia="zh-CN"/>
              </w:rPr>
              <w:t>Support 5.1 with the latest Intel’s version</w:t>
            </w:r>
          </w:p>
        </w:tc>
      </w:tr>
      <w:tr w:rsidR="00502032"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40EA262C" w:rsidR="00502032" w:rsidRDefault="00502032" w:rsidP="0050203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B6CB" w14:textId="3C0903F8" w:rsidR="00502032" w:rsidRPr="00557967" w:rsidRDefault="00502032" w:rsidP="00502032">
            <w:pPr>
              <w:snapToGrid w:val="0"/>
              <w:rPr>
                <w:sz w:val="18"/>
                <w:szCs w:val="20"/>
              </w:rPr>
            </w:pPr>
          </w:p>
        </w:tc>
      </w:tr>
      <w:tr w:rsidR="00502032"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04193121" w:rsidR="00502032" w:rsidRDefault="00502032" w:rsidP="0050203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71C74118" w:rsidR="00502032" w:rsidRPr="00E6154C" w:rsidRDefault="00502032" w:rsidP="00502032">
            <w:pPr>
              <w:snapToGrid w:val="0"/>
              <w:rPr>
                <w:rFonts w:eastAsia="DengXian"/>
                <w:sz w:val="18"/>
                <w:szCs w:val="18"/>
                <w:lang w:eastAsia="zh-CN"/>
              </w:rPr>
            </w:pPr>
          </w:p>
        </w:tc>
      </w:tr>
      <w:tr w:rsidR="00502032"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6FEB8609" w:rsidR="00502032" w:rsidRPr="00CB7106" w:rsidRDefault="00502032" w:rsidP="00502032">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8D4A8" w14:textId="557E78C2" w:rsidR="00502032" w:rsidRPr="00CB7106" w:rsidRDefault="00502032" w:rsidP="00502032">
            <w:pPr>
              <w:snapToGrid w:val="0"/>
              <w:rPr>
                <w:rFonts w:eastAsia="Malgun Gothic"/>
                <w:sz w:val="18"/>
                <w:szCs w:val="18"/>
              </w:rPr>
            </w:pPr>
          </w:p>
        </w:tc>
      </w:tr>
      <w:tr w:rsidR="00502032"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4C31C108" w:rsidR="00502032" w:rsidRDefault="00502032" w:rsidP="0050203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39820620" w:rsidR="00502032" w:rsidRDefault="00502032" w:rsidP="00502032">
            <w:pPr>
              <w:snapToGrid w:val="0"/>
              <w:rPr>
                <w:rFonts w:eastAsia="DengXian"/>
                <w:sz w:val="18"/>
                <w:szCs w:val="18"/>
                <w:lang w:eastAsia="zh-CN"/>
              </w:rPr>
            </w:pPr>
          </w:p>
        </w:tc>
      </w:tr>
      <w:tr w:rsidR="00502032"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1331AF35" w:rsidR="00502032" w:rsidRDefault="00502032" w:rsidP="0050203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84B9A" w14:textId="2BC72DB8" w:rsidR="00502032" w:rsidRDefault="00502032" w:rsidP="00502032">
            <w:pPr>
              <w:snapToGrid w:val="0"/>
              <w:rPr>
                <w:rFonts w:eastAsia="DengXian"/>
                <w:sz w:val="18"/>
                <w:szCs w:val="18"/>
                <w:lang w:eastAsia="zh-CN"/>
              </w:rPr>
            </w:pP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ListParagraph"/>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ListParagraph"/>
              <w:numPr>
                <w:ilvl w:val="0"/>
                <w:numId w:val="11"/>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E03338">
            <w:pPr>
              <w:pStyle w:val="ListParagraph"/>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w:t>
            </w:r>
            <w:r w:rsidRPr="009F3BD1">
              <w:rPr>
                <w:sz w:val="20"/>
                <w:szCs w:val="20"/>
              </w:rPr>
              <w:t>e</w:t>
            </w:r>
            <w:r w:rsidRPr="009F3BD1">
              <w:rPr>
                <w:sz w:val="20"/>
                <w:szCs w:val="20"/>
              </w:rPr>
              <w:t>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w:t>
            </w:r>
            <w:proofErr w:type="spellStart"/>
            <w:r w:rsidRPr="009F3BD1">
              <w:rPr>
                <w:sz w:val="20"/>
                <w:szCs w:val="20"/>
              </w:rPr>
              <w:t>HiSi</w:t>
            </w:r>
            <w:proofErr w:type="spellEnd"/>
          </w:p>
          <w:p w14:paraId="346096B6" w14:textId="05481B76"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r w:rsidR="00726AF9">
              <w:rPr>
                <w:sz w:val="20"/>
                <w:szCs w:val="20"/>
              </w:rPr>
              <w:t>, KDDI</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DF083" w14:textId="77777777" w:rsidR="00FA791A" w:rsidRDefault="00FA791A">
      <w:r>
        <w:separator/>
      </w:r>
    </w:p>
  </w:endnote>
  <w:endnote w:type="continuationSeparator" w:id="0">
    <w:p w14:paraId="27F85F42" w14:textId="77777777" w:rsidR="00FA791A" w:rsidRDefault="00FA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t">
    <w:altName w:val="Segoe Print"/>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等线 Light">
    <w:altName w:val="SimSun"/>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D2824" w14:textId="77777777" w:rsidR="00FA791A" w:rsidRDefault="00FA791A">
      <w:r>
        <w:rPr>
          <w:color w:val="000000"/>
        </w:rPr>
        <w:separator/>
      </w:r>
    </w:p>
  </w:footnote>
  <w:footnote w:type="continuationSeparator" w:id="0">
    <w:p w14:paraId="1EC07AAB" w14:textId="77777777" w:rsidR="00FA791A" w:rsidRDefault="00FA7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0"/>
  </w:num>
  <w:num w:numId="2">
    <w:abstractNumId w:val="3"/>
  </w:num>
  <w:num w:numId="3">
    <w:abstractNumId w:val="2"/>
  </w:num>
  <w:num w:numId="4">
    <w:abstractNumId w:val="10"/>
  </w:num>
  <w:num w:numId="5">
    <w:abstractNumId w:val="13"/>
  </w:num>
  <w:num w:numId="6">
    <w:abstractNumId w:val="24"/>
  </w:num>
  <w:num w:numId="7">
    <w:abstractNumId w:val="12"/>
  </w:num>
  <w:num w:numId="8">
    <w:abstractNumId w:val="9"/>
  </w:num>
  <w:num w:numId="9">
    <w:abstractNumId w:val="7"/>
  </w:num>
  <w:num w:numId="10">
    <w:abstractNumId w:val="5"/>
  </w:num>
  <w:num w:numId="11">
    <w:abstractNumId w:val="21"/>
  </w:num>
  <w:num w:numId="12">
    <w:abstractNumId w:val="23"/>
  </w:num>
  <w:num w:numId="13">
    <w:abstractNumId w:val="16"/>
  </w:num>
  <w:num w:numId="14">
    <w:abstractNumId w:val="18"/>
  </w:num>
  <w:num w:numId="15">
    <w:abstractNumId w:val="22"/>
  </w:num>
  <w:num w:numId="16">
    <w:abstractNumId w:val="17"/>
  </w:num>
  <w:num w:numId="17">
    <w:abstractNumId w:val="6"/>
  </w:num>
  <w:num w:numId="18">
    <w:abstractNumId w:val="15"/>
  </w:num>
  <w:num w:numId="19">
    <w:abstractNumId w:val="1"/>
  </w:num>
  <w:num w:numId="20">
    <w:abstractNumId w:val="14"/>
  </w:num>
  <w:num w:numId="21">
    <w:abstractNumId w:val="0"/>
  </w:num>
  <w:num w:numId="22">
    <w:abstractNumId w:val="19"/>
  </w:num>
  <w:num w:numId="23">
    <w:abstractNumId w:val="8"/>
  </w:num>
  <w:num w:numId="24">
    <w:abstractNumId w:val="11"/>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B1"/>
    <w:rsid w:val="00005512"/>
    <w:rsid w:val="000125CF"/>
    <w:rsid w:val="00014D3D"/>
    <w:rsid w:val="00017340"/>
    <w:rsid w:val="0002060F"/>
    <w:rsid w:val="00020BB3"/>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7439C"/>
    <w:rsid w:val="00075A5C"/>
    <w:rsid w:val="00081003"/>
    <w:rsid w:val="00082F19"/>
    <w:rsid w:val="000836C1"/>
    <w:rsid w:val="00087128"/>
    <w:rsid w:val="00087EA6"/>
    <w:rsid w:val="00090923"/>
    <w:rsid w:val="00090EAD"/>
    <w:rsid w:val="0009241B"/>
    <w:rsid w:val="0009392F"/>
    <w:rsid w:val="00096964"/>
    <w:rsid w:val="00096B0F"/>
    <w:rsid w:val="000A0E4A"/>
    <w:rsid w:val="000A25A6"/>
    <w:rsid w:val="000A2B79"/>
    <w:rsid w:val="000A417E"/>
    <w:rsid w:val="000A4E20"/>
    <w:rsid w:val="000B23DE"/>
    <w:rsid w:val="000B313F"/>
    <w:rsid w:val="000C10A5"/>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78BC"/>
    <w:rsid w:val="00147EFE"/>
    <w:rsid w:val="00152B5E"/>
    <w:rsid w:val="00156C1D"/>
    <w:rsid w:val="001578B1"/>
    <w:rsid w:val="00164CA4"/>
    <w:rsid w:val="001676AF"/>
    <w:rsid w:val="00167BE5"/>
    <w:rsid w:val="00171BB1"/>
    <w:rsid w:val="00172139"/>
    <w:rsid w:val="00173534"/>
    <w:rsid w:val="001834C0"/>
    <w:rsid w:val="00186909"/>
    <w:rsid w:val="00186ED6"/>
    <w:rsid w:val="00192458"/>
    <w:rsid w:val="001B20A8"/>
    <w:rsid w:val="001B4250"/>
    <w:rsid w:val="001B5971"/>
    <w:rsid w:val="001C1BE3"/>
    <w:rsid w:val="001C26B0"/>
    <w:rsid w:val="001C4672"/>
    <w:rsid w:val="001C4CEB"/>
    <w:rsid w:val="001D06FE"/>
    <w:rsid w:val="001D23D6"/>
    <w:rsid w:val="001D5494"/>
    <w:rsid w:val="001D69D0"/>
    <w:rsid w:val="001D6EE0"/>
    <w:rsid w:val="001E4BCF"/>
    <w:rsid w:val="001E4CB8"/>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11D8"/>
    <w:rsid w:val="002332AA"/>
    <w:rsid w:val="00235601"/>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656D"/>
    <w:rsid w:val="0028009A"/>
    <w:rsid w:val="00282C13"/>
    <w:rsid w:val="002834BD"/>
    <w:rsid w:val="00284688"/>
    <w:rsid w:val="002861EA"/>
    <w:rsid w:val="00290F7F"/>
    <w:rsid w:val="00291090"/>
    <w:rsid w:val="00291885"/>
    <w:rsid w:val="002929FD"/>
    <w:rsid w:val="00293503"/>
    <w:rsid w:val="00293EFF"/>
    <w:rsid w:val="00294361"/>
    <w:rsid w:val="00295D64"/>
    <w:rsid w:val="00297CCC"/>
    <w:rsid w:val="002A1F70"/>
    <w:rsid w:val="002A48AB"/>
    <w:rsid w:val="002A551E"/>
    <w:rsid w:val="002A604D"/>
    <w:rsid w:val="002A7EE0"/>
    <w:rsid w:val="002B1AE8"/>
    <w:rsid w:val="002B6EED"/>
    <w:rsid w:val="002B715E"/>
    <w:rsid w:val="002C20C3"/>
    <w:rsid w:val="002C2DDB"/>
    <w:rsid w:val="002C6A9D"/>
    <w:rsid w:val="002D1E25"/>
    <w:rsid w:val="002D1E41"/>
    <w:rsid w:val="002D229D"/>
    <w:rsid w:val="002D23B5"/>
    <w:rsid w:val="002D6662"/>
    <w:rsid w:val="002D7B09"/>
    <w:rsid w:val="002E7CC4"/>
    <w:rsid w:val="002F06CD"/>
    <w:rsid w:val="002F49D3"/>
    <w:rsid w:val="002F7F02"/>
    <w:rsid w:val="00302381"/>
    <w:rsid w:val="00303B09"/>
    <w:rsid w:val="003041F5"/>
    <w:rsid w:val="00310C15"/>
    <w:rsid w:val="00312D1D"/>
    <w:rsid w:val="00314031"/>
    <w:rsid w:val="00315601"/>
    <w:rsid w:val="00315797"/>
    <w:rsid w:val="00316B60"/>
    <w:rsid w:val="00317071"/>
    <w:rsid w:val="003200B1"/>
    <w:rsid w:val="003212C8"/>
    <w:rsid w:val="00322659"/>
    <w:rsid w:val="00322EF3"/>
    <w:rsid w:val="003263E6"/>
    <w:rsid w:val="00331615"/>
    <w:rsid w:val="0033226A"/>
    <w:rsid w:val="00335C1E"/>
    <w:rsid w:val="00335E89"/>
    <w:rsid w:val="00336F15"/>
    <w:rsid w:val="003373EF"/>
    <w:rsid w:val="003439B6"/>
    <w:rsid w:val="00344E6A"/>
    <w:rsid w:val="003468BD"/>
    <w:rsid w:val="00350E53"/>
    <w:rsid w:val="00355FD6"/>
    <w:rsid w:val="0036007E"/>
    <w:rsid w:val="00361874"/>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31C4"/>
    <w:rsid w:val="003B6604"/>
    <w:rsid w:val="003C1F1B"/>
    <w:rsid w:val="003C2C92"/>
    <w:rsid w:val="003C35E2"/>
    <w:rsid w:val="003C5F77"/>
    <w:rsid w:val="003D00D4"/>
    <w:rsid w:val="003D6014"/>
    <w:rsid w:val="003D7AE3"/>
    <w:rsid w:val="003D7FD7"/>
    <w:rsid w:val="003E0A66"/>
    <w:rsid w:val="003E5155"/>
    <w:rsid w:val="003E68E2"/>
    <w:rsid w:val="003E6CE4"/>
    <w:rsid w:val="003F1AC1"/>
    <w:rsid w:val="003F239D"/>
    <w:rsid w:val="003F29E9"/>
    <w:rsid w:val="003F60BC"/>
    <w:rsid w:val="003F6696"/>
    <w:rsid w:val="004004E7"/>
    <w:rsid w:val="0040130C"/>
    <w:rsid w:val="0040416C"/>
    <w:rsid w:val="004057DC"/>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E28"/>
    <w:rsid w:val="00452564"/>
    <w:rsid w:val="00452F74"/>
    <w:rsid w:val="00454B77"/>
    <w:rsid w:val="0046047F"/>
    <w:rsid w:val="00461429"/>
    <w:rsid w:val="00461E13"/>
    <w:rsid w:val="00465C87"/>
    <w:rsid w:val="00471A58"/>
    <w:rsid w:val="00475017"/>
    <w:rsid w:val="00480CE6"/>
    <w:rsid w:val="00480D01"/>
    <w:rsid w:val="004828D7"/>
    <w:rsid w:val="004858AC"/>
    <w:rsid w:val="004864DC"/>
    <w:rsid w:val="00494843"/>
    <w:rsid w:val="004964D1"/>
    <w:rsid w:val="004A182E"/>
    <w:rsid w:val="004A2713"/>
    <w:rsid w:val="004A2A54"/>
    <w:rsid w:val="004B01EB"/>
    <w:rsid w:val="004B054E"/>
    <w:rsid w:val="004B0F99"/>
    <w:rsid w:val="004B1BD9"/>
    <w:rsid w:val="004B5F0D"/>
    <w:rsid w:val="004C114C"/>
    <w:rsid w:val="004C1647"/>
    <w:rsid w:val="004C1E89"/>
    <w:rsid w:val="004C2715"/>
    <w:rsid w:val="004C37CC"/>
    <w:rsid w:val="004C3DFB"/>
    <w:rsid w:val="004C4C21"/>
    <w:rsid w:val="004C4E6B"/>
    <w:rsid w:val="004D0467"/>
    <w:rsid w:val="004D1567"/>
    <w:rsid w:val="004D3285"/>
    <w:rsid w:val="004D32B8"/>
    <w:rsid w:val="004D4407"/>
    <w:rsid w:val="004D4BC8"/>
    <w:rsid w:val="004D6046"/>
    <w:rsid w:val="004D77BD"/>
    <w:rsid w:val="004E5607"/>
    <w:rsid w:val="004E7E22"/>
    <w:rsid w:val="004F1469"/>
    <w:rsid w:val="004F1EAB"/>
    <w:rsid w:val="004F7F96"/>
    <w:rsid w:val="00500590"/>
    <w:rsid w:val="00500644"/>
    <w:rsid w:val="00500C46"/>
    <w:rsid w:val="00502032"/>
    <w:rsid w:val="00502959"/>
    <w:rsid w:val="00502AF0"/>
    <w:rsid w:val="0050378B"/>
    <w:rsid w:val="00503AA7"/>
    <w:rsid w:val="00507748"/>
    <w:rsid w:val="005105A4"/>
    <w:rsid w:val="00510E22"/>
    <w:rsid w:val="00516EBE"/>
    <w:rsid w:val="00517F51"/>
    <w:rsid w:val="0052253D"/>
    <w:rsid w:val="00524817"/>
    <w:rsid w:val="005255CB"/>
    <w:rsid w:val="00526D44"/>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51A"/>
    <w:rsid w:val="00575997"/>
    <w:rsid w:val="00575B90"/>
    <w:rsid w:val="005772BA"/>
    <w:rsid w:val="00581879"/>
    <w:rsid w:val="00584D8F"/>
    <w:rsid w:val="00585124"/>
    <w:rsid w:val="00585BEC"/>
    <w:rsid w:val="00590380"/>
    <w:rsid w:val="005915EF"/>
    <w:rsid w:val="00592792"/>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80"/>
    <w:rsid w:val="005C2968"/>
    <w:rsid w:val="005C4F62"/>
    <w:rsid w:val="005C6084"/>
    <w:rsid w:val="005D129D"/>
    <w:rsid w:val="005D12D6"/>
    <w:rsid w:val="005D76DF"/>
    <w:rsid w:val="005E00CC"/>
    <w:rsid w:val="005E1048"/>
    <w:rsid w:val="005E3F3E"/>
    <w:rsid w:val="005E7291"/>
    <w:rsid w:val="005F2E9C"/>
    <w:rsid w:val="005F4B00"/>
    <w:rsid w:val="005F60AC"/>
    <w:rsid w:val="00600D80"/>
    <w:rsid w:val="0060122D"/>
    <w:rsid w:val="00602A4E"/>
    <w:rsid w:val="006046B6"/>
    <w:rsid w:val="006050EE"/>
    <w:rsid w:val="00607331"/>
    <w:rsid w:val="00611EB1"/>
    <w:rsid w:val="00612164"/>
    <w:rsid w:val="00612469"/>
    <w:rsid w:val="00613050"/>
    <w:rsid w:val="0061394C"/>
    <w:rsid w:val="00616208"/>
    <w:rsid w:val="00617C48"/>
    <w:rsid w:val="006200BC"/>
    <w:rsid w:val="00621100"/>
    <w:rsid w:val="00622FD0"/>
    <w:rsid w:val="006236E8"/>
    <w:rsid w:val="0062407E"/>
    <w:rsid w:val="006246B3"/>
    <w:rsid w:val="00624C90"/>
    <w:rsid w:val="00624E87"/>
    <w:rsid w:val="00631EB1"/>
    <w:rsid w:val="00634507"/>
    <w:rsid w:val="0063605D"/>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58F9"/>
    <w:rsid w:val="00667000"/>
    <w:rsid w:val="00670BB2"/>
    <w:rsid w:val="00675D0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714"/>
    <w:rsid w:val="006A522F"/>
    <w:rsid w:val="006A54D1"/>
    <w:rsid w:val="006A57E3"/>
    <w:rsid w:val="006A5A38"/>
    <w:rsid w:val="006A633F"/>
    <w:rsid w:val="006B007E"/>
    <w:rsid w:val="006B54DF"/>
    <w:rsid w:val="006B5FB7"/>
    <w:rsid w:val="006B6DD6"/>
    <w:rsid w:val="006B722C"/>
    <w:rsid w:val="006C16D6"/>
    <w:rsid w:val="006C19E6"/>
    <w:rsid w:val="006C1F83"/>
    <w:rsid w:val="006C29C0"/>
    <w:rsid w:val="006C30E2"/>
    <w:rsid w:val="006C61CD"/>
    <w:rsid w:val="006D209C"/>
    <w:rsid w:val="006D4893"/>
    <w:rsid w:val="006D4D28"/>
    <w:rsid w:val="006D4E70"/>
    <w:rsid w:val="006E0D65"/>
    <w:rsid w:val="006E0F58"/>
    <w:rsid w:val="006E274F"/>
    <w:rsid w:val="006E695F"/>
    <w:rsid w:val="006E6D66"/>
    <w:rsid w:val="006F2576"/>
    <w:rsid w:val="006F32F1"/>
    <w:rsid w:val="006F4FE9"/>
    <w:rsid w:val="007009E1"/>
    <w:rsid w:val="007013E7"/>
    <w:rsid w:val="00702AAC"/>
    <w:rsid w:val="007059E3"/>
    <w:rsid w:val="00706521"/>
    <w:rsid w:val="0070670B"/>
    <w:rsid w:val="00710AF6"/>
    <w:rsid w:val="007112B3"/>
    <w:rsid w:val="00713A6A"/>
    <w:rsid w:val="00715CD8"/>
    <w:rsid w:val="007209F5"/>
    <w:rsid w:val="00721830"/>
    <w:rsid w:val="00723C8E"/>
    <w:rsid w:val="00726AF9"/>
    <w:rsid w:val="007305D9"/>
    <w:rsid w:val="00731BF6"/>
    <w:rsid w:val="00732EFD"/>
    <w:rsid w:val="0074179E"/>
    <w:rsid w:val="00743629"/>
    <w:rsid w:val="007444A3"/>
    <w:rsid w:val="00744AE0"/>
    <w:rsid w:val="007466ED"/>
    <w:rsid w:val="007472D1"/>
    <w:rsid w:val="00747615"/>
    <w:rsid w:val="007476B1"/>
    <w:rsid w:val="0075184B"/>
    <w:rsid w:val="007520D4"/>
    <w:rsid w:val="007529C7"/>
    <w:rsid w:val="007536A5"/>
    <w:rsid w:val="00755BCE"/>
    <w:rsid w:val="00755E1B"/>
    <w:rsid w:val="0075650B"/>
    <w:rsid w:val="00756AF4"/>
    <w:rsid w:val="007645EF"/>
    <w:rsid w:val="0077524A"/>
    <w:rsid w:val="00777861"/>
    <w:rsid w:val="00780201"/>
    <w:rsid w:val="00780EDA"/>
    <w:rsid w:val="00783535"/>
    <w:rsid w:val="0078378B"/>
    <w:rsid w:val="00783BB1"/>
    <w:rsid w:val="00787049"/>
    <w:rsid w:val="0079053F"/>
    <w:rsid w:val="007922D2"/>
    <w:rsid w:val="007922FC"/>
    <w:rsid w:val="007927C9"/>
    <w:rsid w:val="00793078"/>
    <w:rsid w:val="007944E5"/>
    <w:rsid w:val="0079640C"/>
    <w:rsid w:val="00796540"/>
    <w:rsid w:val="007A1662"/>
    <w:rsid w:val="007A1BB1"/>
    <w:rsid w:val="007A3274"/>
    <w:rsid w:val="007A67D7"/>
    <w:rsid w:val="007A7E04"/>
    <w:rsid w:val="007B0576"/>
    <w:rsid w:val="007B1046"/>
    <w:rsid w:val="007B253D"/>
    <w:rsid w:val="007B2B36"/>
    <w:rsid w:val="007B644B"/>
    <w:rsid w:val="007C2CAD"/>
    <w:rsid w:val="007C3466"/>
    <w:rsid w:val="007C6752"/>
    <w:rsid w:val="007D0472"/>
    <w:rsid w:val="007D0619"/>
    <w:rsid w:val="007D0FF4"/>
    <w:rsid w:val="007D2B35"/>
    <w:rsid w:val="007D4654"/>
    <w:rsid w:val="007D5FF9"/>
    <w:rsid w:val="007D661A"/>
    <w:rsid w:val="007E1B20"/>
    <w:rsid w:val="007E1BAF"/>
    <w:rsid w:val="007E2CBD"/>
    <w:rsid w:val="007E3225"/>
    <w:rsid w:val="007E3997"/>
    <w:rsid w:val="007E6F2E"/>
    <w:rsid w:val="007E7D3D"/>
    <w:rsid w:val="007F0953"/>
    <w:rsid w:val="007F3492"/>
    <w:rsid w:val="007F543B"/>
    <w:rsid w:val="007F6891"/>
    <w:rsid w:val="007F6F15"/>
    <w:rsid w:val="00800B4E"/>
    <w:rsid w:val="00806965"/>
    <w:rsid w:val="00807F22"/>
    <w:rsid w:val="008140E7"/>
    <w:rsid w:val="0081463A"/>
    <w:rsid w:val="00817A2A"/>
    <w:rsid w:val="0082406A"/>
    <w:rsid w:val="00824FE1"/>
    <w:rsid w:val="0083086F"/>
    <w:rsid w:val="008317A0"/>
    <w:rsid w:val="00833F4A"/>
    <w:rsid w:val="0083417A"/>
    <w:rsid w:val="008352EB"/>
    <w:rsid w:val="008365F8"/>
    <w:rsid w:val="00845F45"/>
    <w:rsid w:val="00852811"/>
    <w:rsid w:val="008532D0"/>
    <w:rsid w:val="00854515"/>
    <w:rsid w:val="008557AF"/>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1E4"/>
    <w:rsid w:val="00881582"/>
    <w:rsid w:val="00886F7D"/>
    <w:rsid w:val="00887A5E"/>
    <w:rsid w:val="008930FC"/>
    <w:rsid w:val="00894630"/>
    <w:rsid w:val="00895B9A"/>
    <w:rsid w:val="00895F9D"/>
    <w:rsid w:val="008972B3"/>
    <w:rsid w:val="008A019D"/>
    <w:rsid w:val="008A2BA6"/>
    <w:rsid w:val="008A52F4"/>
    <w:rsid w:val="008A587F"/>
    <w:rsid w:val="008B0186"/>
    <w:rsid w:val="008B2568"/>
    <w:rsid w:val="008B4C76"/>
    <w:rsid w:val="008B580B"/>
    <w:rsid w:val="008B61C7"/>
    <w:rsid w:val="008B6DED"/>
    <w:rsid w:val="008C29AD"/>
    <w:rsid w:val="008C3FA5"/>
    <w:rsid w:val="008C4779"/>
    <w:rsid w:val="008C4885"/>
    <w:rsid w:val="008D1CE7"/>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5083B"/>
    <w:rsid w:val="009515FB"/>
    <w:rsid w:val="009518AA"/>
    <w:rsid w:val="00951F57"/>
    <w:rsid w:val="00952F89"/>
    <w:rsid w:val="00954101"/>
    <w:rsid w:val="0096531D"/>
    <w:rsid w:val="00967336"/>
    <w:rsid w:val="00967789"/>
    <w:rsid w:val="009705DD"/>
    <w:rsid w:val="00973CC8"/>
    <w:rsid w:val="00974898"/>
    <w:rsid w:val="00974A98"/>
    <w:rsid w:val="009777FE"/>
    <w:rsid w:val="00981B72"/>
    <w:rsid w:val="009841F0"/>
    <w:rsid w:val="00984656"/>
    <w:rsid w:val="00986E8D"/>
    <w:rsid w:val="00986FA6"/>
    <w:rsid w:val="00987DEA"/>
    <w:rsid w:val="00990DF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D2A30"/>
    <w:rsid w:val="009D2D74"/>
    <w:rsid w:val="009D4D35"/>
    <w:rsid w:val="009D4D81"/>
    <w:rsid w:val="009D4EDC"/>
    <w:rsid w:val="009D625D"/>
    <w:rsid w:val="009D6961"/>
    <w:rsid w:val="009E4497"/>
    <w:rsid w:val="009E4E17"/>
    <w:rsid w:val="009E5785"/>
    <w:rsid w:val="009E686C"/>
    <w:rsid w:val="009E76E1"/>
    <w:rsid w:val="009E7706"/>
    <w:rsid w:val="009F0731"/>
    <w:rsid w:val="009F1772"/>
    <w:rsid w:val="009F3BD1"/>
    <w:rsid w:val="009F4190"/>
    <w:rsid w:val="009F7B4C"/>
    <w:rsid w:val="00A001D2"/>
    <w:rsid w:val="00A016D8"/>
    <w:rsid w:val="00A05077"/>
    <w:rsid w:val="00A055BE"/>
    <w:rsid w:val="00A1076B"/>
    <w:rsid w:val="00A112E3"/>
    <w:rsid w:val="00A1252F"/>
    <w:rsid w:val="00A127FA"/>
    <w:rsid w:val="00A13330"/>
    <w:rsid w:val="00A14560"/>
    <w:rsid w:val="00A156A6"/>
    <w:rsid w:val="00A15B52"/>
    <w:rsid w:val="00A210B9"/>
    <w:rsid w:val="00A23D97"/>
    <w:rsid w:val="00A2489E"/>
    <w:rsid w:val="00A305F9"/>
    <w:rsid w:val="00A32426"/>
    <w:rsid w:val="00A33839"/>
    <w:rsid w:val="00A3415B"/>
    <w:rsid w:val="00A3510E"/>
    <w:rsid w:val="00A36220"/>
    <w:rsid w:val="00A363A1"/>
    <w:rsid w:val="00A40879"/>
    <w:rsid w:val="00A43F4A"/>
    <w:rsid w:val="00A45806"/>
    <w:rsid w:val="00A4584B"/>
    <w:rsid w:val="00A4737F"/>
    <w:rsid w:val="00A47ECA"/>
    <w:rsid w:val="00A51953"/>
    <w:rsid w:val="00A523CC"/>
    <w:rsid w:val="00A53246"/>
    <w:rsid w:val="00A54AF9"/>
    <w:rsid w:val="00A55ED6"/>
    <w:rsid w:val="00A570A4"/>
    <w:rsid w:val="00A6081A"/>
    <w:rsid w:val="00A6086F"/>
    <w:rsid w:val="00A60FAD"/>
    <w:rsid w:val="00A66503"/>
    <w:rsid w:val="00A70C59"/>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80D"/>
    <w:rsid w:val="00AA4561"/>
    <w:rsid w:val="00AA75C9"/>
    <w:rsid w:val="00AB1407"/>
    <w:rsid w:val="00AB460C"/>
    <w:rsid w:val="00AC0F52"/>
    <w:rsid w:val="00AC2F2C"/>
    <w:rsid w:val="00AC6E8C"/>
    <w:rsid w:val="00AC7267"/>
    <w:rsid w:val="00AC7E87"/>
    <w:rsid w:val="00AD03D9"/>
    <w:rsid w:val="00AD27DC"/>
    <w:rsid w:val="00AD2D65"/>
    <w:rsid w:val="00AD631B"/>
    <w:rsid w:val="00AD725F"/>
    <w:rsid w:val="00AE26E3"/>
    <w:rsid w:val="00AE281E"/>
    <w:rsid w:val="00AE35E1"/>
    <w:rsid w:val="00AE40EF"/>
    <w:rsid w:val="00AE7744"/>
    <w:rsid w:val="00AF0B6B"/>
    <w:rsid w:val="00AF2456"/>
    <w:rsid w:val="00AF2473"/>
    <w:rsid w:val="00AF382E"/>
    <w:rsid w:val="00AF4AFF"/>
    <w:rsid w:val="00AF5BA9"/>
    <w:rsid w:val="00AF708C"/>
    <w:rsid w:val="00AF7F89"/>
    <w:rsid w:val="00B010E6"/>
    <w:rsid w:val="00B01BA9"/>
    <w:rsid w:val="00B02100"/>
    <w:rsid w:val="00B061FF"/>
    <w:rsid w:val="00B117AA"/>
    <w:rsid w:val="00B124D3"/>
    <w:rsid w:val="00B140B4"/>
    <w:rsid w:val="00B146F9"/>
    <w:rsid w:val="00B1550D"/>
    <w:rsid w:val="00B15E77"/>
    <w:rsid w:val="00B214EE"/>
    <w:rsid w:val="00B22F5B"/>
    <w:rsid w:val="00B239AC"/>
    <w:rsid w:val="00B23AF0"/>
    <w:rsid w:val="00B240BF"/>
    <w:rsid w:val="00B243C2"/>
    <w:rsid w:val="00B2523A"/>
    <w:rsid w:val="00B25BA5"/>
    <w:rsid w:val="00B271A6"/>
    <w:rsid w:val="00B27631"/>
    <w:rsid w:val="00B353D8"/>
    <w:rsid w:val="00B37BB6"/>
    <w:rsid w:val="00B37D4D"/>
    <w:rsid w:val="00B40E66"/>
    <w:rsid w:val="00B4138A"/>
    <w:rsid w:val="00B422F6"/>
    <w:rsid w:val="00B45D9F"/>
    <w:rsid w:val="00B46480"/>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7D1C"/>
    <w:rsid w:val="00B8038F"/>
    <w:rsid w:val="00B90A22"/>
    <w:rsid w:val="00B92CF4"/>
    <w:rsid w:val="00B94977"/>
    <w:rsid w:val="00B9575F"/>
    <w:rsid w:val="00BA0A8E"/>
    <w:rsid w:val="00BA0D98"/>
    <w:rsid w:val="00BA1950"/>
    <w:rsid w:val="00BA30F2"/>
    <w:rsid w:val="00BA3D92"/>
    <w:rsid w:val="00BA4069"/>
    <w:rsid w:val="00BA47CC"/>
    <w:rsid w:val="00BA57F2"/>
    <w:rsid w:val="00BA6300"/>
    <w:rsid w:val="00BB22F9"/>
    <w:rsid w:val="00BB41A8"/>
    <w:rsid w:val="00BB7FBD"/>
    <w:rsid w:val="00BC04AC"/>
    <w:rsid w:val="00BC0550"/>
    <w:rsid w:val="00BC6302"/>
    <w:rsid w:val="00BC723C"/>
    <w:rsid w:val="00BD01F5"/>
    <w:rsid w:val="00BD2050"/>
    <w:rsid w:val="00BD3519"/>
    <w:rsid w:val="00BD445C"/>
    <w:rsid w:val="00BD6C5A"/>
    <w:rsid w:val="00BD7DF1"/>
    <w:rsid w:val="00BE0897"/>
    <w:rsid w:val="00BE0F71"/>
    <w:rsid w:val="00BE3519"/>
    <w:rsid w:val="00BE50BF"/>
    <w:rsid w:val="00BE6FA8"/>
    <w:rsid w:val="00BF0E74"/>
    <w:rsid w:val="00BF246F"/>
    <w:rsid w:val="00BF7C4D"/>
    <w:rsid w:val="00C000A7"/>
    <w:rsid w:val="00C00113"/>
    <w:rsid w:val="00C06511"/>
    <w:rsid w:val="00C10D18"/>
    <w:rsid w:val="00C132EE"/>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934"/>
    <w:rsid w:val="00C5760D"/>
    <w:rsid w:val="00C57682"/>
    <w:rsid w:val="00C60BF9"/>
    <w:rsid w:val="00C613C6"/>
    <w:rsid w:val="00C61F74"/>
    <w:rsid w:val="00C6261B"/>
    <w:rsid w:val="00C646DD"/>
    <w:rsid w:val="00C65EF2"/>
    <w:rsid w:val="00C7412C"/>
    <w:rsid w:val="00C74551"/>
    <w:rsid w:val="00C760EA"/>
    <w:rsid w:val="00C76712"/>
    <w:rsid w:val="00C818CD"/>
    <w:rsid w:val="00C85277"/>
    <w:rsid w:val="00C876B5"/>
    <w:rsid w:val="00C87C9D"/>
    <w:rsid w:val="00C87EF3"/>
    <w:rsid w:val="00C9058E"/>
    <w:rsid w:val="00C96BE9"/>
    <w:rsid w:val="00C97105"/>
    <w:rsid w:val="00C973E8"/>
    <w:rsid w:val="00CA0488"/>
    <w:rsid w:val="00CA24B2"/>
    <w:rsid w:val="00CA5A66"/>
    <w:rsid w:val="00CB36C0"/>
    <w:rsid w:val="00CB7106"/>
    <w:rsid w:val="00CB7514"/>
    <w:rsid w:val="00CC0056"/>
    <w:rsid w:val="00CC74FE"/>
    <w:rsid w:val="00CD15AD"/>
    <w:rsid w:val="00CD2B41"/>
    <w:rsid w:val="00CD34CF"/>
    <w:rsid w:val="00CD3E0D"/>
    <w:rsid w:val="00CD5653"/>
    <w:rsid w:val="00CD62D0"/>
    <w:rsid w:val="00CD6487"/>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36F1"/>
    <w:rsid w:val="00D54972"/>
    <w:rsid w:val="00D567FE"/>
    <w:rsid w:val="00D56FA2"/>
    <w:rsid w:val="00D570F6"/>
    <w:rsid w:val="00D57315"/>
    <w:rsid w:val="00D57A66"/>
    <w:rsid w:val="00D605DC"/>
    <w:rsid w:val="00D624E9"/>
    <w:rsid w:val="00D65379"/>
    <w:rsid w:val="00D65F52"/>
    <w:rsid w:val="00D66F6E"/>
    <w:rsid w:val="00D67F3E"/>
    <w:rsid w:val="00D75400"/>
    <w:rsid w:val="00D81C29"/>
    <w:rsid w:val="00D82AD4"/>
    <w:rsid w:val="00D83F1B"/>
    <w:rsid w:val="00D9115D"/>
    <w:rsid w:val="00D9228A"/>
    <w:rsid w:val="00D9276E"/>
    <w:rsid w:val="00D942DC"/>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25A"/>
    <w:rsid w:val="00DC63C2"/>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3338"/>
    <w:rsid w:val="00E06255"/>
    <w:rsid w:val="00E07672"/>
    <w:rsid w:val="00E10B70"/>
    <w:rsid w:val="00E1137D"/>
    <w:rsid w:val="00E12743"/>
    <w:rsid w:val="00E15800"/>
    <w:rsid w:val="00E220A3"/>
    <w:rsid w:val="00E24894"/>
    <w:rsid w:val="00E24EF5"/>
    <w:rsid w:val="00E34A6D"/>
    <w:rsid w:val="00E377DB"/>
    <w:rsid w:val="00E37B6A"/>
    <w:rsid w:val="00E4173E"/>
    <w:rsid w:val="00E41C4D"/>
    <w:rsid w:val="00E41F4F"/>
    <w:rsid w:val="00E429A9"/>
    <w:rsid w:val="00E42DBF"/>
    <w:rsid w:val="00E44BEA"/>
    <w:rsid w:val="00E46007"/>
    <w:rsid w:val="00E46817"/>
    <w:rsid w:val="00E46B14"/>
    <w:rsid w:val="00E47821"/>
    <w:rsid w:val="00E54D59"/>
    <w:rsid w:val="00E56514"/>
    <w:rsid w:val="00E56AD9"/>
    <w:rsid w:val="00E57EB7"/>
    <w:rsid w:val="00E6154C"/>
    <w:rsid w:val="00E620FD"/>
    <w:rsid w:val="00E62126"/>
    <w:rsid w:val="00E62396"/>
    <w:rsid w:val="00E62665"/>
    <w:rsid w:val="00E63C96"/>
    <w:rsid w:val="00E6658D"/>
    <w:rsid w:val="00E67848"/>
    <w:rsid w:val="00E67E12"/>
    <w:rsid w:val="00E746FD"/>
    <w:rsid w:val="00E7641B"/>
    <w:rsid w:val="00E82780"/>
    <w:rsid w:val="00E8559A"/>
    <w:rsid w:val="00E85625"/>
    <w:rsid w:val="00E921CC"/>
    <w:rsid w:val="00E92E3B"/>
    <w:rsid w:val="00E945EC"/>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1ECA"/>
    <w:rsid w:val="00F06C04"/>
    <w:rsid w:val="00F118BF"/>
    <w:rsid w:val="00F11E1D"/>
    <w:rsid w:val="00F13F00"/>
    <w:rsid w:val="00F150F5"/>
    <w:rsid w:val="00F201F9"/>
    <w:rsid w:val="00F220BC"/>
    <w:rsid w:val="00F26F0A"/>
    <w:rsid w:val="00F27BC1"/>
    <w:rsid w:val="00F300AE"/>
    <w:rsid w:val="00F3192B"/>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324"/>
    <w:rsid w:val="00F75721"/>
    <w:rsid w:val="00F75E7D"/>
    <w:rsid w:val="00F7711E"/>
    <w:rsid w:val="00F774AD"/>
    <w:rsid w:val="00F77D3D"/>
    <w:rsid w:val="00F80AE1"/>
    <w:rsid w:val="00F8161E"/>
    <w:rsid w:val="00F82E5F"/>
    <w:rsid w:val="00F83B3F"/>
    <w:rsid w:val="00F85BB5"/>
    <w:rsid w:val="00F874D6"/>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F36"/>
    <w:rsid w:val="00FA3DFA"/>
    <w:rsid w:val="00FA40C3"/>
    <w:rsid w:val="00FA791A"/>
    <w:rsid w:val="00FB10EC"/>
    <w:rsid w:val="00FB7FDD"/>
    <w:rsid w:val="00FC03F2"/>
    <w:rsid w:val="00FC15E0"/>
    <w:rsid w:val="00FC2B5D"/>
    <w:rsid w:val="00FC3028"/>
    <w:rsid w:val="00FC3461"/>
    <w:rsid w:val="00FC45E2"/>
    <w:rsid w:val="00FC58CC"/>
    <w:rsid w:val="00FC759F"/>
    <w:rsid w:val="00FD0E20"/>
    <w:rsid w:val="00FD1024"/>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表段落,列出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2AF0"/>
    <w:rPr>
      <w:b/>
      <w:bCs/>
    </w:rPr>
  </w:style>
  <w:style w:type="paragraph" w:customStyle="1" w:styleId="xmsonormal">
    <w:name w:val="x_msonormal"/>
    <w:basedOn w:val="Normal"/>
    <w:uiPriority w:val="99"/>
    <w:rsid w:val="007C2CAD"/>
    <w:rPr>
      <w:rFonts w:ascii="SimSun" w:eastAsia="SimSun" w:hAnsi="SimSun" w:cs="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表段落,列出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2AF0"/>
    <w:rPr>
      <w:b/>
      <w:bCs/>
    </w:rPr>
  </w:style>
  <w:style w:type="paragraph" w:customStyle="1" w:styleId="xmsonormal">
    <w:name w:val="x_msonormal"/>
    <w:basedOn w:val="Normal"/>
    <w:uiPriority w:val="99"/>
    <w:rsid w:val="007C2CAD"/>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2AF2-1D9E-4994-8F8A-53CCDB7F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2601</Words>
  <Characters>14827</Characters>
  <Application>Microsoft Office Word</Application>
  <DocSecurity>0</DocSecurity>
  <Lines>123</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Runhua Chen</cp:lastModifiedBy>
  <cp:revision>3</cp:revision>
  <dcterms:created xsi:type="dcterms:W3CDTF">2021-02-02T05:56:00Z</dcterms:created>
  <dcterms:modified xsi:type="dcterms:W3CDTF">2021-02-02T05:58:00Z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