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PL-RS can be included in UL TCI state or (if applicable) joint TCI state.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included or not. If not included,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state.</w:t>
      </w:r>
      <w:r w:rsidRPr="003A482B">
        <w:rPr>
          <w:sz w:val="22"/>
          <w:szCs w:val="22"/>
        </w:rPr>
        <w:t xml:space="preserve">  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Exact association mechanism 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associated or not. If not associated,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Alt3. </w:t>
      </w:r>
      <w:r w:rsidRPr="003A482B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3A482B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Alt4. UE calculates path-loss based on periodic DL RS configured as the source RS or QCL-Type-D/spatialRelationInfo source of the source RS in UL TCI state or (if applicable) joint TCI state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22252C" w:rsidRDefault="0022252C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r w:rsidRPr="0022252C">
        <w:rPr>
          <w:rFonts w:ascii="Times New Roman" w:hAnsi="Times New Roman"/>
          <w:szCs w:val="20"/>
          <w:lang w:eastAsia="en-US"/>
        </w:rPr>
        <w:t>If per -panel PC is supported, FFS a UE can simultaneously maintain more than four. Otherwise, the number remains unchanged as in Rel-16.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>and inter-cell mTRP,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mTRP.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lastRenderedPageBreak/>
        <w:t>FFS: Timing 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Support DCI acknowledgment mechanism, e.g. based on SPS PDSCH release, based on triggered SRS, based on DCI indicating SCell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SCell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SCell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DCI, along with the necessary TCI state activation)</w:t>
      </w:r>
      <w:r w:rsidRPr="003A482B">
        <w:rPr>
          <w:rFonts w:ascii="Times New Roman" w:hAnsi="Times New Roman"/>
        </w:rPr>
        <w:t xml:space="preserve"> is used for UE</w:t>
      </w:r>
      <w:ins w:id="0" w:author="Eko Onggosanusi" w:date="2021-02-01T06:24:00Z">
        <w:r w:rsidR="00E208C9">
          <w:rPr>
            <w:rFonts w:ascii="Times New Roman" w:hAnsi="Times New Roman"/>
          </w:rPr>
          <w:t xml:space="preserve"> UL</w:t>
        </w:r>
      </w:ins>
      <w:bookmarkStart w:id="1" w:name="_GoBack"/>
      <w:bookmarkEnd w:id="1"/>
      <w:r w:rsidRPr="003A482B">
        <w:rPr>
          <w:rFonts w:ascii="Times New Roman" w:hAnsi="Times New Roman"/>
        </w:rPr>
        <w:t xml:space="preserve"> panel selection: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</w:t>
      </w:r>
      <w:r w:rsidRPr="007B415A">
        <w:rPr>
          <w:rFonts w:ascii="Times New Roman" w:hAnsi="Times New Roman"/>
        </w:rPr>
        <w:t>If additional specification support in TCI state definition to accommodate U</w:t>
      </w:r>
      <w:r w:rsidR="00F30253" w:rsidRPr="007B415A">
        <w:rPr>
          <w:rFonts w:ascii="Times New Roman" w:hAnsi="Times New Roman"/>
        </w:rPr>
        <w:t>L</w:t>
      </w:r>
      <w:r w:rsidRPr="007B415A">
        <w:rPr>
          <w:rFonts w:ascii="Times New Roman" w:hAnsi="Times New Roman"/>
        </w:rPr>
        <w:t xml:space="preserve"> panel is needed or not, and if so, the exact scheme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FFS: UE panel-specific report, including UE-panel state, e.g. inactive, active for DL/UL measurement, </w:t>
      </w:r>
      <w:r w:rsidR="007B415A" w:rsidRPr="007B415A">
        <w:rPr>
          <w:rFonts w:ascii="Times New Roman" w:hAnsi="Times New Roman"/>
        </w:rPr>
        <w:t xml:space="preserve">active for DL reception only, </w:t>
      </w:r>
      <w:r w:rsidRPr="007B415A">
        <w:rPr>
          <w:rFonts w:ascii="Times New Roman" w:hAnsi="Times New Roman"/>
        </w:rPr>
        <w:t xml:space="preserve">active for UL transmission, or </w:t>
      </w:r>
      <w:r w:rsidR="000E1F10">
        <w:rPr>
          <w:rFonts w:ascii="Times New Roman" w:hAnsi="Times New Roman"/>
        </w:rPr>
        <w:t>other combination(s) of UE-panel states</w:t>
      </w:r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7070E" w:rsidRPr="007B415A" w:rsidDel="00F21D31" w:rsidRDefault="0037070E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2" w:author="Eko Onggosanusi" w:date="2021-02-01T06:22:00Z"/>
          <w:rFonts w:ascii="Times New Roman" w:hAnsi="Times New Roman"/>
        </w:rPr>
      </w:pPr>
      <w:del w:id="3" w:author="Eko Onggosanusi" w:date="2021-02-01T06:22:00Z">
        <w:r w:rsidRPr="007B415A" w:rsidDel="00F21D31">
          <w:rPr>
            <w:rFonts w:ascii="Times New Roman" w:hAnsi="Times New Roman"/>
          </w:rPr>
          <w:delText>Note: This agreement doesn't imply NW-initiated UL panel selection is or is not supported</w:delText>
        </w:r>
      </w:del>
    </w:p>
    <w:p w:rsidR="003A482B" w:rsidRPr="007B415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 xml:space="preserve">inking or association of UE panels with CSI-RS/SSB resources, SRS resource sets, </w:t>
      </w:r>
      <w:ins w:id="4" w:author="Eko Onggosanusi" w:date="2021-02-01T06:21:00Z">
        <w:r w:rsidR="009E0022">
          <w:rPr>
            <w:rFonts w:ascii="Times New Roman" w:eastAsia="DengXian" w:hAnsi="Times New Roman"/>
          </w:rPr>
          <w:t>and/</w:t>
        </w:r>
      </w:ins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 by using, e.g. scaled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F6AAE"/>
    <w:rsid w:val="0022252C"/>
    <w:rsid w:val="0032678B"/>
    <w:rsid w:val="0037070E"/>
    <w:rsid w:val="003A482B"/>
    <w:rsid w:val="003D5BFC"/>
    <w:rsid w:val="004449AA"/>
    <w:rsid w:val="006734FD"/>
    <w:rsid w:val="006900C5"/>
    <w:rsid w:val="006E28DA"/>
    <w:rsid w:val="00722BBB"/>
    <w:rsid w:val="00775251"/>
    <w:rsid w:val="00777499"/>
    <w:rsid w:val="007A5885"/>
    <w:rsid w:val="007B415A"/>
    <w:rsid w:val="007D7895"/>
    <w:rsid w:val="007F09D1"/>
    <w:rsid w:val="008940E3"/>
    <w:rsid w:val="0090196D"/>
    <w:rsid w:val="00960B47"/>
    <w:rsid w:val="00973943"/>
    <w:rsid w:val="00985510"/>
    <w:rsid w:val="009E0022"/>
    <w:rsid w:val="00AA6B08"/>
    <w:rsid w:val="00B36D98"/>
    <w:rsid w:val="00BE2517"/>
    <w:rsid w:val="00C33DA4"/>
    <w:rsid w:val="00C61E35"/>
    <w:rsid w:val="00CB0C5F"/>
    <w:rsid w:val="00CD7006"/>
    <w:rsid w:val="00D408B4"/>
    <w:rsid w:val="00DA6C69"/>
    <w:rsid w:val="00DD0EDA"/>
    <w:rsid w:val="00DF22F2"/>
    <w:rsid w:val="00E0146C"/>
    <w:rsid w:val="00E208C9"/>
    <w:rsid w:val="00E74799"/>
    <w:rsid w:val="00EB4C0A"/>
    <w:rsid w:val="00EF4D7C"/>
    <w:rsid w:val="00F21D31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7</cp:revision>
  <dcterms:created xsi:type="dcterms:W3CDTF">2021-02-01T11:52:00Z</dcterms:created>
  <dcterms:modified xsi:type="dcterms:W3CDTF">2021-02-01T12:24:00Z</dcterms:modified>
</cp:coreProperties>
</file>