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D262C" w14:textId="3CDF4A4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R1-210xxxx</w:t>
      </w:r>
    </w:p>
    <w:p w14:paraId="338E6A02"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7985AAA9" w14:textId="77777777" w:rsidR="00DE37B1" w:rsidRDefault="00DE37B1" w:rsidP="00AD725F">
      <w:pPr>
        <w:tabs>
          <w:tab w:val="center" w:pos="4536"/>
          <w:tab w:val="right" w:pos="9072"/>
        </w:tabs>
        <w:rPr>
          <w:rFonts w:ascii="Arial" w:hAnsi="Arial" w:cs="Arial"/>
          <w:b/>
          <w:bCs/>
        </w:rPr>
      </w:pPr>
    </w:p>
    <w:p w14:paraId="17F110BB"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2D66E065"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2609A63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rFonts w:ascii="Times New Roman" w:hAnsi="Times New Roman" w:cs="Times New Roman"/>
          <w:b/>
          <w:sz w:val="16"/>
          <w:szCs w:val="16"/>
        </w:rPr>
      </w:pPr>
    </w:p>
    <w:p w14:paraId="45B20178" w14:textId="77777777" w:rsidR="00DE37B1" w:rsidRDefault="00D75400">
      <w:pPr>
        <w:pStyle w:val="Heading2"/>
        <w:numPr>
          <w:ilvl w:val="0"/>
          <w:numId w:val="5"/>
        </w:numPr>
      </w:pPr>
      <w:r>
        <w:t>Introduction</w:t>
      </w:r>
    </w:p>
    <w:p w14:paraId="58EF2FF5"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569C72A2"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0B8B6125"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7D1A89D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7E275FFC"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79892CF" w14:textId="05560F62" w:rsidR="00FE23E5" w:rsidRPr="00AD725F" w:rsidRDefault="00FE23E5" w:rsidP="00AD725F">
      <w:pPr>
        <w:snapToGrid w:val="0"/>
        <w:spacing w:after="60" w:line="288" w:lineRule="auto"/>
        <w:rPr>
          <w:rFonts w:ascii="Times New Roman" w:hAnsi="Times New Roman"/>
          <w:sz w:val="20"/>
          <w:szCs w:val="20"/>
        </w:rPr>
      </w:pPr>
    </w:p>
    <w:p w14:paraId="0C442378" w14:textId="782B9558" w:rsidR="00DE37B1" w:rsidRDefault="00D75400" w:rsidP="00434C01">
      <w:pPr>
        <w:pStyle w:val="Heading2"/>
        <w:numPr>
          <w:ilvl w:val="0"/>
          <w:numId w:val="14"/>
        </w:numPr>
      </w:pPr>
      <w:r>
        <w:t xml:space="preserve">Summary </w:t>
      </w:r>
      <w:r w:rsidR="00FE23E5">
        <w:t>and proposals</w:t>
      </w:r>
    </w:p>
    <w:p w14:paraId="104EC929" w14:textId="0AAF4810"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987EF5B" w14:textId="77777777" w:rsidR="00DE37B1" w:rsidRDefault="00D75400">
      <w:pPr>
        <w:pStyle w:val="Heading3"/>
        <w:numPr>
          <w:ilvl w:val="1"/>
          <w:numId w:val="14"/>
        </w:numPr>
      </w:pPr>
      <w:r>
        <w:t>Issue 1 (Rel.17 unified TCI framework)</w:t>
      </w:r>
    </w:p>
    <w:p w14:paraId="2EF63826" w14:textId="77777777" w:rsidR="00DE37B1" w:rsidRDefault="00DE37B1"/>
    <w:p w14:paraId="36D4C539" w14:textId="10565670"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4497C4B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C3FB9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C87B6A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DBA9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605B089E" w14:textId="77777777" w:rsidR="00DE37B1" w:rsidRDefault="00DE37B1">
            <w:pPr>
              <w:snapToGrid w:val="0"/>
              <w:rPr>
                <w:rFonts w:ascii="Times New Roman" w:hAnsi="Times New Roman" w:cs="Times New Roman"/>
                <w:sz w:val="18"/>
                <w:szCs w:val="20"/>
              </w:rPr>
            </w:pPr>
          </w:p>
          <w:p w14:paraId="1F667B3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2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8E71B46"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14:paraId="150E303D"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14:paraId="5C5D4589" w14:textId="77777777" w:rsidR="00DE37B1" w:rsidRDefault="00DE37B1">
            <w:pPr>
              <w:snapToGrid w:val="0"/>
              <w:rPr>
                <w:rFonts w:ascii="Times New Roman" w:hAnsi="Times New Roman" w:cs="Times New Roman"/>
                <w:sz w:val="18"/>
                <w:szCs w:val="20"/>
              </w:rPr>
            </w:pPr>
          </w:p>
          <w:p w14:paraId="01418D8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4ADE8DEA"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14:paraId="56F7341B"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14:paraId="6496DCE7" w14:textId="77777777" w:rsidR="00DE37B1" w:rsidRDefault="00DE37B1">
            <w:pPr>
              <w:snapToGrid w:val="0"/>
              <w:rPr>
                <w:rFonts w:ascii="Times New Roman" w:hAnsi="Times New Roman" w:cs="Times New Roman"/>
                <w:sz w:val="18"/>
                <w:szCs w:val="20"/>
              </w:rPr>
            </w:pPr>
          </w:p>
          <w:p w14:paraId="0AA575B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08A2BC1D"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66175FF4"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EF0E" w14:textId="77777777" w:rsidR="00DE37B1" w:rsidRDefault="00DE37B1">
            <w:pPr>
              <w:snapToGrid w:val="0"/>
              <w:rPr>
                <w:rFonts w:ascii="Times New Roman" w:hAnsi="Times New Roman" w:cs="Times New Roman"/>
                <w:sz w:val="18"/>
                <w:szCs w:val="20"/>
              </w:rPr>
            </w:pPr>
          </w:p>
        </w:tc>
      </w:tr>
      <w:tr w:rsidR="00DE37B1" w14:paraId="3229C0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8B4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C57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2FC3A0EA" w14:textId="77777777" w:rsidR="00DE37B1" w:rsidRDefault="00D75400">
            <w:pPr>
              <w:pStyle w:val="ListParagraph"/>
              <w:numPr>
                <w:ilvl w:val="0"/>
                <w:numId w:val="24"/>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7F00EC7F" w14:textId="77777777" w:rsidR="00DE37B1" w:rsidRDefault="00D75400">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CCE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4051481A"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2A4E"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D2F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9474040" w14:textId="77777777" w:rsidR="00DE37B1" w:rsidRDefault="00D75400">
            <w:pPr>
              <w:pStyle w:val="ListParagraph"/>
              <w:numPr>
                <w:ilvl w:val="0"/>
                <w:numId w:val="25"/>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4D78B941" w14:textId="77777777" w:rsidR="00DE37B1" w:rsidRDefault="00D75400">
            <w:pPr>
              <w:pStyle w:val="ListParagraph"/>
              <w:numPr>
                <w:ilvl w:val="0"/>
                <w:numId w:val="25"/>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14:paraId="2B67E2EF" w14:textId="77777777" w:rsidR="00DE37B1" w:rsidRDefault="00D75400">
            <w:pPr>
              <w:pStyle w:val="ListParagraph"/>
              <w:numPr>
                <w:ilvl w:val="0"/>
                <w:numId w:val="25"/>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4B79A904" w14:textId="77777777" w:rsidR="00DE37B1" w:rsidRDefault="00D75400">
            <w:pPr>
              <w:pStyle w:val="ListParagraph"/>
              <w:numPr>
                <w:ilvl w:val="0"/>
                <w:numId w:val="25"/>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1555CF27"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D6B3" w14:textId="77777777" w:rsidR="00DE37B1" w:rsidRDefault="00DE37B1">
            <w:pPr>
              <w:snapToGrid w:val="0"/>
              <w:rPr>
                <w:rFonts w:ascii="Times New Roman" w:hAnsi="Times New Roman" w:cs="Times New Roman"/>
                <w:sz w:val="18"/>
                <w:szCs w:val="20"/>
              </w:rPr>
            </w:pPr>
          </w:p>
        </w:tc>
      </w:tr>
      <w:tr w:rsidR="00DE37B1" w14:paraId="4AFE29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7D45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6DEA"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A63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C0584B9" w14:textId="77777777" w:rsidR="00DE37B1" w:rsidRDefault="00D75400">
            <w:pPr>
              <w:pStyle w:val="ListParagraph"/>
              <w:numPr>
                <w:ilvl w:val="0"/>
                <w:numId w:val="26"/>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7AC1A7F0" w14:textId="77777777" w:rsidR="00DE37B1" w:rsidRDefault="00D75400">
            <w:pPr>
              <w:pStyle w:val="ListParagraph"/>
              <w:numPr>
                <w:ilvl w:val="0"/>
                <w:numId w:val="26"/>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72549067" w14:textId="77777777" w:rsidR="00DE37B1" w:rsidRDefault="00D75400">
            <w:pPr>
              <w:pStyle w:val="ListParagraph"/>
              <w:numPr>
                <w:ilvl w:val="0"/>
                <w:numId w:val="26"/>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3134C71D" w14:textId="77777777" w:rsidR="00DE37B1" w:rsidRDefault="00D75400">
            <w:pPr>
              <w:pStyle w:val="ListParagraph"/>
              <w:numPr>
                <w:ilvl w:val="0"/>
                <w:numId w:val="26"/>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14:paraId="50C77B93" w14:textId="77777777" w:rsidR="00DE37B1" w:rsidRDefault="00D75400">
            <w:pPr>
              <w:pStyle w:val="ListParagraph"/>
              <w:numPr>
                <w:ilvl w:val="0"/>
                <w:numId w:val="26"/>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0FDCA0A7"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BEFE0" w14:textId="77777777" w:rsidR="00DE37B1" w:rsidRDefault="00DE37B1">
            <w:pPr>
              <w:snapToGrid w:val="0"/>
              <w:rPr>
                <w:rFonts w:ascii="Times New Roman" w:hAnsi="Times New Roman" w:cs="Times New Roman"/>
                <w:sz w:val="18"/>
                <w:szCs w:val="20"/>
              </w:rPr>
            </w:pPr>
          </w:p>
        </w:tc>
      </w:tr>
      <w:tr w:rsidR="00DE37B1" w14:paraId="7113B15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64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A76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507A1C31" w14:textId="77777777" w:rsidR="00DE37B1" w:rsidRDefault="00DE37B1">
            <w:pPr>
              <w:snapToGrid w:val="0"/>
              <w:rPr>
                <w:rFonts w:ascii="Times New Roman" w:hAnsi="Times New Roman" w:cs="Times New Roman"/>
                <w:sz w:val="18"/>
                <w:szCs w:val="20"/>
              </w:rPr>
            </w:pPr>
          </w:p>
          <w:p w14:paraId="779874B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EC2866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8D1C" w14:textId="66C0DD81"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0B516E00" w14:textId="77777777" w:rsidR="00DE37B1" w:rsidRDefault="00DE37B1">
            <w:pPr>
              <w:snapToGrid w:val="0"/>
              <w:rPr>
                <w:rFonts w:ascii="Times New Roman" w:hAnsi="Times New Roman" w:cs="Times New Roman"/>
                <w:sz w:val="18"/>
                <w:szCs w:val="20"/>
              </w:rPr>
            </w:pPr>
          </w:p>
          <w:p w14:paraId="4DF5AF2B" w14:textId="0768448A"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14:paraId="654DF529" w14:textId="77777777" w:rsidR="00DE37B1" w:rsidRDefault="00DE37B1">
            <w:pPr>
              <w:snapToGrid w:val="0"/>
              <w:rPr>
                <w:rFonts w:ascii="Times New Roman" w:hAnsi="Times New Roman" w:cs="Times New Roman"/>
                <w:sz w:val="18"/>
                <w:szCs w:val="20"/>
              </w:rPr>
            </w:pPr>
          </w:p>
          <w:p w14:paraId="7AC31F5A" w14:textId="77777777"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AA65" w14:textId="77777777" w:rsidR="00DE37B1" w:rsidRDefault="00DE37B1">
            <w:pPr>
              <w:snapToGrid w:val="0"/>
              <w:rPr>
                <w:rFonts w:ascii="Times New Roman" w:hAnsi="Times New Roman" w:cs="Times New Roman"/>
                <w:sz w:val="18"/>
                <w:szCs w:val="20"/>
              </w:rPr>
            </w:pPr>
          </w:p>
        </w:tc>
      </w:tr>
      <w:tr w:rsidR="00DE37B1" w14:paraId="6ABDE34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4FD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C10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1E10D050" w14:textId="026D30CF"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0614569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D9C8" w14:textId="78CF1B9D"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14:paraId="0D34B715" w14:textId="77777777" w:rsidR="00DE37B1" w:rsidRDefault="00DE37B1">
            <w:pPr>
              <w:snapToGrid w:val="0"/>
              <w:rPr>
                <w:rFonts w:ascii="Times New Roman" w:hAnsi="Times New Roman" w:cs="Times New Roman"/>
                <w:sz w:val="18"/>
                <w:szCs w:val="20"/>
              </w:rPr>
            </w:pPr>
          </w:p>
          <w:p w14:paraId="3A6069E9" w14:textId="58899A7E"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DBD9" w14:textId="77777777" w:rsidR="00DE37B1" w:rsidRDefault="00DE37B1">
            <w:pPr>
              <w:snapToGrid w:val="0"/>
              <w:rPr>
                <w:rFonts w:ascii="Times New Roman" w:hAnsi="Times New Roman" w:cs="Times New Roman"/>
                <w:sz w:val="18"/>
                <w:szCs w:val="20"/>
              </w:rPr>
            </w:pPr>
          </w:p>
        </w:tc>
      </w:tr>
    </w:tbl>
    <w:p w14:paraId="3726BF92" w14:textId="050B809F" w:rsidR="00DE37B1" w:rsidRDefault="00DE37B1">
      <w:pPr>
        <w:snapToGrid w:val="0"/>
        <w:jc w:val="both"/>
        <w:rPr>
          <w:rFonts w:ascii="Times New Roman" w:hAnsi="Times New Roman" w:cs="Times New Roman"/>
          <w:sz w:val="20"/>
          <w:szCs w:val="20"/>
        </w:rPr>
      </w:pPr>
    </w:p>
    <w:p w14:paraId="51D57E0D" w14:textId="77777777" w:rsidR="00316B60" w:rsidRDefault="00316B60">
      <w:pPr>
        <w:snapToGrid w:val="0"/>
        <w:jc w:val="both"/>
        <w:rPr>
          <w:rFonts w:ascii="Times New Roman" w:hAnsi="Times New Roman" w:cs="Times New Roman"/>
          <w:sz w:val="20"/>
          <w:szCs w:val="20"/>
        </w:rPr>
      </w:pPr>
    </w:p>
    <w:p w14:paraId="22B79FD6" w14:textId="77777777" w:rsidR="00DE37B1" w:rsidRDefault="00DE37B1" w:rsidP="0057551A">
      <w:pPr>
        <w:snapToGrid w:val="0"/>
        <w:jc w:val="both"/>
        <w:rPr>
          <w:rFonts w:ascii="Times New Roman" w:hAnsi="Times New Roman" w:cs="Times New Roman"/>
          <w:sz w:val="20"/>
          <w:szCs w:val="20"/>
        </w:rPr>
      </w:pPr>
    </w:p>
    <w:p w14:paraId="256E349A"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0FE4B8E9" w14:textId="77777777" w:rsidR="007476B1" w:rsidRDefault="007476B1" w:rsidP="0057551A">
      <w:pPr>
        <w:pStyle w:val="ListParagraph"/>
        <w:numPr>
          <w:ilvl w:val="0"/>
          <w:numId w:val="31"/>
        </w:numPr>
        <w:snapToGrid w:val="0"/>
        <w:spacing w:after="0" w:line="240" w:lineRule="auto"/>
        <w:jc w:val="both"/>
        <w:rPr>
          <w:rFonts w:ascii="Times New Roman" w:hAnsi="Times New Roman"/>
          <w:sz w:val="20"/>
          <w:szCs w:val="20"/>
        </w:rPr>
      </w:pPr>
      <w:r>
        <w:rPr>
          <w:rFonts w:ascii="Times New Roman" w:hAnsi="Times New Roman"/>
          <w:sz w:val="20"/>
          <w:szCs w:val="20"/>
        </w:rPr>
        <w:t>DL large scale QCL properties are inferred from one (qcl-Type1) or two RSs (qcl-Type1 and qcl-Type2) analogous to Rel.15/16</w:t>
      </w:r>
    </w:p>
    <w:p w14:paraId="549688A0" w14:textId="17EBDA60" w:rsidR="007476B1" w:rsidRDefault="006B722C" w:rsidP="0057551A">
      <w:pPr>
        <w:pStyle w:val="ListParagraph"/>
        <w:numPr>
          <w:ilvl w:val="0"/>
          <w:numId w:val="31"/>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one RS of DL QCL Type D </w:t>
      </w:r>
    </w:p>
    <w:p w14:paraId="797BA031" w14:textId="2E0454FE" w:rsidR="00DE37B1" w:rsidRDefault="00DE37B1" w:rsidP="0057551A">
      <w:pPr>
        <w:snapToGrid w:val="0"/>
        <w:jc w:val="both"/>
        <w:rPr>
          <w:rFonts w:ascii="Times New Roman" w:hAnsi="Times New Roman" w:cs="Times New Roman"/>
          <w:sz w:val="20"/>
          <w:szCs w:val="20"/>
        </w:rPr>
      </w:pPr>
    </w:p>
    <w:p w14:paraId="773D5934" w14:textId="77777777" w:rsidR="007476B1" w:rsidRDefault="007476B1" w:rsidP="0057551A">
      <w:pPr>
        <w:snapToGrid w:val="0"/>
        <w:jc w:val="both"/>
        <w:rPr>
          <w:rFonts w:ascii="Times New Roman" w:hAnsi="Times New Roman" w:cs="Times New Roman"/>
          <w:sz w:val="20"/>
          <w:szCs w:val="20"/>
        </w:rPr>
      </w:pPr>
    </w:p>
    <w:p w14:paraId="16BD74A2"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7D303600" w14:textId="43D205E7" w:rsidR="00DE37B1" w:rsidRDefault="00D75400" w:rsidP="0057551A">
      <w:pPr>
        <w:pStyle w:val="ListParagraph"/>
        <w:numPr>
          <w:ilvl w:val="0"/>
          <w:numId w:val="28"/>
        </w:numPr>
        <w:snapToGrid w:val="0"/>
        <w:spacing w:after="0" w:line="240" w:lineRule="auto"/>
        <w:jc w:val="both"/>
      </w:pPr>
      <w:r>
        <w:rPr>
          <w:rFonts w:ascii="Times New Roman" w:hAnsi="Times New Roman"/>
          <w:sz w:val="20"/>
          <w:szCs w:val="20"/>
        </w:rPr>
        <w:t>Alt1. A UE can be dynamically switched between joint DL/UL TCI and separa</w:t>
      </w:r>
      <w:r w:rsidR="00FA0913">
        <w:rPr>
          <w:rFonts w:ascii="Times New Roman" w:hAnsi="Times New Roman"/>
          <w:sz w:val="20"/>
          <w:szCs w:val="20"/>
        </w:rPr>
        <w:t>te DL/</w:t>
      </w:r>
      <w:r>
        <w:rPr>
          <w:rFonts w:ascii="Times New Roman" w:hAnsi="Times New Roman"/>
          <w:sz w:val="20"/>
          <w:szCs w:val="20"/>
        </w:rPr>
        <w:t xml:space="preserve">UL TCI, </w:t>
      </w:r>
      <w:r>
        <w:rPr>
          <w:rFonts w:ascii="Times New Roman" w:eastAsia="DengXian" w:hAnsi="Times New Roman"/>
          <w:bCs/>
          <w:sz w:val="20"/>
          <w:szCs w:val="20"/>
          <w:lang w:eastAsia="ko-KR"/>
        </w:rPr>
        <w:t>if UE is capable of both joint DL/UL TCI and separate DL/UL TCI</w:t>
      </w:r>
      <w:r>
        <w:rPr>
          <w:rFonts w:ascii="Times New Roman" w:hAnsi="Times New Roman"/>
          <w:sz w:val="20"/>
          <w:szCs w:val="20"/>
        </w:rPr>
        <w:t xml:space="preserve">. </w:t>
      </w:r>
    </w:p>
    <w:p w14:paraId="3D94A552" w14:textId="3FB4431C" w:rsidR="00DE37B1" w:rsidRDefault="00D75400" w:rsidP="0057551A">
      <w:pPr>
        <w:pStyle w:val="ListParagraph"/>
        <w:numPr>
          <w:ilvl w:val="1"/>
          <w:numId w:val="28"/>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r w:rsidR="008E45C6">
        <w:rPr>
          <w:rFonts w:ascii="Times New Roman" w:hAnsi="Times New Roman"/>
          <w:sz w:val="20"/>
          <w:szCs w:val="20"/>
        </w:rPr>
        <w:t xml:space="preserve">, e.g. </w:t>
      </w:r>
      <w:r w:rsidR="00AE40EF">
        <w:rPr>
          <w:rFonts w:ascii="Times New Roman" w:hAnsi="Times New Roman"/>
          <w:sz w:val="20"/>
          <w:szCs w:val="20"/>
        </w:rPr>
        <w:t>whether de</w:t>
      </w:r>
      <w:r w:rsidR="009F7B4C">
        <w:rPr>
          <w:rFonts w:ascii="Times New Roman" w:hAnsi="Times New Roman"/>
          <w:sz w:val="20"/>
          <w:szCs w:val="20"/>
        </w:rPr>
        <w:t xml:space="preserve">dicated L1 signaling is needed </w:t>
      </w:r>
      <w:r w:rsidR="00AE40EF">
        <w:rPr>
          <w:rFonts w:ascii="Times New Roman" w:hAnsi="Times New Roman"/>
          <w:sz w:val="20"/>
          <w:szCs w:val="20"/>
        </w:rPr>
        <w:t xml:space="preserve">for </w:t>
      </w:r>
      <w:r w:rsidR="00096B0F">
        <w:rPr>
          <w:rFonts w:ascii="Times New Roman" w:hAnsi="Times New Roman"/>
          <w:sz w:val="20"/>
          <w:szCs w:val="20"/>
        </w:rPr>
        <w:t xml:space="preserve">the </w:t>
      </w:r>
      <w:r w:rsidR="00AE40EF">
        <w:rPr>
          <w:rFonts w:ascii="Times New Roman" w:hAnsi="Times New Roman"/>
          <w:sz w:val="20"/>
          <w:szCs w:val="20"/>
        </w:rPr>
        <w:t>dynamic switching</w:t>
      </w:r>
    </w:p>
    <w:p w14:paraId="0A97166E" w14:textId="77777777" w:rsidR="00DE37B1" w:rsidRDefault="00D75400" w:rsidP="0057551A">
      <w:pPr>
        <w:pStyle w:val="ListParagraph"/>
        <w:numPr>
          <w:ilvl w:val="0"/>
          <w:numId w:val="28"/>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 or separate DL/UL TCI via RRC signaling</w:t>
      </w:r>
    </w:p>
    <w:p w14:paraId="6144330E" w14:textId="77777777" w:rsidR="00DE37B1" w:rsidRDefault="00D75400" w:rsidP="0057551A">
      <w:pPr>
        <w:pStyle w:val="ListParagraph"/>
        <w:numPr>
          <w:ilvl w:val="0"/>
          <w:numId w:val="28"/>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106789AA" w14:textId="77777777" w:rsidR="00DE37B1" w:rsidRDefault="00D75400" w:rsidP="0057551A">
      <w:pPr>
        <w:pStyle w:val="ListParagraph"/>
        <w:numPr>
          <w:ilvl w:val="1"/>
          <w:numId w:val="28"/>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6F18EF9C" w14:textId="34A2C428" w:rsidR="00DE37B1" w:rsidRDefault="00DE37B1" w:rsidP="0057551A">
      <w:pPr>
        <w:snapToGrid w:val="0"/>
        <w:jc w:val="both"/>
        <w:rPr>
          <w:rFonts w:ascii="Times New Roman" w:hAnsi="Times New Roman" w:cs="Times New Roman"/>
          <w:sz w:val="20"/>
          <w:szCs w:val="20"/>
        </w:rPr>
      </w:pPr>
    </w:p>
    <w:p w14:paraId="634BF4B1" w14:textId="77777777" w:rsidR="00E67848" w:rsidRDefault="00E67848" w:rsidP="0057551A">
      <w:pPr>
        <w:snapToGrid w:val="0"/>
        <w:jc w:val="both"/>
        <w:rPr>
          <w:rFonts w:ascii="Times New Roman" w:hAnsi="Times New Roman" w:cs="Times New Roman"/>
          <w:sz w:val="20"/>
          <w:szCs w:val="20"/>
        </w:rPr>
      </w:pPr>
    </w:p>
    <w:p w14:paraId="7E39612A" w14:textId="788A8D58"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48D438F8" w14:textId="701288C1" w:rsidR="00A32426" w:rsidRDefault="004C3DFB" w:rsidP="0057551A">
      <w:pPr>
        <w:pStyle w:val="ListParagraph"/>
        <w:numPr>
          <w:ilvl w:val="0"/>
          <w:numId w:val="87"/>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 TCI also applies to the following:</w:t>
      </w:r>
    </w:p>
    <w:p w14:paraId="121539A5" w14:textId="20507567" w:rsidR="004C3DFB" w:rsidRDefault="004C3DFB" w:rsidP="0057551A">
      <w:pPr>
        <w:pStyle w:val="ListParagraph"/>
        <w:numPr>
          <w:ilvl w:val="1"/>
          <w:numId w:val="87"/>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2BE9CA48" w14:textId="622944AF" w:rsidR="004C3DFB" w:rsidRDefault="004C3DFB" w:rsidP="0057551A">
      <w:pPr>
        <w:pStyle w:val="ListParagraph"/>
        <w:numPr>
          <w:ilvl w:val="1"/>
          <w:numId w:val="87"/>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194B0E52" w14:textId="6A53507D" w:rsidR="004C3DFB" w:rsidRDefault="004C3DFB" w:rsidP="0057551A">
      <w:pPr>
        <w:pStyle w:val="ListParagraph"/>
        <w:numPr>
          <w:ilvl w:val="1"/>
          <w:numId w:val="87"/>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FA8CF8" w14:textId="4201D8F3" w:rsidR="004C3DFB" w:rsidRDefault="004C3DFB" w:rsidP="0057551A">
      <w:pPr>
        <w:pStyle w:val="ListParagraph"/>
        <w:numPr>
          <w:ilvl w:val="0"/>
          <w:numId w:val="87"/>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 TCI also applies to the following</w:t>
      </w:r>
      <w:r>
        <w:rPr>
          <w:rFonts w:ascii="Times New Roman" w:hAnsi="Times New Roman"/>
          <w:sz w:val="20"/>
          <w:szCs w:val="20"/>
        </w:rPr>
        <w:t>:</w:t>
      </w:r>
    </w:p>
    <w:p w14:paraId="5BECB61F" w14:textId="44CF5CF9" w:rsidR="003E6CE4" w:rsidRPr="004C3DFB" w:rsidRDefault="003E6CE4" w:rsidP="0057551A">
      <w:pPr>
        <w:pStyle w:val="ListParagraph"/>
        <w:numPr>
          <w:ilvl w:val="1"/>
          <w:numId w:val="87"/>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1210C67D" w14:textId="73F7130C" w:rsidR="00A32426" w:rsidRDefault="00A32426" w:rsidP="0057551A">
      <w:pPr>
        <w:snapToGrid w:val="0"/>
        <w:jc w:val="both"/>
        <w:rPr>
          <w:rFonts w:ascii="Times New Roman" w:hAnsi="Times New Roman" w:cs="Times New Roman"/>
          <w:sz w:val="20"/>
          <w:szCs w:val="20"/>
        </w:rPr>
      </w:pPr>
    </w:p>
    <w:p w14:paraId="68A2B103" w14:textId="77777777" w:rsidR="00E67848" w:rsidRDefault="00E67848" w:rsidP="0057551A">
      <w:pPr>
        <w:snapToGrid w:val="0"/>
        <w:jc w:val="both"/>
        <w:rPr>
          <w:rFonts w:ascii="Times New Roman" w:hAnsi="Times New Roman" w:cs="Times New Roman"/>
          <w:sz w:val="20"/>
          <w:szCs w:val="20"/>
        </w:rPr>
      </w:pPr>
    </w:p>
    <w:p w14:paraId="6EDC38E1" w14:textId="173A3424"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28330745" w14:textId="77777777" w:rsidR="00BE50BF" w:rsidRDefault="00BE50BF" w:rsidP="0057551A">
      <w:pPr>
        <w:pStyle w:val="ListParagraph"/>
        <w:numPr>
          <w:ilvl w:val="0"/>
          <w:numId w:val="88"/>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reuse Rel-16 PL-RS framework</w:t>
      </w:r>
    </w:p>
    <w:p w14:paraId="36E61D64" w14:textId="5AC9623C" w:rsidR="003E6CE4" w:rsidRDefault="003E6CE4" w:rsidP="0057551A">
      <w:pPr>
        <w:pStyle w:val="ListParagraph"/>
        <w:numPr>
          <w:ilvl w:val="0"/>
          <w:numId w:val="88"/>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w:t>
      </w:r>
      <w:r w:rsidR="00BE50BF">
        <w:rPr>
          <w:rFonts w:ascii="Times New Roman" w:hAnsi="Times New Roman"/>
          <w:sz w:val="20"/>
          <w:szCs w:val="20"/>
        </w:rPr>
        <w:t>in the</w:t>
      </w:r>
      <w:r>
        <w:rPr>
          <w:rFonts w:ascii="Times New Roman" w:hAnsi="Times New Roman"/>
          <w:sz w:val="20"/>
          <w:szCs w:val="20"/>
        </w:rPr>
        <w:t xml:space="preserve"> UL 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7F64FDF2" w14:textId="314D85A9" w:rsidR="0095083B" w:rsidRDefault="00FA16D8" w:rsidP="0057551A">
      <w:pPr>
        <w:pStyle w:val="ListParagraph"/>
        <w:numPr>
          <w:ilvl w:val="1"/>
          <w:numId w:val="88"/>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included in UL TCI state</w:t>
      </w:r>
    </w:p>
    <w:p w14:paraId="72CF59DC" w14:textId="15709C7C" w:rsidR="0095083B" w:rsidRDefault="00FA16D8" w:rsidP="0057551A">
      <w:pPr>
        <w:pStyle w:val="ListParagraph"/>
        <w:numPr>
          <w:ilvl w:val="1"/>
          <w:numId w:val="88"/>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is associated with (but not included in) UL TCI state</w:t>
      </w:r>
    </w:p>
    <w:p w14:paraId="3677D94F" w14:textId="4FC64DE5" w:rsidR="00BE50BF" w:rsidRDefault="00BE50BF" w:rsidP="0057551A">
      <w:pPr>
        <w:snapToGrid w:val="0"/>
        <w:jc w:val="both"/>
        <w:rPr>
          <w:rFonts w:ascii="Times New Roman" w:hAnsi="Times New Roman"/>
          <w:b/>
          <w:sz w:val="20"/>
          <w:szCs w:val="20"/>
          <w:u w:val="single"/>
        </w:rPr>
      </w:pPr>
    </w:p>
    <w:p w14:paraId="05A731AC" w14:textId="77777777" w:rsidR="0057551A" w:rsidRDefault="0057551A" w:rsidP="0057551A">
      <w:pPr>
        <w:snapToGrid w:val="0"/>
        <w:jc w:val="both"/>
        <w:rPr>
          <w:rFonts w:ascii="Times New Roman" w:hAnsi="Times New Roman"/>
          <w:b/>
          <w:sz w:val="20"/>
          <w:szCs w:val="20"/>
          <w:u w:val="single"/>
        </w:rPr>
      </w:pPr>
    </w:p>
    <w:p w14:paraId="094659E0"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On 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7C1209DE" w14:textId="40F189A6" w:rsidR="00FA16D8" w:rsidRDefault="00FA16D8" w:rsidP="0057551A">
      <w:pPr>
        <w:pStyle w:val="ListParagraph"/>
        <w:numPr>
          <w:ilvl w:val="0"/>
          <w:numId w:val="89"/>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UL PC parameters 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p>
    <w:p w14:paraId="74161231" w14:textId="03ABB7BE" w:rsidR="003E6CE4" w:rsidRDefault="00FA16D8" w:rsidP="0057551A">
      <w:pPr>
        <w:pStyle w:val="ListParagraph"/>
        <w:numPr>
          <w:ilvl w:val="0"/>
          <w:numId w:val="89"/>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143E91A6" w14:textId="4EC183A1" w:rsidR="00FA16D8" w:rsidRDefault="00FA16D8" w:rsidP="0057551A">
      <w:pPr>
        <w:pStyle w:val="ListParagraph"/>
        <w:numPr>
          <w:ilvl w:val="1"/>
          <w:numId w:val="89"/>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w:t>
      </w:r>
    </w:p>
    <w:p w14:paraId="6DB4A34D" w14:textId="787ADA7B" w:rsidR="00FA16D8" w:rsidRPr="00FA16D8" w:rsidRDefault="00FA16D8" w:rsidP="0057551A">
      <w:pPr>
        <w:pStyle w:val="ListParagraph"/>
        <w:numPr>
          <w:ilvl w:val="1"/>
          <w:numId w:val="89"/>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w:t>
      </w:r>
    </w:p>
    <w:p w14:paraId="3FA30F60" w14:textId="11A7070E" w:rsidR="00DE37B1" w:rsidRDefault="00DE37B1" w:rsidP="0057551A">
      <w:pPr>
        <w:snapToGrid w:val="0"/>
        <w:jc w:val="both"/>
        <w:rPr>
          <w:rFonts w:ascii="Times New Roman" w:hAnsi="Times New Roman" w:cs="Times New Roman"/>
          <w:sz w:val="20"/>
          <w:szCs w:val="20"/>
        </w:rPr>
      </w:pPr>
    </w:p>
    <w:p w14:paraId="6D91B7BB" w14:textId="77777777" w:rsidR="00DE37B1" w:rsidRDefault="00DE37B1" w:rsidP="0057551A">
      <w:pPr>
        <w:snapToGrid w:val="0"/>
        <w:jc w:val="both"/>
        <w:rPr>
          <w:rFonts w:ascii="Times New Roman" w:hAnsi="Times New Roman" w:cs="Times New Roman"/>
          <w:sz w:val="20"/>
          <w:szCs w:val="20"/>
        </w:rPr>
      </w:pPr>
    </w:p>
    <w:p w14:paraId="0A426351" w14:textId="60D8FE70"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D64B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260971A9"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C1D74" w14:textId="4412E488"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640B6CF7" w14:textId="77777777" w:rsidR="00B124D3" w:rsidRPr="00B37D4D" w:rsidRDefault="00B124D3" w:rsidP="00B37D4D">
            <w:pPr>
              <w:numPr>
                <w:ilvl w:val="0"/>
                <w:numId w:val="79"/>
              </w:numPr>
              <w:snapToGrid w:val="0"/>
              <w:jc w:val="both"/>
              <w:rPr>
                <w:i/>
                <w:sz w:val="20"/>
              </w:rPr>
            </w:pPr>
            <w:r w:rsidRPr="00B37D4D">
              <w:rPr>
                <w:rFonts w:ascii="Times" w:eastAsia="Batang" w:hAnsi="Times" w:cs="Times"/>
                <w:i/>
                <w:sz w:val="16"/>
                <w:szCs w:val="24"/>
                <w:lang w:val="en-GB" w:eastAsia="zh-CN"/>
              </w:rPr>
              <w:t>For the separate UL TCI:</w:t>
            </w:r>
          </w:p>
          <w:p w14:paraId="25602A21" w14:textId="77777777" w:rsidR="00B124D3" w:rsidRPr="00B37D4D" w:rsidRDefault="00B124D3" w:rsidP="00B37D4D">
            <w:pPr>
              <w:numPr>
                <w:ilvl w:val="1"/>
                <w:numId w:val="79"/>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53D0B21" w14:textId="77777777" w:rsidR="00B124D3" w:rsidRPr="00B37D4D" w:rsidRDefault="00B124D3" w:rsidP="00B37D4D">
            <w:pPr>
              <w:numPr>
                <w:ilvl w:val="1"/>
                <w:numId w:val="79"/>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3E27038C" w14:textId="7FC04872"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612C4237" w14:textId="522806BE"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03A93D5C"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2DD0BC07" w14:textId="77777777" w:rsidR="00B37D4D" w:rsidRPr="00B37D4D" w:rsidRDefault="00B37D4D" w:rsidP="00B37D4D">
            <w:pPr>
              <w:pStyle w:val="ListParagraph"/>
              <w:numPr>
                <w:ilvl w:val="0"/>
                <w:numId w:val="94"/>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14:paraId="53F23974" w14:textId="77777777" w:rsidR="00B37D4D" w:rsidRPr="00B37D4D" w:rsidRDefault="00B37D4D" w:rsidP="00B37D4D">
            <w:pPr>
              <w:pStyle w:val="ListParagraph"/>
              <w:numPr>
                <w:ilvl w:val="1"/>
                <w:numId w:val="94"/>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14:paraId="7EFF1A94" w14:textId="66AE9E0D" w:rsidR="00B37D4D" w:rsidRPr="00800B4E" w:rsidRDefault="00B37D4D" w:rsidP="00B37D4D">
            <w:pPr>
              <w:pStyle w:val="ListParagraph"/>
              <w:numPr>
                <w:ilvl w:val="1"/>
                <w:numId w:val="94"/>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4D70EC27" w14:textId="56A60F13" w:rsidR="00B124D3" w:rsidRDefault="00B124D3" w:rsidP="007922D2">
            <w:pPr>
              <w:snapToGrid w:val="0"/>
              <w:rPr>
                <w:rFonts w:ascii="Times New Roman" w:hAnsi="Times New Roman" w:cs="Times New Roman"/>
                <w:sz w:val="18"/>
                <w:szCs w:val="18"/>
                <w:lang w:val="en-GB"/>
              </w:rPr>
            </w:pPr>
            <w:bookmarkStart w:id="2" w:name="_GoBack"/>
            <w:bookmarkEnd w:id="2"/>
          </w:p>
          <w:p w14:paraId="23D601AF" w14:textId="5460ED45"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250E666A" w14:textId="347BC15B" w:rsidR="00516EBE" w:rsidRDefault="00516EBE" w:rsidP="007922D2">
            <w:pPr>
              <w:snapToGrid w:val="0"/>
              <w:rPr>
                <w:rFonts w:ascii="Times New Roman" w:hAnsi="Times New Roman" w:cs="Times New Roman"/>
                <w:sz w:val="18"/>
                <w:szCs w:val="18"/>
                <w:lang w:val="en-GB"/>
              </w:rPr>
            </w:pPr>
          </w:p>
          <w:p w14:paraId="0AB59987" w14:textId="3CDC12A6"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1492FDD7" w14:textId="6620DFBE" w:rsidR="003E6CE4" w:rsidRDefault="003E6CE4" w:rsidP="007922D2">
            <w:pPr>
              <w:snapToGrid w:val="0"/>
              <w:rPr>
                <w:rFonts w:ascii="Times New Roman" w:hAnsi="Times New Roman" w:cs="Times New Roman"/>
                <w:sz w:val="18"/>
                <w:szCs w:val="18"/>
                <w:lang w:val="en-GB"/>
              </w:rPr>
            </w:pPr>
          </w:p>
          <w:p w14:paraId="4A37FC49" w14:textId="5D14B889"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462270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7D11F848" w:rsidR="00DE37B1" w:rsidRDefault="00DE37B1">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7EBEB" w14:textId="77FB41A3" w:rsidR="00DE37B1" w:rsidRDefault="00DE37B1">
            <w:pPr>
              <w:snapToGrid w:val="0"/>
              <w:rPr>
                <w:rFonts w:ascii="Times New Roman" w:eastAsia="DengXian" w:hAnsi="Times New Roman" w:cs="Times New Roman"/>
                <w:sz w:val="18"/>
                <w:szCs w:val="18"/>
                <w:lang w:eastAsia="zh-CN"/>
              </w:rPr>
            </w:pPr>
          </w:p>
        </w:tc>
      </w:tr>
      <w:tr w:rsidR="00DE37B1" w14:paraId="68B6CD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78F7804A" w:rsidR="00DE37B1" w:rsidRDefault="00DE37B1">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C74" w14:textId="356EDBEA" w:rsidR="00DE37B1" w:rsidRDefault="00DE37B1">
            <w:pPr>
              <w:snapToGrid w:val="0"/>
              <w:rPr>
                <w:rFonts w:ascii="Times New Roman" w:hAnsi="Times New Roman" w:cs="Times New Roman"/>
                <w:sz w:val="18"/>
              </w:rPr>
            </w:pPr>
          </w:p>
        </w:tc>
      </w:tr>
      <w:tr w:rsidR="00DE37B1" w14:paraId="3C8562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36A6FFDA" w:rsidR="00DE37B1" w:rsidRDefault="00DE37B1">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A0097" w14:textId="4A018062" w:rsidR="00DE37B1" w:rsidRDefault="00DE37B1">
            <w:pPr>
              <w:snapToGrid w:val="0"/>
              <w:rPr>
                <w:rFonts w:ascii="Times New Roman" w:eastAsia="DengXian" w:hAnsi="Times New Roman" w:cs="Times New Roman"/>
                <w:sz w:val="18"/>
                <w:szCs w:val="18"/>
                <w:lang w:eastAsia="zh-CN"/>
              </w:rPr>
            </w:pPr>
          </w:p>
        </w:tc>
      </w:tr>
      <w:tr w:rsidR="00DE37B1" w14:paraId="606260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9992" w14:textId="58ADA397" w:rsidR="00DE37B1" w:rsidRDefault="00DE37B1">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3AE6" w14:textId="6333E38E" w:rsidR="00DE37B1" w:rsidRDefault="00DE37B1">
            <w:pPr>
              <w:snapToGrid w:val="0"/>
              <w:rPr>
                <w:rFonts w:ascii="Times New Roman" w:eastAsia="DengXian" w:hAnsi="Times New Roman" w:cs="Times New Roman"/>
                <w:sz w:val="18"/>
                <w:szCs w:val="18"/>
                <w:lang w:eastAsia="zh-CN"/>
              </w:rPr>
            </w:pPr>
          </w:p>
        </w:tc>
      </w:tr>
      <w:tr w:rsidR="00DE37B1" w14:paraId="43F77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9026" w14:textId="28F8552B" w:rsidR="00DE37B1" w:rsidRDefault="00DE37B1">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DA38" w14:textId="1869AC01" w:rsidR="00DE37B1" w:rsidRDefault="00DE37B1">
            <w:pPr>
              <w:snapToGrid w:val="0"/>
              <w:rPr>
                <w:rFonts w:ascii="Times New Roman" w:eastAsia="DengXian" w:hAnsi="Times New Roman" w:cs="Times New Roman"/>
                <w:sz w:val="18"/>
                <w:szCs w:val="18"/>
                <w:lang w:eastAsia="zh-CN"/>
              </w:rPr>
            </w:pPr>
          </w:p>
        </w:tc>
      </w:tr>
      <w:tr w:rsidR="00DE37B1" w14:paraId="55E311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F681" w14:textId="361EF4AB" w:rsidR="00DE37B1" w:rsidRDefault="00DE37B1">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F4767" w14:textId="59E80BF1" w:rsidR="005B73C8" w:rsidRPr="005B73C8" w:rsidRDefault="005B73C8" w:rsidP="005B73C8">
            <w:pPr>
              <w:snapToGrid w:val="0"/>
              <w:jc w:val="both"/>
              <w:rPr>
                <w:rFonts w:ascii="Times New Roman" w:eastAsia="DengXian" w:hAnsi="Times New Roman"/>
                <w:sz w:val="18"/>
                <w:szCs w:val="18"/>
                <w:lang w:eastAsia="zh-CN"/>
              </w:rPr>
            </w:pPr>
          </w:p>
        </w:tc>
      </w:tr>
      <w:tr w:rsidR="00C44EF8" w14:paraId="7D5D2B3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B3EB" w14:textId="5C9D0EF9" w:rsidR="00C44EF8" w:rsidRDefault="00C44EF8" w:rsidP="00C44EF8">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63787" w14:textId="77777777" w:rsidR="00C44EF8" w:rsidRDefault="00C44EF8" w:rsidP="00C44EF8">
            <w:pPr>
              <w:snapToGrid w:val="0"/>
              <w:rPr>
                <w:rFonts w:ascii="Times New Roman" w:eastAsia="DengXian" w:hAnsi="Times New Roman" w:cs="Times New Roman"/>
                <w:sz w:val="18"/>
                <w:szCs w:val="18"/>
                <w:lang w:eastAsia="zh-CN"/>
              </w:rPr>
            </w:pPr>
          </w:p>
        </w:tc>
      </w:tr>
      <w:tr w:rsidR="000D6660" w14:paraId="38BF3A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6A0F" w14:textId="0DD6F6E5" w:rsidR="000D6660" w:rsidRPr="000D6660" w:rsidRDefault="000D6660" w:rsidP="00C44EF8">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EBE81" w14:textId="105451E8" w:rsidR="005B73C8" w:rsidRDefault="005B73C8" w:rsidP="005B73C8">
            <w:pPr>
              <w:snapToGrid w:val="0"/>
              <w:rPr>
                <w:rFonts w:ascii="Times New Roman" w:eastAsia="DengXian" w:hAnsi="Times New Roman" w:cs="Times New Roman"/>
                <w:sz w:val="18"/>
                <w:szCs w:val="18"/>
                <w:lang w:eastAsia="zh-CN"/>
              </w:rPr>
            </w:pPr>
          </w:p>
        </w:tc>
      </w:tr>
    </w:tbl>
    <w:p w14:paraId="03115F37" w14:textId="77777777" w:rsidR="00DE37B1" w:rsidRDefault="00DE37B1">
      <w:pPr>
        <w:snapToGrid w:val="0"/>
        <w:spacing w:after="120" w:line="288" w:lineRule="auto"/>
        <w:jc w:val="both"/>
        <w:rPr>
          <w:rFonts w:ascii="Times New Roman" w:hAnsi="Times New Roman" w:cs="Times New Roman"/>
          <w:sz w:val="20"/>
          <w:szCs w:val="20"/>
        </w:rPr>
      </w:pPr>
    </w:p>
    <w:p w14:paraId="4C7E6565" w14:textId="77777777" w:rsidR="00DE37B1" w:rsidRDefault="00D75400">
      <w:pPr>
        <w:pStyle w:val="Heading3"/>
        <w:numPr>
          <w:ilvl w:val="1"/>
          <w:numId w:val="14"/>
        </w:numPr>
      </w:pPr>
      <w:r>
        <w:t>Issue 2 (L1/L2-centric inter-cell mobility)</w:t>
      </w:r>
    </w:p>
    <w:p w14:paraId="2E892DE4" w14:textId="32CB4FB3" w:rsidR="00DE37B1" w:rsidRPr="000D6660" w:rsidRDefault="00DE37B1">
      <w:pPr>
        <w:snapToGrid w:val="0"/>
        <w:rPr>
          <w:lang w:val="fi-FI"/>
        </w:rPr>
      </w:pPr>
    </w:p>
    <w:p w14:paraId="6E5EC55A" w14:textId="77777777" w:rsidR="007476B1" w:rsidRPr="00F7436B" w:rsidRDefault="00D75400" w:rsidP="007476B1">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w:t>
      </w:r>
      <w:r w:rsidR="007476B1" w:rsidRPr="00F7436B">
        <w:rPr>
          <w:rFonts w:ascii="Times New Roman" w:hAnsi="Times New Roman" w:cs="Times New Roman"/>
          <w:sz w:val="20"/>
          <w:szCs w:val="20"/>
        </w:rPr>
        <w:t>L2-centric inter-cell mobility:</w:t>
      </w:r>
    </w:p>
    <w:p w14:paraId="5FB25D5E" w14:textId="47CBD6D6" w:rsidR="00DE37B1" w:rsidRPr="00F7436B" w:rsidRDefault="007476B1" w:rsidP="007476B1">
      <w:pPr>
        <w:pStyle w:val="ListParagraph"/>
        <w:numPr>
          <w:ilvl w:val="0"/>
          <w:numId w:val="86"/>
        </w:numPr>
        <w:snapToGrid w:val="0"/>
        <w:spacing w:after="0" w:line="240" w:lineRule="auto"/>
        <w:jc w:val="both"/>
        <w:rPr>
          <w:rFonts w:ascii="Times New Roman" w:hAnsi="Times New Roman"/>
          <w:sz w:val="20"/>
          <w:szCs w:val="20"/>
        </w:rPr>
      </w:pPr>
      <w:r w:rsidRPr="00F7436B">
        <w:rPr>
          <w:rFonts w:ascii="Times New Roman" w:hAnsi="Times New Roman"/>
          <w:sz w:val="20"/>
          <w:szCs w:val="20"/>
        </w:rPr>
        <w:t>I</w:t>
      </w:r>
      <w:r w:rsidR="00D75400" w:rsidRPr="00F7436B">
        <w:rPr>
          <w:rFonts w:ascii="Times New Roman" w:hAnsi="Times New Roman"/>
          <w:sz w:val="20"/>
          <w:szCs w:val="20"/>
        </w:rPr>
        <w:t>ntra-DU only is assumed</w:t>
      </w:r>
      <w:r w:rsidRPr="00F7436B">
        <w:rPr>
          <w:rFonts w:ascii="Times New Roman" w:hAnsi="Times New Roman"/>
          <w:sz w:val="20"/>
          <w:szCs w:val="20"/>
        </w:rPr>
        <w:t xml:space="preserve"> (i.e. no inter-DU)</w:t>
      </w:r>
    </w:p>
    <w:p w14:paraId="71FDAEF9" w14:textId="23736B8D" w:rsidR="007476B1" w:rsidRPr="00F7436B" w:rsidRDefault="007476B1" w:rsidP="007476B1">
      <w:pPr>
        <w:pStyle w:val="ListParagraph"/>
        <w:numPr>
          <w:ilvl w:val="0"/>
          <w:numId w:val="86"/>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sidR="00BA30F2">
        <w:rPr>
          <w:rFonts w:ascii="Times New Roman" w:hAnsi="Times New Roman"/>
          <w:sz w:val="20"/>
          <w:szCs w:val="20"/>
        </w:rPr>
        <w:t xml:space="preserve"> (</w:t>
      </w:r>
      <w:r w:rsidR="00395214">
        <w:rPr>
          <w:rFonts w:ascii="Times New Roman" w:hAnsi="Times New Roman"/>
          <w:sz w:val="20"/>
          <w:szCs w:val="20"/>
        </w:rPr>
        <w:t xml:space="preserve">FL to </w:t>
      </w:r>
      <w:r w:rsidR="00BA30F2">
        <w:rPr>
          <w:rFonts w:ascii="Times New Roman" w:hAnsi="Times New Roman"/>
          <w:sz w:val="20"/>
          <w:szCs w:val="20"/>
        </w:rPr>
        <w:t>send an LS to RAN2 when the time comes)</w:t>
      </w:r>
      <w:r w:rsidRPr="00F7436B">
        <w:rPr>
          <w:rFonts w:ascii="Times New Roman" w:hAnsi="Times New Roman"/>
          <w:sz w:val="20"/>
          <w:szCs w:val="20"/>
        </w:rPr>
        <w:t xml:space="preserve">: </w:t>
      </w:r>
    </w:p>
    <w:p w14:paraId="5C7257C8" w14:textId="6536E54D" w:rsidR="007476B1" w:rsidRPr="00F7436B" w:rsidRDefault="007476B1" w:rsidP="007476B1">
      <w:pPr>
        <w:pStyle w:val="ListParagraph"/>
        <w:numPr>
          <w:ilvl w:val="1"/>
          <w:numId w:val="86"/>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607B09D" w14:textId="434B5C62" w:rsidR="007476B1" w:rsidRPr="00F7436B" w:rsidRDefault="007476B1" w:rsidP="007476B1">
      <w:pPr>
        <w:pStyle w:val="ListParagraph"/>
        <w:numPr>
          <w:ilvl w:val="1"/>
          <w:numId w:val="86"/>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7D59A69C" w14:textId="2947514C" w:rsidR="007476B1" w:rsidRPr="00F7436B" w:rsidRDefault="007476B1" w:rsidP="007476B1">
      <w:pPr>
        <w:pStyle w:val="ListParagraph"/>
        <w:numPr>
          <w:ilvl w:val="1"/>
          <w:numId w:val="86"/>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58B4BB4F" w14:textId="31FC7C63" w:rsidR="00DE37B1" w:rsidRPr="00F7436B" w:rsidRDefault="00DE37B1" w:rsidP="007476B1">
      <w:pPr>
        <w:snapToGrid w:val="0"/>
        <w:jc w:val="both"/>
        <w:rPr>
          <w:rFonts w:ascii="Times New Roman" w:hAnsi="Times New Roman" w:cs="Times New Roman"/>
          <w:sz w:val="20"/>
          <w:szCs w:val="20"/>
        </w:rPr>
      </w:pPr>
    </w:p>
    <w:p w14:paraId="3E3CA879" w14:textId="77777777" w:rsidR="00CD5653" w:rsidRPr="00F7436B" w:rsidRDefault="00CD5653" w:rsidP="007476B1">
      <w:pPr>
        <w:snapToGrid w:val="0"/>
        <w:jc w:val="both"/>
        <w:rPr>
          <w:rFonts w:ascii="Times New Roman" w:hAnsi="Times New Roman" w:cs="Times New Roman"/>
          <w:sz w:val="20"/>
          <w:szCs w:val="20"/>
        </w:rPr>
      </w:pPr>
    </w:p>
    <w:p w14:paraId="2882AF93" w14:textId="77777777"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38966721" w14:textId="27306423" w:rsidR="00DE37B1" w:rsidRDefault="00F7436B" w:rsidP="007476B1">
      <w:pPr>
        <w:pStyle w:val="ListParagraph"/>
        <w:numPr>
          <w:ilvl w:val="0"/>
          <w:numId w:val="46"/>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14:paraId="7CFF36D3" w14:textId="77777777" w:rsidR="00DE37B1" w:rsidRDefault="00D75400" w:rsidP="007476B1">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65E734AF" w14:textId="77777777" w:rsidR="00DE37B1" w:rsidRDefault="00D75400" w:rsidP="007476B1">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1DD1D79" w14:textId="77777777" w:rsidR="00DE37B1" w:rsidRDefault="00D75400" w:rsidP="007476B1">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4AC0AD7B" w14:textId="77777777" w:rsidR="00DE37B1" w:rsidRDefault="00D75400" w:rsidP="007476B1">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5CCC31B5" w14:textId="77777777" w:rsidR="00DE37B1" w:rsidRDefault="00D75400" w:rsidP="007476B1">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FFS: Activation/deactivation for the CSI-reportConfig</w:t>
      </w:r>
    </w:p>
    <w:p w14:paraId="209BC76B" w14:textId="77777777" w:rsidR="00DE37B1" w:rsidRDefault="00D75400" w:rsidP="007476B1">
      <w:pPr>
        <w:pStyle w:val="ListParagraph"/>
        <w:numPr>
          <w:ilvl w:val="0"/>
          <w:numId w:val="46"/>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133E2579" w14:textId="77777777" w:rsidR="00DE37B1" w:rsidRDefault="00DE37B1" w:rsidP="007476B1">
      <w:pPr>
        <w:snapToGrid w:val="0"/>
        <w:jc w:val="both"/>
        <w:rPr>
          <w:rFonts w:ascii="Times New Roman" w:hAnsi="Times New Roman" w:cs="Times New Roman"/>
          <w:sz w:val="20"/>
          <w:szCs w:val="20"/>
        </w:rPr>
      </w:pPr>
    </w:p>
    <w:p w14:paraId="52303F04" w14:textId="77777777" w:rsidR="00DE37B1" w:rsidRDefault="00DE37B1" w:rsidP="007476B1">
      <w:pPr>
        <w:snapToGrid w:val="0"/>
        <w:jc w:val="both"/>
        <w:rPr>
          <w:rFonts w:ascii="Times New Roman" w:hAnsi="Times New Roman" w:cs="Times New Roman"/>
          <w:sz w:val="20"/>
          <w:szCs w:val="20"/>
        </w:rPr>
      </w:pPr>
    </w:p>
    <w:p w14:paraId="1FEE4ECD" w14:textId="2D2573B9"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75126D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4BF749A6"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EA2F3" w14:textId="3CBD52B5"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14:paraId="5D8F379A" w14:textId="1B112B49" w:rsidR="00A1076B" w:rsidRPr="00BE0897" w:rsidRDefault="00BE0897" w:rsidP="00213008">
            <w:pPr>
              <w:pStyle w:val="ListParagraph"/>
              <w:numPr>
                <w:ilvl w:val="0"/>
                <w:numId w:val="90"/>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Implication: RAN1 can focus on completing measurement/reporting and QCL issues</w:t>
            </w:r>
          </w:p>
          <w:p w14:paraId="5E68C9CC" w14:textId="690E1D84"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14:paraId="5F289E3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326A" w14:textId="03818A71" w:rsidR="00DE37B1" w:rsidRPr="00213008" w:rsidRDefault="00DE37B1" w:rsidP="00213008">
            <w:pPr>
              <w:snapToGrid w:val="0"/>
              <w:rPr>
                <w:rFonts w:ascii="Times New Roman" w:hAnsi="Times New Roman" w:cs="Times New Roman"/>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EF422" w14:textId="16819017" w:rsidR="00DE37B1" w:rsidRPr="00213008" w:rsidRDefault="00DE37B1" w:rsidP="00213008">
            <w:pPr>
              <w:snapToGrid w:val="0"/>
              <w:rPr>
                <w:sz w:val="18"/>
                <w:szCs w:val="18"/>
              </w:rPr>
            </w:pPr>
          </w:p>
        </w:tc>
      </w:tr>
      <w:tr w:rsidR="00DE37B1" w14:paraId="5E96F8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39A3" w14:textId="3307120C"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1E8A6" w14:textId="1BA8BA7D" w:rsidR="00DE37B1" w:rsidRPr="00213008" w:rsidRDefault="00DE37B1" w:rsidP="00213008">
            <w:pPr>
              <w:snapToGrid w:val="0"/>
              <w:rPr>
                <w:sz w:val="18"/>
                <w:szCs w:val="18"/>
              </w:rPr>
            </w:pPr>
          </w:p>
        </w:tc>
      </w:tr>
      <w:tr w:rsidR="00DE37B1" w14:paraId="75F2D3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4F558F11"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6F35C" w14:textId="314C1886" w:rsidR="00DE37B1" w:rsidRPr="00213008" w:rsidRDefault="00DE37B1" w:rsidP="00213008">
            <w:pPr>
              <w:snapToGrid w:val="0"/>
              <w:rPr>
                <w:rFonts w:ascii="Times New Roman" w:eastAsia="SimSun" w:hAnsi="Times New Roman" w:cs="Times New Roman"/>
                <w:sz w:val="18"/>
                <w:szCs w:val="18"/>
                <w:lang w:eastAsia="zh-CN"/>
              </w:rPr>
            </w:pPr>
          </w:p>
        </w:tc>
      </w:tr>
      <w:tr w:rsidR="00DE37B1" w14:paraId="3CD9196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5E280485"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9DAF" w14:textId="205E5678" w:rsidR="00DE37B1" w:rsidRPr="00213008" w:rsidRDefault="00DE37B1" w:rsidP="00213008">
            <w:pPr>
              <w:snapToGrid w:val="0"/>
              <w:rPr>
                <w:rFonts w:ascii="Times New Roman" w:eastAsia="SimSun" w:hAnsi="Times New Roman" w:cs="Times New Roman"/>
                <w:sz w:val="18"/>
                <w:szCs w:val="18"/>
                <w:lang w:eastAsia="zh-CN"/>
              </w:rPr>
            </w:pPr>
          </w:p>
        </w:tc>
      </w:tr>
      <w:tr w:rsidR="00DE37B1" w14:paraId="040F11A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E55A" w14:textId="4BB971C9"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B9279" w14:textId="404254BB" w:rsidR="00DE37B1" w:rsidRPr="00213008" w:rsidRDefault="00DE37B1" w:rsidP="00213008">
            <w:pPr>
              <w:snapToGrid w:val="0"/>
              <w:jc w:val="both"/>
              <w:rPr>
                <w:sz w:val="18"/>
                <w:szCs w:val="18"/>
              </w:rPr>
            </w:pPr>
          </w:p>
        </w:tc>
      </w:tr>
      <w:tr w:rsidR="00DE37B1" w14:paraId="7583A28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606C" w14:textId="05366AE5"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3F0A3" w14:textId="244EFC6B" w:rsidR="00DE37B1" w:rsidRPr="00213008" w:rsidRDefault="00DE37B1" w:rsidP="00213008">
            <w:pPr>
              <w:snapToGrid w:val="0"/>
              <w:jc w:val="both"/>
              <w:rPr>
                <w:sz w:val="18"/>
                <w:szCs w:val="18"/>
              </w:rPr>
            </w:pPr>
          </w:p>
        </w:tc>
      </w:tr>
      <w:tr w:rsidR="00DE37B1" w14:paraId="22B57C7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5AD3" w14:textId="4D10BF59" w:rsidR="00DE37B1" w:rsidRPr="00213008" w:rsidRDefault="00DE37B1" w:rsidP="00213008">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03246" w14:textId="13AF7463" w:rsidR="00DE37B1" w:rsidRPr="00213008" w:rsidRDefault="00DE37B1" w:rsidP="00213008">
            <w:pPr>
              <w:snapToGrid w:val="0"/>
              <w:jc w:val="both"/>
              <w:rPr>
                <w:rFonts w:ascii="Times New Roman" w:hAnsi="Times New Roman" w:cs="Times New Roman"/>
                <w:sz w:val="18"/>
                <w:szCs w:val="18"/>
              </w:rPr>
            </w:pPr>
          </w:p>
        </w:tc>
      </w:tr>
      <w:tr w:rsidR="00DE37B1" w14:paraId="1C06D5C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0E04" w14:textId="55E07689"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CD7FD" w14:textId="0AC58087" w:rsidR="00DE37B1" w:rsidRPr="00213008" w:rsidRDefault="00DE37B1" w:rsidP="00213008">
            <w:pPr>
              <w:snapToGrid w:val="0"/>
              <w:rPr>
                <w:sz w:val="18"/>
                <w:szCs w:val="18"/>
              </w:rPr>
            </w:pPr>
          </w:p>
        </w:tc>
      </w:tr>
      <w:tr w:rsidR="00DE37B1" w14:paraId="11DDCFF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4CF1" w14:textId="1A4CC69A"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A752B" w14:textId="1F304827" w:rsidR="00DE37B1" w:rsidRPr="00213008" w:rsidRDefault="00DE37B1" w:rsidP="00213008">
            <w:pPr>
              <w:snapToGrid w:val="0"/>
              <w:jc w:val="both"/>
              <w:rPr>
                <w:rFonts w:ascii="Times New Roman" w:hAnsi="Times New Roman" w:cs="Times New Roman"/>
                <w:sz w:val="18"/>
                <w:szCs w:val="18"/>
              </w:rPr>
            </w:pPr>
          </w:p>
        </w:tc>
      </w:tr>
      <w:tr w:rsidR="00DE37B1" w14:paraId="1322A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0B677" w14:textId="596010C3"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F92B" w14:textId="0E6BD1E6" w:rsidR="00DE37B1" w:rsidRPr="00213008" w:rsidRDefault="00DE37B1" w:rsidP="00213008">
            <w:pPr>
              <w:snapToGrid w:val="0"/>
              <w:jc w:val="both"/>
              <w:rPr>
                <w:rFonts w:ascii="Times New Roman" w:hAnsi="Times New Roman" w:cs="Times New Roman"/>
                <w:sz w:val="18"/>
                <w:szCs w:val="18"/>
              </w:rPr>
            </w:pPr>
          </w:p>
        </w:tc>
      </w:tr>
      <w:tr w:rsidR="00DE37B1" w14:paraId="7AADA6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8407C" w14:textId="1596F67F"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E8914" w14:textId="1C020C1A" w:rsidR="00DE37B1" w:rsidRPr="00213008" w:rsidRDefault="00DE37B1" w:rsidP="00213008">
            <w:pPr>
              <w:snapToGrid w:val="0"/>
              <w:jc w:val="both"/>
              <w:rPr>
                <w:sz w:val="18"/>
                <w:szCs w:val="18"/>
              </w:rPr>
            </w:pPr>
          </w:p>
        </w:tc>
      </w:tr>
      <w:tr w:rsidR="00DE37B1" w14:paraId="3F658A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14DD" w14:textId="2007C5E0"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37829" w14:textId="5B7B30B0" w:rsidR="00DE37B1" w:rsidRPr="00213008" w:rsidRDefault="00DE37B1" w:rsidP="00213008">
            <w:pPr>
              <w:snapToGrid w:val="0"/>
              <w:jc w:val="both"/>
              <w:rPr>
                <w:rFonts w:ascii="Times New Roman" w:hAnsi="Times New Roman" w:cs="Times New Roman"/>
                <w:bCs/>
                <w:sz w:val="18"/>
                <w:szCs w:val="18"/>
                <w:u w:val="single"/>
              </w:rPr>
            </w:pPr>
          </w:p>
        </w:tc>
      </w:tr>
      <w:tr w:rsidR="00DE37B1" w14:paraId="7FAF1A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A314F" w14:textId="3BCEE21F"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3A71F" w14:textId="653EF877" w:rsidR="00DE37B1" w:rsidRPr="00213008" w:rsidRDefault="00DE37B1" w:rsidP="00213008">
            <w:pPr>
              <w:snapToGrid w:val="0"/>
              <w:rPr>
                <w:rFonts w:ascii="Times New Roman" w:eastAsia="DengXian" w:hAnsi="Times New Roman" w:cs="Times New Roman"/>
                <w:sz w:val="18"/>
                <w:szCs w:val="18"/>
                <w:lang w:eastAsia="ko-KR"/>
              </w:rPr>
            </w:pPr>
          </w:p>
        </w:tc>
      </w:tr>
    </w:tbl>
    <w:p w14:paraId="1E125ECD" w14:textId="77777777" w:rsidR="00DE37B1" w:rsidRDefault="00DE37B1">
      <w:pPr>
        <w:snapToGrid w:val="0"/>
        <w:spacing w:after="120" w:line="288" w:lineRule="auto"/>
        <w:jc w:val="both"/>
        <w:rPr>
          <w:rFonts w:ascii="Times New Roman" w:hAnsi="Times New Roman" w:cs="Times New Roman"/>
          <w:sz w:val="20"/>
          <w:szCs w:val="20"/>
        </w:rPr>
      </w:pPr>
    </w:p>
    <w:p w14:paraId="41CBA1C2" w14:textId="77777777" w:rsidR="00DE37B1" w:rsidRDefault="00D75400">
      <w:pPr>
        <w:pStyle w:val="Heading3"/>
        <w:numPr>
          <w:ilvl w:val="1"/>
          <w:numId w:val="14"/>
        </w:numPr>
      </w:pPr>
      <w:r>
        <w:lastRenderedPageBreak/>
        <w:t>Issue 3 (beam indication signaling medium)</w:t>
      </w:r>
    </w:p>
    <w:p w14:paraId="3C096DA9" w14:textId="77777777" w:rsidR="00DE37B1" w:rsidRDefault="00DE37B1"/>
    <w:p w14:paraId="50C0D299" w14:textId="25C8C075"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418AA1D"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A3199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03A174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68A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41462C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C318A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EB75" w14:textId="5BD8468C" w:rsidR="00DE37B1" w:rsidRDefault="00D75400">
            <w:pPr>
              <w:snapToGrid w:val="0"/>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0630D760" w14:textId="77777777" w:rsidR="00DE37B1" w:rsidRDefault="00DE37B1">
            <w:pPr>
              <w:snapToGrid w:val="0"/>
              <w:rPr>
                <w:rFonts w:ascii="Times New Roman" w:hAnsi="Times New Roman" w:cs="Times New Roman"/>
                <w:sz w:val="18"/>
                <w:szCs w:val="20"/>
                <w:lang w:val="de-DE"/>
              </w:rPr>
            </w:pPr>
          </w:p>
          <w:p w14:paraId="1AC3389F" w14:textId="729A113F"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4E5FEED2" w14:textId="77777777" w:rsidR="00DE37B1" w:rsidRDefault="00DE37B1">
            <w:pPr>
              <w:snapToGrid w:val="0"/>
              <w:rPr>
                <w:rFonts w:ascii="Times New Roman" w:hAnsi="Times New Roman" w:cs="Times New Roman"/>
                <w:sz w:val="18"/>
                <w:szCs w:val="20"/>
                <w:lang w:val="de-DE"/>
              </w:rPr>
            </w:pPr>
          </w:p>
          <w:p w14:paraId="5159DDEE"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3E60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DBC69F7" w14:textId="77777777" w:rsidR="00DE37B1" w:rsidRDefault="00DE37B1">
            <w:pPr>
              <w:snapToGrid w:val="0"/>
              <w:rPr>
                <w:rFonts w:ascii="Times New Roman" w:hAnsi="Times New Roman" w:cs="Times New Roman"/>
                <w:sz w:val="18"/>
                <w:szCs w:val="20"/>
              </w:rPr>
            </w:pPr>
          </w:p>
        </w:tc>
      </w:tr>
      <w:tr w:rsidR="00DE37B1" w14:paraId="488FFDE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855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3DEDD0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76157B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B059" w14:textId="147BE26E"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3CD1323" w14:textId="77777777" w:rsidR="00DE37B1" w:rsidRDefault="00DE37B1">
            <w:pPr>
              <w:snapToGrid w:val="0"/>
              <w:rPr>
                <w:rFonts w:ascii="Times New Roman" w:hAnsi="Times New Roman" w:cs="Times New Roman"/>
                <w:b/>
                <w:sz w:val="18"/>
                <w:szCs w:val="20"/>
              </w:rPr>
            </w:pPr>
          </w:p>
          <w:p w14:paraId="6D63E028"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14:paraId="2B9B5272" w14:textId="77777777" w:rsidR="00DE37B1" w:rsidRPr="00C44EF8" w:rsidRDefault="00DE37B1">
            <w:pPr>
              <w:snapToGrid w:val="0"/>
              <w:rPr>
                <w:rFonts w:ascii="Times New Roman" w:hAnsi="Times New Roman" w:cs="Times New Roman"/>
                <w:b/>
                <w:sz w:val="18"/>
                <w:szCs w:val="20"/>
              </w:rPr>
            </w:pPr>
          </w:p>
          <w:p w14:paraId="00B6B942"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DC448" w14:textId="77777777" w:rsidR="00DE37B1" w:rsidRPr="00C44EF8" w:rsidRDefault="00DE37B1">
            <w:pPr>
              <w:snapToGrid w:val="0"/>
              <w:rPr>
                <w:rFonts w:ascii="Times New Roman" w:hAnsi="Times New Roman" w:cs="Times New Roman"/>
                <w:sz w:val="18"/>
                <w:szCs w:val="20"/>
              </w:rPr>
            </w:pPr>
          </w:p>
        </w:tc>
      </w:tr>
      <w:tr w:rsidR="00DE37B1" w14:paraId="4036B9A2"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4F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84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D6563"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28477483" w14:textId="38D0FCC8" w:rsidR="00DE37B1" w:rsidRDefault="00D75400" w:rsidP="00864F1F">
            <w:pPr>
              <w:pStyle w:val="ListParagraph"/>
              <w:numPr>
                <w:ilvl w:val="0"/>
                <w:numId w:val="49"/>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584D8E7E" w14:textId="3E90F48F" w:rsidR="00DE37B1" w:rsidRDefault="00D75400" w:rsidP="00864F1F">
            <w:pPr>
              <w:pStyle w:val="ListParagraph"/>
              <w:numPr>
                <w:ilvl w:val="0"/>
                <w:numId w:val="49"/>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14:paraId="32606DDD" w14:textId="77777777" w:rsidR="00DE37B1" w:rsidRDefault="00DE37B1" w:rsidP="00864F1F">
            <w:pPr>
              <w:snapToGrid w:val="0"/>
              <w:ind w:left="-12"/>
              <w:rPr>
                <w:rFonts w:ascii="Times New Roman" w:hAnsi="Times New Roman" w:cs="Times New Roman"/>
                <w:sz w:val="18"/>
                <w:szCs w:val="20"/>
              </w:rPr>
            </w:pPr>
          </w:p>
          <w:p w14:paraId="386374F4"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5A8A7AEC" w14:textId="524E39BF" w:rsidR="00DE37B1" w:rsidRDefault="00D75400" w:rsidP="00864F1F">
            <w:pPr>
              <w:pStyle w:val="ListParagraph"/>
              <w:numPr>
                <w:ilvl w:val="0"/>
                <w:numId w:val="51"/>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0D9A981D" w14:textId="7C5C6AC4" w:rsidR="00DE37B1" w:rsidRDefault="00D75400" w:rsidP="00864F1F">
            <w:pPr>
              <w:pStyle w:val="ListParagraph"/>
              <w:numPr>
                <w:ilvl w:val="0"/>
                <w:numId w:val="51"/>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14:paraId="7ECA44FB" w14:textId="77777777" w:rsidR="00DE37B1" w:rsidRDefault="00DE37B1" w:rsidP="00864F1F">
            <w:pPr>
              <w:snapToGrid w:val="0"/>
              <w:ind w:left="-12"/>
              <w:rPr>
                <w:rFonts w:ascii="Times New Roman" w:hAnsi="Times New Roman" w:cs="Times New Roman"/>
                <w:sz w:val="18"/>
                <w:szCs w:val="20"/>
              </w:rPr>
            </w:pPr>
          </w:p>
          <w:p w14:paraId="30C55715"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1DAA8AE3" w14:textId="360C76DA" w:rsidR="00DE37B1" w:rsidRDefault="00D75400" w:rsidP="00864F1F">
            <w:pPr>
              <w:pStyle w:val="ListParagraph"/>
              <w:numPr>
                <w:ilvl w:val="0"/>
                <w:numId w:val="52"/>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329EDA2B" w14:textId="06A335F3" w:rsidR="00DE37B1" w:rsidRDefault="00D75400" w:rsidP="00864F1F">
            <w:pPr>
              <w:pStyle w:val="ListParagraph"/>
              <w:numPr>
                <w:ilvl w:val="0"/>
                <w:numId w:val="52"/>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14:paraId="132463D6" w14:textId="77777777" w:rsidR="00DE37B1" w:rsidRDefault="00DE37B1" w:rsidP="00864F1F">
            <w:pPr>
              <w:snapToGrid w:val="0"/>
              <w:rPr>
                <w:rFonts w:ascii="Times New Roman" w:hAnsi="Times New Roman" w:cs="Times New Roman"/>
                <w:sz w:val="18"/>
                <w:szCs w:val="20"/>
              </w:rPr>
            </w:pPr>
          </w:p>
          <w:p w14:paraId="7616D5C4"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B5EA" w14:textId="77777777" w:rsidR="00DE37B1" w:rsidRDefault="00DE37B1">
            <w:pPr>
              <w:snapToGrid w:val="0"/>
              <w:rPr>
                <w:rFonts w:ascii="Times New Roman" w:hAnsi="Times New Roman" w:cs="Times New Roman"/>
                <w:sz w:val="18"/>
                <w:szCs w:val="20"/>
              </w:rPr>
            </w:pPr>
          </w:p>
        </w:tc>
      </w:tr>
    </w:tbl>
    <w:p w14:paraId="3CB3438C" w14:textId="5ACC1CBB" w:rsidR="00DE37B1" w:rsidRDefault="00DE37B1">
      <w:pPr>
        <w:snapToGrid w:val="0"/>
      </w:pPr>
    </w:p>
    <w:p w14:paraId="637712BD" w14:textId="77777777" w:rsidR="007536A5" w:rsidRDefault="007536A5">
      <w:pPr>
        <w:snapToGrid w:val="0"/>
      </w:pPr>
    </w:p>
    <w:p w14:paraId="4433233B"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78DB724F"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15BD45C6"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192A8730"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0F90F024"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lastRenderedPageBreak/>
        <w:t>FFS: whether different beam application time values are supported for uplink and downlink</w:t>
      </w:r>
    </w:p>
    <w:p w14:paraId="4659554B"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6C29EB45" w14:textId="77777777" w:rsidR="00DE37B1" w:rsidRDefault="00D75400">
      <w:pPr>
        <w:numPr>
          <w:ilvl w:val="0"/>
          <w:numId w:val="54"/>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1F33ABC8" w14:textId="77777777" w:rsidR="00DE37B1" w:rsidRDefault="00D75400">
      <w:pPr>
        <w:numPr>
          <w:ilvl w:val="0"/>
          <w:numId w:val="54"/>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1C51D8EC" w14:textId="603E815A" w:rsidR="00DE37B1" w:rsidRDefault="00DE37B1">
      <w:pPr>
        <w:snapToGrid w:val="0"/>
        <w:jc w:val="both"/>
        <w:rPr>
          <w:rFonts w:ascii="Times New Roman" w:hAnsi="Times New Roman" w:cs="Times New Roman"/>
          <w:sz w:val="20"/>
          <w:szCs w:val="20"/>
          <w:lang w:val="en-GB"/>
        </w:rPr>
      </w:pPr>
    </w:p>
    <w:p w14:paraId="2855897C" w14:textId="77777777" w:rsidR="00AC0F52" w:rsidRDefault="00AC0F52">
      <w:pPr>
        <w:snapToGrid w:val="0"/>
        <w:jc w:val="both"/>
        <w:rPr>
          <w:rFonts w:ascii="Times New Roman" w:hAnsi="Times New Roman" w:cs="Times New Roman"/>
          <w:sz w:val="20"/>
          <w:szCs w:val="20"/>
          <w:lang w:val="en-GB"/>
        </w:rPr>
      </w:pPr>
    </w:p>
    <w:p w14:paraId="672DAE7F" w14:textId="4F633F67" w:rsidR="005D76DF" w:rsidRDefault="00AC0F52">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sidR="005D76DF">
        <w:rPr>
          <w:rFonts w:ascii="Times" w:eastAsia="Batang" w:hAnsi="Times" w:cs="Times New Roman"/>
          <w:bCs/>
          <w:sz w:val="20"/>
          <w:szCs w:val="20"/>
          <w:lang w:val="en-GB" w:eastAsia="en-US"/>
        </w:rPr>
        <w:t xml:space="preserve">On </w:t>
      </w:r>
      <w:r w:rsidR="005D76DF">
        <w:rPr>
          <w:rFonts w:ascii="Times" w:eastAsia="Times New Roman" w:hAnsi="Times" w:cs="Times New Roman"/>
          <w:sz w:val="20"/>
          <w:szCs w:val="18"/>
          <w:lang w:val="en-GB" w:eastAsia="en-US"/>
        </w:rPr>
        <w:t xml:space="preserve">the beam application time for </w:t>
      </w:r>
      <w:r w:rsidR="005D76DF">
        <w:rPr>
          <w:rFonts w:ascii="Times" w:eastAsia="Batang" w:hAnsi="Times" w:cs="Times New Roman"/>
          <w:bCs/>
          <w:sz w:val="20"/>
          <w:szCs w:val="20"/>
          <w:lang w:val="en-GB" w:eastAsia="en-US"/>
        </w:rPr>
        <w:t>Rel.17 DCI-based beam indication, support</w:t>
      </w:r>
      <w:r w:rsidR="00C412DF">
        <w:rPr>
          <w:rFonts w:ascii="Times" w:eastAsia="Batang" w:hAnsi="Times" w:cs="Times New Roman"/>
          <w:bCs/>
          <w:sz w:val="20"/>
          <w:szCs w:val="20"/>
          <w:lang w:val="en-GB" w:eastAsia="en-US"/>
        </w:rPr>
        <w:t xml:space="preserve"> (cf. the definition of Alt1 and Alt2 as agreed in RAN1#102-e)</w:t>
      </w:r>
      <w:r w:rsidR="005D76DF">
        <w:rPr>
          <w:rFonts w:ascii="Times" w:eastAsia="Batang" w:hAnsi="Times" w:cs="Times New Roman"/>
          <w:bCs/>
          <w:sz w:val="20"/>
          <w:szCs w:val="20"/>
          <w:lang w:val="en-GB" w:eastAsia="en-US"/>
        </w:rPr>
        <w:t>:</w:t>
      </w:r>
    </w:p>
    <w:p w14:paraId="58F53FF9" w14:textId="5B851CDB" w:rsidR="00AC0F52" w:rsidRPr="00C412DF" w:rsidRDefault="005D76DF" w:rsidP="00C412DF">
      <w:pPr>
        <w:pStyle w:val="ListParagraph"/>
        <w:numPr>
          <w:ilvl w:val="0"/>
          <w:numId w:val="90"/>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w:t>
      </w:r>
      <w:r w:rsidR="00C412DF" w:rsidRPr="00C412DF">
        <w:rPr>
          <w:rFonts w:ascii="Times New Roman" w:hAnsi="Times New Roman"/>
          <w:sz w:val="20"/>
          <w:szCs w:val="20"/>
          <w:lang w:val="en-GB"/>
        </w:rPr>
        <w:t>PDSCH reception associated with the DCI that signals the TCI state update</w:t>
      </w:r>
    </w:p>
    <w:p w14:paraId="1CB0F7C5" w14:textId="7E7AFDE1" w:rsidR="00C412DF" w:rsidRPr="00C412DF" w:rsidRDefault="00C412DF" w:rsidP="00C412DF">
      <w:pPr>
        <w:pStyle w:val="ListParagraph"/>
        <w:numPr>
          <w:ilvl w:val="1"/>
          <w:numId w:val="90"/>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14:paraId="0F97A897" w14:textId="40E2E125" w:rsidR="005D76DF" w:rsidRPr="00C412DF" w:rsidRDefault="005D76DF" w:rsidP="00C412DF">
      <w:pPr>
        <w:pStyle w:val="ListParagraph"/>
        <w:numPr>
          <w:ilvl w:val="0"/>
          <w:numId w:val="90"/>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 xml:space="preserve">Alt2 (defined after acknowledgment transmission) for </w:t>
      </w:r>
      <w:r w:rsidR="00C412DF" w:rsidRPr="00C412DF">
        <w:rPr>
          <w:rFonts w:ascii="Times New Roman" w:hAnsi="Times New Roman"/>
          <w:sz w:val="20"/>
          <w:szCs w:val="20"/>
          <w:lang w:val="en-GB"/>
        </w:rPr>
        <w:t>other channels/signals</w:t>
      </w:r>
    </w:p>
    <w:p w14:paraId="1CD9DE1F" w14:textId="42707225" w:rsidR="00AC0F52" w:rsidRDefault="00AC0F52">
      <w:pPr>
        <w:snapToGrid w:val="0"/>
        <w:jc w:val="both"/>
        <w:rPr>
          <w:rFonts w:ascii="Times New Roman" w:hAnsi="Times New Roman" w:cs="Times New Roman"/>
          <w:sz w:val="20"/>
          <w:szCs w:val="20"/>
          <w:lang w:val="en-GB"/>
        </w:rPr>
      </w:pPr>
    </w:p>
    <w:p w14:paraId="6ED7BB32" w14:textId="6535717C" w:rsidR="00C412DF" w:rsidRDefault="00C412DF" w:rsidP="00602A4E">
      <w:pPr>
        <w:snapToGrid w:val="0"/>
        <w:jc w:val="both"/>
        <w:rPr>
          <w:rFonts w:ascii="Times New Roman" w:hAnsi="Times New Roman" w:cs="Times New Roman"/>
          <w:sz w:val="20"/>
          <w:szCs w:val="20"/>
          <w:lang w:val="en-GB"/>
        </w:rPr>
      </w:pPr>
    </w:p>
    <w:p w14:paraId="4E4F99DB" w14:textId="2201BD65"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beam application time for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37CB90B4" w14:textId="59C40AEB" w:rsidR="00152B5E" w:rsidRDefault="00693256" w:rsidP="00602A4E">
      <w:pPr>
        <w:pStyle w:val="ListParagraph"/>
        <w:numPr>
          <w:ilvl w:val="0"/>
          <w:numId w:val="91"/>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6E17EA36" w14:textId="18323453" w:rsidR="00152B5E" w:rsidRDefault="00152B5E" w:rsidP="00602A4E">
      <w:pPr>
        <w:pStyle w:val="ListParagraph"/>
        <w:numPr>
          <w:ilvl w:val="1"/>
          <w:numId w:val="91"/>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90E1F3B" w14:textId="283CE9B9" w:rsidR="00152B5E" w:rsidRPr="00152B5E" w:rsidRDefault="00152B5E" w:rsidP="00602A4E">
      <w:pPr>
        <w:pStyle w:val="ListParagraph"/>
        <w:numPr>
          <w:ilvl w:val="0"/>
          <w:numId w:val="91"/>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5745D24A" w14:textId="77777777" w:rsidR="00AC0F52" w:rsidRDefault="00AC0F52" w:rsidP="00602A4E">
      <w:pPr>
        <w:snapToGrid w:val="0"/>
        <w:jc w:val="both"/>
        <w:rPr>
          <w:rFonts w:ascii="Times New Roman" w:hAnsi="Times New Roman" w:cs="Times New Roman"/>
          <w:sz w:val="20"/>
          <w:szCs w:val="20"/>
          <w:lang w:val="en-GB"/>
        </w:rPr>
      </w:pPr>
    </w:p>
    <w:p w14:paraId="0AFB913B" w14:textId="77777777" w:rsidR="00DE37B1" w:rsidRDefault="00DE37B1" w:rsidP="00602A4E">
      <w:pPr>
        <w:snapToGrid w:val="0"/>
        <w:jc w:val="both"/>
        <w:rPr>
          <w:rFonts w:ascii="Times New Roman" w:hAnsi="Times New Roman" w:cs="Times New Roman"/>
          <w:sz w:val="20"/>
          <w:szCs w:val="20"/>
        </w:rPr>
      </w:pPr>
    </w:p>
    <w:p w14:paraId="6FFF4073" w14:textId="2DBFEBC5"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465693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5B89405E"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49D73"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0AF4D116" w14:textId="77777777" w:rsidR="00A112E3" w:rsidRDefault="00A112E3">
            <w:pPr>
              <w:snapToGrid w:val="0"/>
              <w:jc w:val="both"/>
              <w:rPr>
                <w:rFonts w:ascii="Times New Roman" w:hAnsi="Times New Roman" w:cs="Times New Roman"/>
                <w:sz w:val="18"/>
                <w:szCs w:val="18"/>
                <w:lang w:val="en-GB"/>
              </w:rPr>
            </w:pPr>
          </w:p>
          <w:p w14:paraId="0A541D96"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080F9A49" w14:textId="77777777" w:rsidR="002A604D" w:rsidRDefault="002A604D" w:rsidP="005D76DF">
            <w:pPr>
              <w:snapToGrid w:val="0"/>
              <w:jc w:val="both"/>
              <w:rPr>
                <w:rFonts w:ascii="Times New Roman" w:hAnsi="Times New Roman" w:cs="Times New Roman"/>
                <w:sz w:val="18"/>
                <w:szCs w:val="18"/>
                <w:lang w:val="en-GB"/>
              </w:rPr>
            </w:pPr>
          </w:p>
          <w:p w14:paraId="15931342" w14:textId="3C2F16F5"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7D3E7B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77995083" w:rsidR="00DE37B1" w:rsidRDefault="00DE37B1">
            <w:pPr>
              <w:snapToGrid w:val="0"/>
              <w:rPr>
                <w:rFonts w:ascii="Times New Roman" w:hAnsi="Times New Roman" w:cs="Times New Roman"/>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939E2" w14:textId="5A793955" w:rsidR="00DE37B1" w:rsidRDefault="00DE37B1">
            <w:pPr>
              <w:snapToGrid w:val="0"/>
              <w:rPr>
                <w:rFonts w:ascii="Times New Roman" w:hAnsi="Times New Roman" w:cs="Times New Roman"/>
                <w:sz w:val="18"/>
                <w:szCs w:val="18"/>
              </w:rPr>
            </w:pPr>
          </w:p>
        </w:tc>
      </w:tr>
      <w:tr w:rsidR="00DE37B1" w14:paraId="6905E85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11FA517F" w:rsidR="00DE37B1" w:rsidRDefault="00DE37B1">
            <w:pPr>
              <w:snapToGrid w:val="0"/>
              <w:rPr>
                <w:rFonts w:ascii="Times New Roman" w:eastAsia="DengXia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8E0A" w14:textId="4FB29B3D" w:rsidR="00DE37B1" w:rsidRDefault="00DE37B1">
            <w:pPr>
              <w:snapToGrid w:val="0"/>
              <w:rPr>
                <w:rFonts w:ascii="Times New Roman" w:eastAsia="DengXian" w:hAnsi="Times New Roman" w:cs="Times New Roman"/>
                <w:sz w:val="18"/>
                <w:szCs w:val="18"/>
                <w:lang w:eastAsia="zh-CN"/>
              </w:rPr>
            </w:pPr>
          </w:p>
        </w:tc>
      </w:tr>
      <w:tr w:rsidR="00DE37B1" w14:paraId="1302AFE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FB2EB" w14:textId="09B4D351" w:rsidR="00DE37B1" w:rsidRDefault="00DE37B1">
            <w:pPr>
              <w:snapToGrid w:val="0"/>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6936E" w14:textId="4B1542E9" w:rsidR="00DE37B1" w:rsidRDefault="00DE37B1">
            <w:pPr>
              <w:snapToGrid w:val="0"/>
              <w:jc w:val="both"/>
              <w:rPr>
                <w:rFonts w:ascii="Times New Roman" w:hAnsi="Times New Roman" w:cs="Times New Roman"/>
                <w:sz w:val="18"/>
                <w:szCs w:val="18"/>
              </w:rPr>
            </w:pPr>
          </w:p>
        </w:tc>
      </w:tr>
      <w:tr w:rsidR="00DE37B1" w14:paraId="7816F5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ADEA" w14:textId="2ABDC368" w:rsidR="00DE37B1" w:rsidRDefault="00DE37B1">
            <w:pPr>
              <w:snapToGrid w:val="0"/>
              <w:rPr>
                <w:rFonts w:ascii="Times New Roman" w:eastAsia="DengXia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1D1B6" w14:textId="71CB991C" w:rsidR="00DE37B1" w:rsidRDefault="00DE37B1">
            <w:pPr>
              <w:snapToGrid w:val="0"/>
              <w:rPr>
                <w:rFonts w:ascii="Times New Roman" w:eastAsia="DengXian" w:hAnsi="Times New Roman" w:cs="Times New Roman"/>
                <w:sz w:val="18"/>
                <w:szCs w:val="18"/>
                <w:lang w:eastAsia="zh-CN"/>
              </w:rPr>
            </w:pPr>
          </w:p>
        </w:tc>
      </w:tr>
      <w:tr w:rsidR="00C44EF8" w14:paraId="57C26A8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AA62" w14:textId="4D19CAC9" w:rsidR="00C44EF8" w:rsidRDefault="00C44EF8" w:rsidP="00CD5653">
            <w:pPr>
              <w:snapToGrid w:val="0"/>
              <w:rPr>
                <w:rFonts w:ascii="Times New Roman" w:eastAsia="DengXia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57BA" w14:textId="4CFE268D" w:rsidR="00C44EF8" w:rsidRDefault="00C44EF8" w:rsidP="00CD5653">
            <w:pPr>
              <w:snapToGrid w:val="0"/>
              <w:rPr>
                <w:rFonts w:ascii="Times New Roman" w:eastAsia="DengXian" w:hAnsi="Times New Roman" w:cs="Times New Roman"/>
                <w:sz w:val="18"/>
                <w:szCs w:val="18"/>
                <w:lang w:eastAsia="zh-CN"/>
              </w:rPr>
            </w:pPr>
          </w:p>
        </w:tc>
      </w:tr>
    </w:tbl>
    <w:p w14:paraId="32789ABD" w14:textId="77777777" w:rsidR="00DE37B1" w:rsidRDefault="00DE37B1">
      <w:pPr>
        <w:snapToGrid w:val="0"/>
        <w:jc w:val="both"/>
        <w:rPr>
          <w:rFonts w:ascii="Times New Roman" w:hAnsi="Times New Roman" w:cs="Times New Roman"/>
          <w:sz w:val="20"/>
          <w:szCs w:val="20"/>
        </w:rPr>
      </w:pPr>
    </w:p>
    <w:p w14:paraId="57D50C4A" w14:textId="77777777" w:rsidR="00DE37B1" w:rsidRDefault="00D75400">
      <w:pPr>
        <w:pStyle w:val="Heading3"/>
        <w:numPr>
          <w:ilvl w:val="1"/>
          <w:numId w:val="14"/>
        </w:numPr>
      </w:pPr>
      <w:r>
        <w:t>Issue 4 (MP-UE)</w:t>
      </w:r>
    </w:p>
    <w:p w14:paraId="2345659A" w14:textId="77777777" w:rsidR="00DE37B1" w:rsidRDefault="00DE37B1">
      <w:pPr>
        <w:ind w:left="360"/>
      </w:pPr>
    </w:p>
    <w:p w14:paraId="38577BF2" w14:textId="13B93E88"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2F4099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389D36"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C23422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018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03893ABD" w14:textId="77777777" w:rsidR="00DE37B1" w:rsidRDefault="00DE37B1">
            <w:pPr>
              <w:snapToGrid w:val="0"/>
              <w:rPr>
                <w:rFonts w:ascii="Times New Roman" w:hAnsi="Times New Roman" w:cs="Times New Roman"/>
                <w:sz w:val="18"/>
                <w:szCs w:val="20"/>
              </w:rPr>
            </w:pPr>
          </w:p>
          <w:p w14:paraId="429F1BF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61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2B46FC7" w14:textId="223E5237" w:rsidR="00DE37B1" w:rsidRDefault="00D75400" w:rsidP="007536A5">
            <w:pPr>
              <w:pStyle w:val="ListParagraph"/>
              <w:numPr>
                <w:ilvl w:val="0"/>
                <w:numId w:val="5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1F3106A1" w14:textId="77777777" w:rsidR="00DE37B1" w:rsidRDefault="00D75400" w:rsidP="007536A5">
            <w:pPr>
              <w:pStyle w:val="ListParagraph"/>
              <w:numPr>
                <w:ilvl w:val="1"/>
                <w:numId w:val="5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36D80017" w14:textId="77777777" w:rsidR="00DE37B1" w:rsidRDefault="00D75400" w:rsidP="007536A5">
            <w:pPr>
              <w:pStyle w:val="ListParagraph"/>
              <w:numPr>
                <w:ilvl w:val="0"/>
                <w:numId w:val="6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178855A3" w14:textId="77777777" w:rsidR="00DE37B1" w:rsidRDefault="00D75400" w:rsidP="007536A5">
            <w:pPr>
              <w:pStyle w:val="ListParagraph"/>
              <w:numPr>
                <w:ilvl w:val="0"/>
                <w:numId w:val="6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14:paraId="644A1B8A" w14:textId="77777777" w:rsidR="00DE37B1" w:rsidRDefault="00D75400" w:rsidP="007536A5">
            <w:pPr>
              <w:pStyle w:val="ListParagraph"/>
              <w:numPr>
                <w:ilvl w:val="0"/>
                <w:numId w:val="6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685C" w14:textId="77777777" w:rsidR="00DE37B1" w:rsidRDefault="00DE37B1">
            <w:pPr>
              <w:snapToGrid w:val="0"/>
              <w:rPr>
                <w:rFonts w:ascii="Times New Roman" w:hAnsi="Times New Roman" w:cs="Times New Roman"/>
                <w:sz w:val="18"/>
                <w:szCs w:val="20"/>
              </w:rPr>
            </w:pPr>
          </w:p>
        </w:tc>
      </w:tr>
      <w:tr w:rsidR="00DE37B1" w14:paraId="7346650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A20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258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AC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6458F7D1" w14:textId="74740705" w:rsidR="00DE37B1" w:rsidRDefault="00D75400">
            <w:pPr>
              <w:pStyle w:val="ListParagraph"/>
              <w:numPr>
                <w:ilvl w:val="0"/>
                <w:numId w:val="61"/>
              </w:numPr>
              <w:snapToGrid w:val="0"/>
              <w:spacing w:after="0" w:line="240" w:lineRule="auto"/>
            </w:pPr>
            <w:r>
              <w:rPr>
                <w:rFonts w:ascii="Times New Roman" w:hAnsi="Times New Roman"/>
                <w:b/>
                <w:sz w:val="18"/>
                <w:szCs w:val="20"/>
              </w:rPr>
              <w:lastRenderedPageBreak/>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4427FA65" w14:textId="77777777" w:rsidR="00DE37B1" w:rsidRDefault="00D75400">
            <w:pPr>
              <w:pStyle w:val="ListParagraph"/>
              <w:numPr>
                <w:ilvl w:val="0"/>
                <w:numId w:val="6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4CBDDCFE" w14:textId="77777777" w:rsidR="00DE37B1" w:rsidRDefault="00DE37B1">
            <w:pPr>
              <w:snapToGrid w:val="0"/>
              <w:rPr>
                <w:rFonts w:ascii="Times New Roman" w:hAnsi="Times New Roman" w:cs="Times New Roman"/>
                <w:sz w:val="18"/>
                <w:szCs w:val="20"/>
              </w:rPr>
            </w:pPr>
          </w:p>
          <w:p w14:paraId="2AD3D0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1AE3F28E" w14:textId="77777777" w:rsidR="00DE37B1" w:rsidRDefault="00D75400">
            <w:pPr>
              <w:pStyle w:val="ListParagraph"/>
              <w:numPr>
                <w:ilvl w:val="0"/>
                <w:numId w:val="6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14:paraId="35DCFB64" w14:textId="77777777" w:rsidR="00DE37B1" w:rsidRDefault="00D75400">
            <w:pPr>
              <w:pStyle w:val="ListParagraph"/>
              <w:numPr>
                <w:ilvl w:val="0"/>
                <w:numId w:val="6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14:paraId="79A501F1" w14:textId="77777777" w:rsidR="00DE37B1" w:rsidRDefault="00DE37B1">
            <w:pPr>
              <w:snapToGrid w:val="0"/>
              <w:rPr>
                <w:rFonts w:ascii="Times New Roman" w:hAnsi="Times New Roman" w:cs="Times New Roman"/>
                <w:sz w:val="18"/>
                <w:szCs w:val="20"/>
              </w:rPr>
            </w:pPr>
          </w:p>
          <w:p w14:paraId="4A4879D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59779169" w14:textId="77777777" w:rsidR="00DE37B1" w:rsidRDefault="00D75400">
            <w:pPr>
              <w:pStyle w:val="ListParagraph"/>
              <w:numPr>
                <w:ilvl w:val="0"/>
                <w:numId w:val="6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14:paraId="5B125497" w14:textId="77777777" w:rsidR="00DE37B1" w:rsidRDefault="00D75400">
            <w:pPr>
              <w:pStyle w:val="ListParagraph"/>
              <w:numPr>
                <w:ilvl w:val="0"/>
                <w:numId w:val="6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410D3" w14:textId="77777777" w:rsidR="00DE37B1" w:rsidRDefault="00DE37B1">
            <w:pPr>
              <w:snapToGrid w:val="0"/>
              <w:rPr>
                <w:rFonts w:ascii="Times New Roman" w:hAnsi="Times New Roman" w:cs="Times New Roman"/>
                <w:sz w:val="18"/>
                <w:szCs w:val="20"/>
              </w:rPr>
            </w:pPr>
          </w:p>
        </w:tc>
      </w:tr>
      <w:tr w:rsidR="00DE37B1" w14:paraId="3FBF6C83"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6163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534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6E4A00E9" w14:textId="77777777" w:rsidR="00DE37B1" w:rsidRDefault="00D75400">
            <w:pPr>
              <w:pStyle w:val="ListParagraph"/>
              <w:numPr>
                <w:ilvl w:val="0"/>
                <w:numId w:val="64"/>
              </w:numPr>
              <w:snapToGrid w:val="0"/>
              <w:spacing w:after="0" w:line="240" w:lineRule="auto"/>
            </w:pPr>
            <w:r>
              <w:rPr>
                <w:rFonts w:ascii="Times New Roman" w:hAnsi="Times New Roman"/>
                <w:b/>
                <w:sz w:val="18"/>
                <w:szCs w:val="20"/>
                <w:lang w:val="de-DE"/>
              </w:rPr>
              <w:t>Yes</w:t>
            </w:r>
            <w:r>
              <w:rPr>
                <w:rFonts w:ascii="Times New Roman" w:hAnsi="Times New Roman"/>
                <w:sz w:val="18"/>
                <w:szCs w:val="20"/>
                <w:lang w:val="de-DE"/>
              </w:rPr>
              <w:t>: IDC, Huawei/HiSi, ZTE, LGE, NTT Docomo</w:t>
            </w:r>
            <w:r>
              <w:rPr>
                <w:rFonts w:ascii="Times New Roman" w:hAnsi="Times New Roman"/>
                <w:sz w:val="18"/>
                <w:szCs w:val="20"/>
                <w:lang w:val="de-DE" w:eastAsia="zh-CN"/>
              </w:rPr>
              <w:t>,CMCC</w:t>
            </w:r>
          </w:p>
          <w:p w14:paraId="2811E71A" w14:textId="77777777" w:rsidR="00DE37B1" w:rsidRDefault="00D75400">
            <w:pPr>
              <w:pStyle w:val="ListParagraph"/>
              <w:numPr>
                <w:ilvl w:val="0"/>
                <w:numId w:val="6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51DB9F0B" w14:textId="77777777" w:rsidR="00DE37B1" w:rsidRDefault="00DE37B1">
            <w:pPr>
              <w:snapToGrid w:val="0"/>
              <w:rPr>
                <w:rFonts w:ascii="Times New Roman" w:hAnsi="Times New Roman" w:cs="Times New Roman"/>
                <w:sz w:val="18"/>
                <w:szCs w:val="20"/>
              </w:rPr>
            </w:pPr>
          </w:p>
          <w:p w14:paraId="7171579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43A1998" w14:textId="3DA4C05A" w:rsidR="00DE37B1" w:rsidRDefault="00D75400">
            <w:pPr>
              <w:pStyle w:val="ListParagraph"/>
              <w:numPr>
                <w:ilvl w:val="0"/>
                <w:numId w:val="6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3F498AF" w14:textId="77777777" w:rsidR="00DE37B1" w:rsidRDefault="00D75400">
            <w:pPr>
              <w:pStyle w:val="ListParagraph"/>
              <w:numPr>
                <w:ilvl w:val="0"/>
                <w:numId w:val="6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61D1" w14:textId="77777777" w:rsidR="00DE37B1" w:rsidRDefault="00DE37B1">
            <w:pPr>
              <w:snapToGrid w:val="0"/>
              <w:rPr>
                <w:rFonts w:ascii="Times New Roman" w:hAnsi="Times New Roman" w:cs="Times New Roman"/>
                <w:sz w:val="18"/>
                <w:szCs w:val="20"/>
              </w:rPr>
            </w:pPr>
          </w:p>
        </w:tc>
      </w:tr>
    </w:tbl>
    <w:p w14:paraId="6A2502CA" w14:textId="77777777" w:rsidR="00DE37B1" w:rsidRDefault="00DE37B1">
      <w:pPr>
        <w:snapToGrid w:val="0"/>
        <w:rPr>
          <w:rFonts w:ascii="Times New Roman" w:hAnsi="Times New Roman" w:cs="Times New Roman"/>
          <w:sz w:val="20"/>
        </w:rPr>
      </w:pPr>
    </w:p>
    <w:p w14:paraId="28E8E882" w14:textId="77777777" w:rsidR="00DE37B1" w:rsidRDefault="00DE37B1">
      <w:pPr>
        <w:snapToGrid w:val="0"/>
        <w:rPr>
          <w:rFonts w:ascii="Times New Roman" w:hAnsi="Times New Roman" w:cs="Times New Roman"/>
          <w:sz w:val="20"/>
        </w:rPr>
      </w:pPr>
    </w:p>
    <w:p w14:paraId="0A2C9700" w14:textId="77777777" w:rsidR="00DE37B1" w:rsidRDefault="00D75400" w:rsidP="007536A5">
      <w:pPr>
        <w:snapToGrid w:val="0"/>
      </w:pPr>
      <w:r>
        <w:rPr>
          <w:rFonts w:ascii="Times New Roman" w:hAnsi="Times New Roman" w:cs="Times New Roman"/>
          <w:b/>
          <w:sz w:val="20"/>
          <w:u w:val="single"/>
        </w:rPr>
        <w:t>Proposal 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at least for discussion and agreement purposes:</w:t>
      </w:r>
      <w:r>
        <w:rPr>
          <w:rFonts w:ascii="Times New Roman" w:hAnsi="Times New Roman" w:cs="Times New Roman"/>
          <w:sz w:val="20"/>
        </w:rPr>
        <w:t xml:space="preserve"> </w:t>
      </w:r>
    </w:p>
    <w:p w14:paraId="6BA99152" w14:textId="77777777" w:rsidR="00DE37B1" w:rsidRDefault="00D75400" w:rsidP="007536A5">
      <w:pPr>
        <w:pStyle w:val="ListParagraph"/>
        <w:numPr>
          <w:ilvl w:val="0"/>
          <w:numId w:val="67"/>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6338EB13" w14:textId="1A5A0933" w:rsidR="00DE37B1" w:rsidRDefault="00D75400" w:rsidP="007536A5">
      <w:pPr>
        <w:pStyle w:val="ListParagraph"/>
        <w:numPr>
          <w:ilvl w:val="0"/>
          <w:numId w:val="67"/>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99F3483" w14:textId="77777777" w:rsidR="00DE37B1" w:rsidRDefault="00D75400" w:rsidP="007536A5">
      <w:pPr>
        <w:pStyle w:val="ListParagraph"/>
        <w:numPr>
          <w:ilvl w:val="0"/>
          <w:numId w:val="67"/>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0BAE3BB1" w14:textId="0CF7C3C2" w:rsidR="00DE37B1" w:rsidRDefault="00DE37B1">
      <w:pPr>
        <w:snapToGrid w:val="0"/>
        <w:jc w:val="both"/>
        <w:rPr>
          <w:rFonts w:ascii="Times New Roman" w:hAnsi="Times New Roman" w:cs="Times New Roman"/>
          <w:sz w:val="20"/>
        </w:rPr>
      </w:pPr>
    </w:p>
    <w:p w14:paraId="181DA9FE" w14:textId="450F37CF" w:rsidR="000625C7" w:rsidRDefault="000625C7">
      <w:pPr>
        <w:snapToGrid w:val="0"/>
        <w:jc w:val="both"/>
        <w:rPr>
          <w:rFonts w:ascii="Times New Roman" w:hAnsi="Times New Roman" w:cs="Times New Roman"/>
          <w:sz w:val="20"/>
        </w:rPr>
      </w:pPr>
    </w:p>
    <w:p w14:paraId="73DCE56D" w14:textId="195AFFF1" w:rsidR="000625C7" w:rsidRDefault="00B146F9">
      <w:pPr>
        <w:snapToGrid w:val="0"/>
        <w:jc w:val="both"/>
        <w:rPr>
          <w:rFonts w:ascii="Times New Roman" w:hAnsi="Times New Roman" w:cs="Times New Roman"/>
          <w:sz w:val="20"/>
        </w:rPr>
      </w:pPr>
      <w:r w:rsidRPr="00B146F9">
        <w:rPr>
          <w:rFonts w:ascii="Times New Roman" w:hAnsi="Times New Roman" w:cs="Times New Roman"/>
          <w:b/>
          <w:sz w:val="20"/>
          <w:u w:val="single"/>
        </w:rPr>
        <w:t>Proposal 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p>
    <w:p w14:paraId="53197D8B" w14:textId="3C89DCE4" w:rsidR="00B146F9" w:rsidRPr="00B146F9" w:rsidRDefault="00B146F9" w:rsidP="00B146F9">
      <w:pPr>
        <w:pStyle w:val="ListParagraph"/>
        <w:numPr>
          <w:ilvl w:val="0"/>
          <w:numId w:val="92"/>
        </w:numPr>
        <w:snapToGrid w:val="0"/>
        <w:jc w:val="both"/>
        <w:rPr>
          <w:rFonts w:ascii="Times New Roman" w:hAnsi="Times New Roman"/>
          <w:sz w:val="20"/>
        </w:rPr>
      </w:pPr>
      <w:r>
        <w:rPr>
          <w:rFonts w:ascii="Times New Roman" w:hAnsi="Times New Roman"/>
          <w:sz w:val="20"/>
        </w:rPr>
        <w:t>[</w:t>
      </w:r>
      <w:r w:rsidR="00756AF4">
        <w:rPr>
          <w:rFonts w:ascii="Times New Roman" w:hAnsi="Times New Roman"/>
          <w:sz w:val="20"/>
        </w:rPr>
        <w:t>Relation with, e.g. CSI-RS resource set, SRS resource set</w:t>
      </w:r>
      <w:r>
        <w:rPr>
          <w:rFonts w:ascii="Times New Roman" w:hAnsi="Times New Roman"/>
          <w:sz w:val="20"/>
        </w:rPr>
        <w:t>]</w:t>
      </w:r>
    </w:p>
    <w:p w14:paraId="624CD678" w14:textId="77777777" w:rsidR="007536A5" w:rsidRDefault="007536A5">
      <w:pPr>
        <w:snapToGrid w:val="0"/>
        <w:jc w:val="both"/>
        <w:rPr>
          <w:rFonts w:ascii="Times New Roman" w:hAnsi="Times New Roman" w:cs="Times New Roman"/>
          <w:sz w:val="20"/>
        </w:rPr>
      </w:pPr>
    </w:p>
    <w:p w14:paraId="3634AE52" w14:textId="38A7DF5C"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E51D2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4E99DB6C"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60C3"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090C53BB" w14:textId="77777777" w:rsidR="00B146F9" w:rsidRDefault="00B146F9">
            <w:pPr>
              <w:snapToGrid w:val="0"/>
              <w:rPr>
                <w:rFonts w:ascii="Times New Roman" w:hAnsi="Times New Roman" w:cs="Times New Roman"/>
                <w:sz w:val="18"/>
                <w:szCs w:val="18"/>
                <w:lang w:val="en-GB"/>
              </w:rPr>
            </w:pPr>
          </w:p>
          <w:p w14:paraId="5BB5F3AB" w14:textId="6213044E"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7658AF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690EF53C"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7EB10B64" w:rsidR="00DE37B1" w:rsidRDefault="00DE37B1">
            <w:pPr>
              <w:snapToGrid w:val="0"/>
              <w:rPr>
                <w:rFonts w:ascii="Times New Roman" w:eastAsia="SimSun" w:hAnsi="Times New Roman" w:cs="Times New Roman"/>
                <w:sz w:val="18"/>
                <w:szCs w:val="18"/>
                <w:lang w:eastAsia="zh-CN"/>
              </w:rPr>
            </w:pPr>
          </w:p>
        </w:tc>
      </w:tr>
      <w:tr w:rsidR="00DE37B1" w14:paraId="4B4B6D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60B27C8B"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4E60553A" w:rsidR="00DE37B1" w:rsidRDefault="00DE37B1">
            <w:pPr>
              <w:snapToGrid w:val="0"/>
              <w:rPr>
                <w:rFonts w:ascii="Times New Roman" w:eastAsia="DengXian" w:hAnsi="Times New Roman" w:cs="Times New Roman"/>
                <w:sz w:val="18"/>
                <w:szCs w:val="18"/>
                <w:lang w:eastAsia="ko-KR"/>
              </w:rPr>
            </w:pPr>
          </w:p>
        </w:tc>
      </w:tr>
      <w:tr w:rsidR="00DE37B1" w14:paraId="47C187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70EC0" w14:textId="2C7D1F8B"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AA0D" w14:textId="3A60BE9B" w:rsidR="00DE37B1" w:rsidRDefault="00DE37B1">
            <w:pPr>
              <w:snapToGrid w:val="0"/>
              <w:rPr>
                <w:rFonts w:ascii="Times New Roman" w:eastAsia="DengXian" w:hAnsi="Times New Roman" w:cs="Times New Roman"/>
                <w:sz w:val="18"/>
                <w:szCs w:val="18"/>
                <w:lang w:eastAsia="ko-KR"/>
              </w:rPr>
            </w:pPr>
          </w:p>
        </w:tc>
      </w:tr>
      <w:tr w:rsidR="00DE37B1" w14:paraId="7BB3C1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E845" w14:textId="6483EAD6"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8053" w14:textId="572FEC2A" w:rsidR="00DE37B1" w:rsidRDefault="00DE37B1">
            <w:pPr>
              <w:snapToGrid w:val="0"/>
              <w:rPr>
                <w:rFonts w:ascii="Times New Roman" w:eastAsia="DengXian" w:hAnsi="Times New Roman" w:cs="Times New Roman"/>
                <w:sz w:val="18"/>
                <w:szCs w:val="18"/>
                <w:lang w:eastAsia="ko-KR"/>
              </w:rPr>
            </w:pPr>
          </w:p>
        </w:tc>
      </w:tr>
      <w:tr w:rsidR="00DE37B1" w14:paraId="15ABA5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B635" w14:textId="0CF8844B"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DC36" w14:textId="33D4FCF1" w:rsidR="00DE37B1" w:rsidRDefault="00DE37B1">
            <w:pPr>
              <w:snapToGrid w:val="0"/>
              <w:rPr>
                <w:rFonts w:ascii="Times New Roman" w:eastAsia="DengXian" w:hAnsi="Times New Roman" w:cs="Times New Roman"/>
                <w:sz w:val="18"/>
                <w:szCs w:val="18"/>
                <w:lang w:eastAsia="ko-KR"/>
              </w:rPr>
            </w:pPr>
          </w:p>
        </w:tc>
      </w:tr>
    </w:tbl>
    <w:p w14:paraId="2E9F58B2" w14:textId="77777777" w:rsidR="00DE37B1" w:rsidRDefault="00DE37B1">
      <w:pPr>
        <w:snapToGrid w:val="0"/>
        <w:spacing w:after="120" w:line="288" w:lineRule="auto"/>
        <w:jc w:val="both"/>
        <w:rPr>
          <w:rFonts w:ascii="Times New Roman" w:hAnsi="Times New Roman" w:cs="Times New Roman"/>
          <w:sz w:val="20"/>
          <w:szCs w:val="20"/>
        </w:rPr>
      </w:pPr>
    </w:p>
    <w:p w14:paraId="321A7643" w14:textId="77777777" w:rsidR="00DE37B1" w:rsidRDefault="00D75400">
      <w:pPr>
        <w:pStyle w:val="Heading3"/>
        <w:numPr>
          <w:ilvl w:val="1"/>
          <w:numId w:val="14"/>
        </w:numPr>
      </w:pPr>
      <w:r>
        <w:t>Issue 5 (MPE mitigation)</w:t>
      </w:r>
    </w:p>
    <w:p w14:paraId="3C37BAC3" w14:textId="77777777" w:rsidR="00DE37B1" w:rsidRDefault="00DE37B1">
      <w:pPr>
        <w:ind w:left="360"/>
      </w:pPr>
    </w:p>
    <w:p w14:paraId="41049D30" w14:textId="63C968C0"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4BEA1DD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4CA1D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26F614F9"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54F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34061"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9890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9E9B4F1"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5CF69A1" w14:textId="412B5260" w:rsidR="00DE37B1" w:rsidRDefault="00D75400">
            <w:pPr>
              <w:pStyle w:val="ListParagraph"/>
              <w:numPr>
                <w:ilvl w:val="0"/>
                <w:numId w:val="72"/>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1140481" w14:textId="6B98E0CB" w:rsidR="00DE37B1" w:rsidRDefault="00D75400">
            <w:pPr>
              <w:pStyle w:val="ListParagraph"/>
              <w:numPr>
                <w:ilvl w:val="0"/>
                <w:numId w:val="72"/>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997D" w14:textId="77777777" w:rsidR="00DE37B1" w:rsidRDefault="00DE37B1">
            <w:pPr>
              <w:snapToGrid w:val="0"/>
              <w:jc w:val="both"/>
              <w:rPr>
                <w:rFonts w:ascii="Times New Roman" w:hAnsi="Times New Roman" w:cs="Times New Roman"/>
                <w:sz w:val="18"/>
                <w:szCs w:val="20"/>
              </w:rPr>
            </w:pPr>
          </w:p>
        </w:tc>
      </w:tr>
      <w:tr w:rsidR="00DE37B1" w14:paraId="6A5B7D92"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802E"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14151544" w14:textId="77777777" w:rsidR="00DE37B1" w:rsidRDefault="00D75400">
            <w:pPr>
              <w:pStyle w:val="ListParagraph"/>
              <w:numPr>
                <w:ilvl w:val="0"/>
                <w:numId w:val="73"/>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7DDA028" w14:textId="77777777" w:rsidR="00DE37B1" w:rsidRDefault="00D75400">
            <w:pPr>
              <w:pStyle w:val="ListParagraph"/>
              <w:numPr>
                <w:ilvl w:val="0"/>
                <w:numId w:val="73"/>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D8D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646BFCA1"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14:paraId="1DC78E7F" w14:textId="715C2271" w:rsidR="00DE37B1" w:rsidRDefault="00D75400">
            <w:pPr>
              <w:pStyle w:val="ListParagraph"/>
              <w:numPr>
                <w:ilvl w:val="0"/>
                <w:numId w:val="72"/>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0BB26818" w14:textId="7A4B63CD" w:rsidR="00DE37B1" w:rsidRDefault="00D75400">
            <w:pPr>
              <w:pStyle w:val="ListParagraph"/>
              <w:numPr>
                <w:ilvl w:val="0"/>
                <w:numId w:val="72"/>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56501EE8" w14:textId="77777777" w:rsidR="00DE37B1" w:rsidRDefault="00D75400">
            <w:pPr>
              <w:pStyle w:val="ListParagraph"/>
              <w:numPr>
                <w:ilvl w:val="1"/>
                <w:numId w:val="72"/>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ABEA157" w14:textId="77777777" w:rsidR="00DE37B1" w:rsidRDefault="00D75400">
            <w:pPr>
              <w:pStyle w:val="ListParagraph"/>
              <w:numPr>
                <w:ilvl w:val="1"/>
                <w:numId w:val="72"/>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0787F" w14:textId="77777777" w:rsidR="00DE37B1" w:rsidRDefault="00DE37B1">
            <w:pPr>
              <w:snapToGrid w:val="0"/>
              <w:rPr>
                <w:rFonts w:ascii="Times New Roman" w:hAnsi="Times New Roman" w:cs="Times New Roman"/>
                <w:sz w:val="18"/>
                <w:szCs w:val="20"/>
              </w:rPr>
            </w:pPr>
          </w:p>
        </w:tc>
      </w:tr>
      <w:tr w:rsidR="00DE37B1" w14:paraId="39552B8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BEE9"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409EF737" w14:textId="77777777" w:rsidR="00DE37B1" w:rsidRDefault="00D75400">
            <w:pPr>
              <w:pStyle w:val="ListParagraph"/>
              <w:numPr>
                <w:ilvl w:val="0"/>
                <w:numId w:val="74"/>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2D7EDB83" w14:textId="77777777" w:rsidR="00DE37B1" w:rsidRDefault="00D75400">
            <w:pPr>
              <w:pStyle w:val="ListParagraph"/>
              <w:numPr>
                <w:ilvl w:val="0"/>
                <w:numId w:val="74"/>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04F5" w14:textId="77777777" w:rsidR="00DE37B1" w:rsidRDefault="00D75400">
            <w:pPr>
              <w:snapToGrid w:val="0"/>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0CA31914"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6805C14C"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3FD560D1" w14:textId="0F7FE400" w:rsidR="00DE37B1" w:rsidRDefault="00D75400">
            <w:pPr>
              <w:pStyle w:val="ListParagraph"/>
              <w:numPr>
                <w:ilvl w:val="0"/>
                <w:numId w:val="75"/>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77F01474" w14:textId="385A9BC8" w:rsidR="00DE37B1" w:rsidRDefault="00D75400">
            <w:pPr>
              <w:pStyle w:val="ListParagraph"/>
              <w:numPr>
                <w:ilvl w:val="0"/>
                <w:numId w:val="75"/>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04DA0DF"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4D21793B"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1834ADB1"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37F8304D"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4761BB03"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0B502F0B"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8161" w14:textId="77777777" w:rsidR="00DE37B1" w:rsidRDefault="00DE37B1">
            <w:pPr>
              <w:snapToGrid w:val="0"/>
              <w:rPr>
                <w:rFonts w:ascii="Times New Roman" w:hAnsi="Times New Roman" w:cs="Times New Roman"/>
                <w:sz w:val="18"/>
                <w:szCs w:val="20"/>
              </w:rPr>
            </w:pPr>
          </w:p>
        </w:tc>
      </w:tr>
    </w:tbl>
    <w:p w14:paraId="4A862685" w14:textId="38CCADBC" w:rsidR="00DE37B1" w:rsidRDefault="00DE37B1">
      <w:pPr>
        <w:rPr>
          <w:rFonts w:ascii="Times New Roman" w:hAnsi="Times New Roman" w:cs="Times New Roman"/>
          <w:sz w:val="20"/>
          <w:szCs w:val="20"/>
        </w:rPr>
      </w:pPr>
    </w:p>
    <w:p w14:paraId="1780AB23" w14:textId="614CDD86"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6ECD1B31" w14:textId="4885E21B" w:rsidR="004C2715" w:rsidRPr="00E46007" w:rsidRDefault="004C2715" w:rsidP="00E46007">
      <w:pPr>
        <w:pStyle w:val="ListParagraph"/>
        <w:numPr>
          <w:ilvl w:val="0"/>
          <w:numId w:val="92"/>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14:paraId="353D2CD4" w14:textId="57CF6587" w:rsidR="004C2715" w:rsidRPr="00E46007" w:rsidRDefault="004C2715" w:rsidP="00E46007">
      <w:pPr>
        <w:pStyle w:val="ListParagraph"/>
        <w:numPr>
          <w:ilvl w:val="0"/>
          <w:numId w:val="92"/>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1F2703E5" w14:textId="511B4BE9" w:rsidR="004C2715" w:rsidRPr="00E46007" w:rsidRDefault="004C2715" w:rsidP="00E46007">
      <w:pPr>
        <w:pStyle w:val="ListParagraph"/>
        <w:numPr>
          <w:ilvl w:val="1"/>
          <w:numId w:val="92"/>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p>
    <w:p w14:paraId="3FF98678" w14:textId="1C3B14D3" w:rsidR="004C2715" w:rsidRPr="00E46007" w:rsidRDefault="004C2715" w:rsidP="00E46007">
      <w:pPr>
        <w:pStyle w:val="ListParagraph"/>
        <w:numPr>
          <w:ilvl w:val="1"/>
          <w:numId w:val="92"/>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p>
    <w:p w14:paraId="3E3229FE" w14:textId="60B930DB" w:rsidR="00DE37B1" w:rsidRDefault="00DE37B1">
      <w:pPr>
        <w:snapToGrid w:val="0"/>
        <w:spacing w:after="120"/>
        <w:jc w:val="both"/>
        <w:rPr>
          <w:rFonts w:ascii="Times New Roman" w:hAnsi="Times New Roman" w:cs="Times New Roman"/>
          <w:sz w:val="20"/>
          <w:szCs w:val="20"/>
        </w:rPr>
      </w:pPr>
    </w:p>
    <w:p w14:paraId="2581CBAB" w14:textId="07F64211"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9705AF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122097FA"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35C500A1"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2E955D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966C" w14:textId="01FD8C60" w:rsidR="00DE37B1" w:rsidRDefault="00DE37B1">
            <w:pPr>
              <w:snapToGrid w:val="0"/>
              <w:rPr>
                <w:rFonts w:ascii="Times New Roman" w:hAnsi="Times New Roman" w:cs="Times New Roman"/>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120D6" w14:textId="2E1BF7C8" w:rsidR="00DE37B1" w:rsidRDefault="00DE37B1">
            <w:pPr>
              <w:snapToGrid w:val="0"/>
            </w:pPr>
          </w:p>
        </w:tc>
      </w:tr>
      <w:tr w:rsidR="00DE37B1" w14:paraId="7551D2D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2E00343C"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74F0" w14:textId="76FEF4BF" w:rsidR="00DE37B1" w:rsidRDefault="00DE37B1">
            <w:pPr>
              <w:snapToGrid w:val="0"/>
              <w:rPr>
                <w:rFonts w:ascii="Times New Roman" w:eastAsia="SimSun" w:hAnsi="Times New Roman" w:cs="Times New Roman"/>
                <w:sz w:val="18"/>
                <w:szCs w:val="18"/>
                <w:lang w:eastAsia="zh-CN"/>
              </w:rPr>
            </w:pPr>
          </w:p>
        </w:tc>
      </w:tr>
      <w:tr w:rsidR="00DE37B1" w14:paraId="147FF87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3BABA604"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58E09B1E" w:rsidR="00DE37B1" w:rsidRDefault="00DE37B1">
            <w:pPr>
              <w:snapToGrid w:val="0"/>
              <w:rPr>
                <w:rFonts w:ascii="Times New Roman" w:eastAsia="SimSun" w:hAnsi="Times New Roman" w:cs="Times New Roman"/>
                <w:sz w:val="18"/>
                <w:szCs w:val="18"/>
                <w:lang w:eastAsia="zh-CN"/>
              </w:rPr>
            </w:pPr>
          </w:p>
        </w:tc>
      </w:tr>
      <w:tr w:rsidR="00DE37B1" w14:paraId="55197D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592145C8"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430CB24E" w:rsidR="00DE37B1" w:rsidRDefault="00DE37B1">
            <w:pPr>
              <w:snapToGrid w:val="0"/>
              <w:rPr>
                <w:rFonts w:ascii="Times New Roman" w:eastAsia="SimSun" w:hAnsi="Times New Roman" w:cs="Times New Roman"/>
                <w:sz w:val="18"/>
                <w:szCs w:val="18"/>
                <w:lang w:eastAsia="zh-CN"/>
              </w:rPr>
            </w:pPr>
          </w:p>
        </w:tc>
      </w:tr>
      <w:tr w:rsidR="00DE37B1" w14:paraId="59CA5E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EA4E" w14:textId="5DA1F183"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8177" w14:textId="6C7EF5A0" w:rsidR="00DE37B1" w:rsidRDefault="00DE37B1">
            <w:pPr>
              <w:snapToGrid w:val="0"/>
              <w:rPr>
                <w:rFonts w:ascii="Times New Roman" w:eastAsia="SimSun" w:hAnsi="Times New Roman" w:cs="Times New Roman"/>
                <w:sz w:val="18"/>
                <w:szCs w:val="18"/>
                <w:lang w:eastAsia="zh-CN"/>
              </w:rPr>
            </w:pPr>
          </w:p>
        </w:tc>
      </w:tr>
    </w:tbl>
    <w:p w14:paraId="5B03D9C2" w14:textId="77777777" w:rsidR="00DE37B1" w:rsidRDefault="00DE37B1">
      <w:pPr>
        <w:snapToGrid w:val="0"/>
        <w:rPr>
          <w:rFonts w:ascii="Times New Roman" w:hAnsi="Times New Roman" w:cs="Times New Roman"/>
          <w:sz w:val="20"/>
          <w:szCs w:val="20"/>
        </w:rPr>
      </w:pPr>
    </w:p>
    <w:p w14:paraId="3DC5CFDA" w14:textId="77777777" w:rsidR="00DE37B1" w:rsidRDefault="00DE37B1">
      <w:pPr>
        <w:snapToGrid w:val="0"/>
        <w:jc w:val="both"/>
        <w:rPr>
          <w:rFonts w:ascii="Times New Roman" w:hAnsi="Times New Roman" w:cs="Times New Roman"/>
          <w:sz w:val="20"/>
          <w:szCs w:val="20"/>
        </w:rPr>
      </w:pPr>
    </w:p>
    <w:p w14:paraId="68C3B902" w14:textId="77777777" w:rsidR="00DE37B1" w:rsidRDefault="00D75400">
      <w:pPr>
        <w:pStyle w:val="Heading3"/>
        <w:numPr>
          <w:ilvl w:val="1"/>
          <w:numId w:val="14"/>
        </w:numPr>
      </w:pPr>
      <w:r>
        <w:t>Issue 6 (beam refinement/tracking)</w:t>
      </w:r>
    </w:p>
    <w:p w14:paraId="379D6143" w14:textId="77777777" w:rsidR="00DE37B1" w:rsidRDefault="00DE37B1">
      <w:pPr>
        <w:ind w:left="360"/>
      </w:pPr>
    </w:p>
    <w:p w14:paraId="2BA91185" w14:textId="4DA47343"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D14D526"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2132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42F263B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40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5BB38FB"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6A85BDC9"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C899" w14:textId="77777777" w:rsidR="00DE37B1" w:rsidRDefault="00DE37B1">
            <w:pPr>
              <w:snapToGrid w:val="0"/>
              <w:jc w:val="both"/>
              <w:rPr>
                <w:rFonts w:ascii="Times New Roman" w:hAnsi="Times New Roman" w:cs="Times New Roman"/>
                <w:sz w:val="18"/>
                <w:szCs w:val="20"/>
              </w:rPr>
            </w:pPr>
          </w:p>
        </w:tc>
      </w:tr>
      <w:tr w:rsidR="00DE37B1" w14:paraId="5AEEAF27"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C3DB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E91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C927C4F"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6AB7A6A8"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7192" w14:textId="77777777" w:rsidR="00DE37B1" w:rsidRDefault="00DE37B1">
            <w:pPr>
              <w:snapToGrid w:val="0"/>
              <w:rPr>
                <w:rFonts w:ascii="Times New Roman" w:hAnsi="Times New Roman" w:cs="Times New Roman"/>
                <w:sz w:val="18"/>
                <w:szCs w:val="20"/>
              </w:rPr>
            </w:pPr>
          </w:p>
        </w:tc>
      </w:tr>
      <w:tr w:rsidR="00DE37B1" w14:paraId="3680193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3F1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199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881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68FB649E"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0F4FFD2F"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0AA40" w14:textId="77777777" w:rsidR="00DE37B1" w:rsidRDefault="00DE37B1">
            <w:pPr>
              <w:snapToGrid w:val="0"/>
              <w:rPr>
                <w:rFonts w:ascii="Times New Roman" w:hAnsi="Times New Roman" w:cs="Times New Roman"/>
                <w:sz w:val="18"/>
                <w:szCs w:val="20"/>
              </w:rPr>
            </w:pPr>
          </w:p>
        </w:tc>
      </w:tr>
      <w:tr w:rsidR="00DE37B1" w14:paraId="74986CD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17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F0A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1D1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5B2A072C" w14:textId="3ACA40F7" w:rsidR="00DE37B1" w:rsidRDefault="00D75400">
            <w:pPr>
              <w:pStyle w:val="ListParagraph"/>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14:paraId="7661FA93"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6C035" w14:textId="77777777" w:rsidR="00DE37B1" w:rsidRDefault="00DE37B1">
            <w:pPr>
              <w:snapToGrid w:val="0"/>
              <w:rPr>
                <w:rFonts w:ascii="Times New Roman" w:hAnsi="Times New Roman" w:cs="Times New Roman"/>
                <w:sz w:val="18"/>
                <w:szCs w:val="20"/>
              </w:rPr>
            </w:pPr>
          </w:p>
        </w:tc>
      </w:tr>
    </w:tbl>
    <w:p w14:paraId="33B68DED" w14:textId="77777777" w:rsidR="00DE37B1" w:rsidRDefault="00DE37B1">
      <w:pPr>
        <w:snapToGrid w:val="0"/>
        <w:rPr>
          <w:rFonts w:ascii="Times New Roman" w:hAnsi="Times New Roman" w:cs="Times New Roman"/>
          <w:sz w:val="20"/>
        </w:rPr>
      </w:pPr>
    </w:p>
    <w:p w14:paraId="7D6F9F40" w14:textId="77777777" w:rsidR="00DE37B1" w:rsidRDefault="00DE37B1">
      <w:pPr>
        <w:snapToGrid w:val="0"/>
        <w:rPr>
          <w:rFonts w:ascii="Times New Roman" w:hAnsi="Times New Roman" w:cs="Times New Roman"/>
          <w:sz w:val="20"/>
          <w:szCs w:val="20"/>
        </w:rPr>
      </w:pPr>
    </w:p>
    <w:p w14:paraId="4C30436F"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3E3D5881" w14:textId="7F032DD7" w:rsidR="00DE37B1" w:rsidRPr="000E2ED0" w:rsidRDefault="000E2ED0" w:rsidP="000E2ED0">
      <w:pPr>
        <w:pStyle w:val="ListParagraph"/>
        <w:numPr>
          <w:ilvl w:val="0"/>
          <w:numId w:val="93"/>
        </w:numPr>
        <w:snapToGrid w:val="0"/>
        <w:spacing w:after="0" w:line="240" w:lineRule="auto"/>
        <w:jc w:val="both"/>
        <w:rPr>
          <w:sz w:val="20"/>
          <w:szCs w:val="20"/>
        </w:rPr>
      </w:pPr>
      <w:r w:rsidRPr="000E2ED0">
        <w:rPr>
          <w:rFonts w:ascii="Times New Roman" w:hAnsi="Times New Roman"/>
          <w:sz w:val="20"/>
          <w:szCs w:val="20"/>
        </w:rPr>
        <w:t>Beam management with reduced DL signaling (e.g. beam update based on reporting, beam measurement and report triggered by beam indication, multi-SSB indication, semi-static beam switch)</w:t>
      </w:r>
    </w:p>
    <w:p w14:paraId="38029C2C" w14:textId="22A881BC" w:rsidR="000E2ED0" w:rsidRPr="000E2ED0" w:rsidRDefault="000E2ED0" w:rsidP="000E2ED0">
      <w:pPr>
        <w:pStyle w:val="ListParagraph"/>
        <w:numPr>
          <w:ilvl w:val="0"/>
          <w:numId w:val="93"/>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52792940" w14:textId="62E5841F" w:rsidR="00DE37B1" w:rsidRDefault="00DE37B1">
      <w:pPr>
        <w:snapToGrid w:val="0"/>
        <w:rPr>
          <w:rFonts w:ascii="Times New Roman" w:hAnsi="Times New Roman" w:cs="Times New Roman"/>
          <w:sz w:val="20"/>
        </w:rPr>
      </w:pPr>
    </w:p>
    <w:p w14:paraId="1A0A7307" w14:textId="77777777" w:rsidR="000E2ED0" w:rsidRDefault="000E2ED0">
      <w:pPr>
        <w:snapToGrid w:val="0"/>
        <w:rPr>
          <w:rFonts w:ascii="Times New Roman" w:hAnsi="Times New Roman" w:cs="Times New Roman"/>
          <w:sz w:val="20"/>
        </w:rPr>
      </w:pPr>
    </w:p>
    <w:p w14:paraId="0D3054AB" w14:textId="54A39CAC"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26E6DD8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1079BE75"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20628A61"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1C52671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16C6AA7E" w:rsidR="00DE37B1" w:rsidRDefault="00DE37B1">
            <w:pPr>
              <w:snapToGrid w:val="0"/>
              <w:rPr>
                <w:rFonts w:ascii="Times New Roman" w:eastAsia="SimSu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1CB7" w14:textId="5CCF463E" w:rsidR="00DE37B1" w:rsidRDefault="00DE37B1">
            <w:pPr>
              <w:snapToGrid w:val="0"/>
              <w:rPr>
                <w:rFonts w:ascii="Times New Roman" w:eastAsia="SimSun" w:hAnsi="Times New Roman" w:cs="Times New Roman"/>
                <w:sz w:val="18"/>
                <w:szCs w:val="18"/>
                <w:lang w:eastAsia="zh-CN"/>
              </w:rPr>
            </w:pPr>
          </w:p>
        </w:tc>
      </w:tr>
      <w:tr w:rsidR="00DE37B1" w14:paraId="6FF888C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0AC051B1" w:rsidR="00DE37B1" w:rsidRDefault="00DE37B1">
            <w:pPr>
              <w:snapToGrid w:val="0"/>
              <w:rPr>
                <w:rFonts w:ascii="Times New Roman" w:eastAsia="SimSu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5E8761D0" w:rsidR="00DE37B1" w:rsidRDefault="00DE37B1">
            <w:pPr>
              <w:snapToGrid w:val="0"/>
              <w:rPr>
                <w:rFonts w:ascii="Times New Roman" w:eastAsia="DengXian" w:hAnsi="Times New Roman" w:cs="Times New Roman"/>
                <w:sz w:val="18"/>
                <w:szCs w:val="18"/>
                <w:lang w:eastAsia="ko-KR"/>
              </w:rPr>
            </w:pPr>
          </w:p>
        </w:tc>
      </w:tr>
      <w:tr w:rsidR="00DE37B1" w14:paraId="0B371AF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25C41C71" w:rsidR="00DE37B1" w:rsidRDefault="00DE37B1">
            <w:pPr>
              <w:snapToGrid w:val="0"/>
              <w:rPr>
                <w:rFonts w:ascii="Times New Roman" w:eastAsia="SimSu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0F0AA0B6" w:rsidR="00DE37B1" w:rsidRDefault="00DE37B1">
            <w:pPr>
              <w:snapToGrid w:val="0"/>
              <w:rPr>
                <w:rFonts w:ascii="Times New Roman" w:eastAsia="SimSun" w:hAnsi="Times New Roman" w:cs="Times New Roman"/>
                <w:sz w:val="18"/>
                <w:szCs w:val="18"/>
                <w:lang w:eastAsia="zh-CN"/>
              </w:rPr>
            </w:pPr>
          </w:p>
        </w:tc>
      </w:tr>
      <w:tr w:rsidR="00DE37B1" w14:paraId="631DDE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328D9510" w:rsidR="00DE37B1" w:rsidRDefault="00DE37B1">
            <w:pPr>
              <w:snapToGrid w:val="0"/>
              <w:rPr>
                <w:rFonts w:ascii="Times New Roman" w:eastAsia="SimSu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6F83E8F9" w:rsidR="00DE37B1" w:rsidRDefault="00DE37B1">
            <w:pPr>
              <w:snapToGrid w:val="0"/>
              <w:rPr>
                <w:rFonts w:ascii="Times New Roman" w:eastAsia="SimSun" w:hAnsi="Times New Roman" w:cs="Times New Roman"/>
                <w:sz w:val="18"/>
                <w:szCs w:val="18"/>
                <w:lang w:eastAsia="zh-CN"/>
              </w:rPr>
            </w:pPr>
          </w:p>
        </w:tc>
      </w:tr>
    </w:tbl>
    <w:p w14:paraId="1ABB072A" w14:textId="77777777" w:rsidR="00DE37B1" w:rsidRDefault="00DE37B1">
      <w:pPr>
        <w:snapToGrid w:val="0"/>
        <w:rPr>
          <w:rFonts w:ascii="Times New Roman" w:hAnsi="Times New Roman" w:cs="Times New Roman"/>
          <w:sz w:val="20"/>
          <w:szCs w:val="20"/>
        </w:rPr>
      </w:pPr>
    </w:p>
    <w:sectPr w:rsidR="00DE37B1">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B83A6" w14:textId="77777777" w:rsidR="00D064EE" w:rsidRDefault="00D064EE">
      <w:r>
        <w:separator/>
      </w:r>
    </w:p>
  </w:endnote>
  <w:endnote w:type="continuationSeparator" w:id="0">
    <w:p w14:paraId="08781ADF" w14:textId="77777777" w:rsidR="00D064EE" w:rsidRDefault="00D0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Cambria"/>
    <w:charset w:val="00"/>
    <w:family w:val="roman"/>
    <w:pitch w:val="default"/>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9C710" w14:textId="77777777" w:rsidR="00D064EE" w:rsidRDefault="00D064EE">
      <w:r>
        <w:rPr>
          <w:color w:val="000000"/>
        </w:rPr>
        <w:separator/>
      </w:r>
    </w:p>
  </w:footnote>
  <w:footnote w:type="continuationSeparator" w:id="0">
    <w:p w14:paraId="43D07F0D" w14:textId="77777777" w:rsidR="00D064EE" w:rsidRDefault="00D06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2157DE9"/>
    <w:multiLevelType w:val="multilevel"/>
    <w:tmpl w:val="2D683B1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25C3DE8"/>
    <w:multiLevelType w:val="multilevel"/>
    <w:tmpl w:val="6FD835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AC5D00"/>
    <w:multiLevelType w:val="multilevel"/>
    <w:tmpl w:val="3F7001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BDF1F4D"/>
    <w:multiLevelType w:val="hybridMultilevel"/>
    <w:tmpl w:val="BD168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7" w15:restartNumberingAfterBreak="0">
    <w:nsid w:val="0EA33872"/>
    <w:multiLevelType w:val="hybridMultilevel"/>
    <w:tmpl w:val="7DB40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2772332"/>
    <w:multiLevelType w:val="multilevel"/>
    <w:tmpl w:val="DCF429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5"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0" w15:restartNumberingAfterBreak="0">
    <w:nsid w:val="1ABB3DC1"/>
    <w:multiLevelType w:val="multilevel"/>
    <w:tmpl w:val="8D44FA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1347BBF"/>
    <w:multiLevelType w:val="multilevel"/>
    <w:tmpl w:val="470648AE"/>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4" w15:restartNumberingAfterBreak="0">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5AA30AD"/>
    <w:multiLevelType w:val="multilevel"/>
    <w:tmpl w:val="106EC97C"/>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83F2BBC"/>
    <w:multiLevelType w:val="multilevel"/>
    <w:tmpl w:val="30F221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28FE407B"/>
    <w:multiLevelType w:val="multilevel"/>
    <w:tmpl w:val="FD1CCAC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02079D6"/>
    <w:multiLevelType w:val="multilevel"/>
    <w:tmpl w:val="9B0C9B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312108CA"/>
    <w:multiLevelType w:val="multilevel"/>
    <w:tmpl w:val="9ABC9BA8"/>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2A06B73"/>
    <w:multiLevelType w:val="multilevel"/>
    <w:tmpl w:val="BC522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3CC4AE0"/>
    <w:multiLevelType w:val="multilevel"/>
    <w:tmpl w:val="51E2AE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7D0959"/>
    <w:multiLevelType w:val="multilevel"/>
    <w:tmpl w:val="8D9AE13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0" w15:restartNumberingAfterBreak="0">
    <w:nsid w:val="3691238A"/>
    <w:multiLevelType w:val="multilevel"/>
    <w:tmpl w:val="1EC827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36E533C9"/>
    <w:multiLevelType w:val="multilevel"/>
    <w:tmpl w:val="D40EA47E"/>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8F95E70"/>
    <w:multiLevelType w:val="multilevel"/>
    <w:tmpl w:val="96583C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4216790A"/>
    <w:multiLevelType w:val="multilevel"/>
    <w:tmpl w:val="B2F61D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45AD4FCD"/>
    <w:multiLevelType w:val="multilevel"/>
    <w:tmpl w:val="85EC20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470A19A2"/>
    <w:multiLevelType w:val="multilevel"/>
    <w:tmpl w:val="FF48FFEC"/>
    <w:lvl w:ilvl="0">
      <w:numFmt w:val="bullet"/>
      <w:lvlText w:val="-"/>
      <w:lvlJc w:val="left"/>
      <w:pPr>
        <w:ind w:left="450" w:hanging="360"/>
      </w:pPr>
      <w:rPr>
        <w:rFonts w:ascii="Times New Roman" w:eastAsia="SimSun" w:hAnsi="Times New Roman" w:cs="Times New Roman"/>
      </w:rPr>
    </w:lvl>
    <w:lvl w:ilvl="1">
      <w:numFmt w:val="bullet"/>
      <w:lvlText w:val=""/>
      <w:lvlJc w:val="left"/>
      <w:pPr>
        <w:ind w:left="930" w:hanging="420"/>
      </w:pPr>
      <w:rPr>
        <w:rFonts w:ascii="Wingdings" w:hAnsi="Wingdings"/>
      </w:rPr>
    </w:lvl>
    <w:lvl w:ilvl="2">
      <w:numFmt w:val="bullet"/>
      <w:lvlText w:val=""/>
      <w:lvlJc w:val="left"/>
      <w:pPr>
        <w:ind w:left="1350" w:hanging="420"/>
      </w:pPr>
      <w:rPr>
        <w:rFonts w:ascii="Wingdings" w:hAnsi="Wingdings"/>
      </w:rPr>
    </w:lvl>
    <w:lvl w:ilvl="3">
      <w:numFmt w:val="bullet"/>
      <w:lvlText w:val=""/>
      <w:lvlJc w:val="left"/>
      <w:pPr>
        <w:ind w:left="1770" w:hanging="420"/>
      </w:pPr>
      <w:rPr>
        <w:rFonts w:ascii="Wingdings" w:hAnsi="Wingdings"/>
      </w:rPr>
    </w:lvl>
    <w:lvl w:ilvl="4">
      <w:numFmt w:val="bullet"/>
      <w:lvlText w:val=""/>
      <w:lvlJc w:val="left"/>
      <w:pPr>
        <w:ind w:left="2190" w:hanging="420"/>
      </w:pPr>
      <w:rPr>
        <w:rFonts w:ascii="Wingdings" w:hAnsi="Wingdings"/>
      </w:rPr>
    </w:lvl>
    <w:lvl w:ilvl="5">
      <w:numFmt w:val="bullet"/>
      <w:lvlText w:val=""/>
      <w:lvlJc w:val="left"/>
      <w:pPr>
        <w:ind w:left="2610" w:hanging="420"/>
      </w:pPr>
      <w:rPr>
        <w:rFonts w:ascii="Wingdings" w:hAnsi="Wingdings"/>
      </w:rPr>
    </w:lvl>
    <w:lvl w:ilvl="6">
      <w:numFmt w:val="bullet"/>
      <w:lvlText w:val=""/>
      <w:lvlJc w:val="left"/>
      <w:pPr>
        <w:ind w:left="3030" w:hanging="420"/>
      </w:pPr>
      <w:rPr>
        <w:rFonts w:ascii="Wingdings" w:hAnsi="Wingdings"/>
      </w:rPr>
    </w:lvl>
    <w:lvl w:ilvl="7">
      <w:numFmt w:val="bullet"/>
      <w:lvlText w:val=""/>
      <w:lvlJc w:val="left"/>
      <w:pPr>
        <w:ind w:left="3450" w:hanging="420"/>
      </w:pPr>
      <w:rPr>
        <w:rFonts w:ascii="Wingdings" w:hAnsi="Wingdings"/>
      </w:rPr>
    </w:lvl>
    <w:lvl w:ilvl="8">
      <w:numFmt w:val="bullet"/>
      <w:lvlText w:val=""/>
      <w:lvlJc w:val="left"/>
      <w:pPr>
        <w:ind w:left="3870" w:hanging="420"/>
      </w:pPr>
      <w:rPr>
        <w:rFonts w:ascii="Wingdings" w:hAnsi="Wingdings"/>
      </w:rPr>
    </w:lvl>
  </w:abstractNum>
  <w:abstractNum w:abstractNumId="50"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CB452C3"/>
    <w:multiLevelType w:val="multilevel"/>
    <w:tmpl w:val="A5CAE0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4D7E27A3"/>
    <w:multiLevelType w:val="multilevel"/>
    <w:tmpl w:val="C9FC5D42"/>
    <w:lvl w:ilvl="0">
      <w:numFmt w:val="bullet"/>
      <w:lvlText w:val=""/>
      <w:lvlJc w:val="left"/>
      <w:pPr>
        <w:ind w:left="800" w:hanging="400"/>
      </w:pPr>
      <w:rPr>
        <w:rFonts w:ascii="Wingdings" w:hAnsi="Wingdings"/>
      </w:rPr>
    </w:lvl>
    <w:lvl w:ilvl="1">
      <w:numFmt w:val="bullet"/>
      <w:lvlText w:val=""/>
      <w:lvlJc w:val="left"/>
      <w:pPr>
        <w:ind w:left="1200" w:hanging="400"/>
      </w:pPr>
      <w:rPr>
        <w:rFonts w:ascii="Wingdings" w:hAnsi="Wingdings"/>
      </w:rPr>
    </w:lvl>
    <w:lvl w:ilvl="2">
      <w:numFmt w:val="bullet"/>
      <w:lvlText w:val=""/>
      <w:lvlJc w:val="left"/>
      <w:pPr>
        <w:ind w:left="1600" w:hanging="400"/>
      </w:pPr>
      <w:rPr>
        <w:rFonts w:ascii="Wingdings" w:hAnsi="Wingdings"/>
      </w:rPr>
    </w:lvl>
    <w:lvl w:ilvl="3">
      <w:numFmt w:val="bullet"/>
      <w:lvlText w:val=""/>
      <w:lvlJc w:val="left"/>
      <w:pPr>
        <w:ind w:left="2000" w:hanging="400"/>
      </w:pPr>
      <w:rPr>
        <w:rFonts w:ascii="Wingdings" w:hAnsi="Wingdings"/>
      </w:rPr>
    </w:lvl>
    <w:lvl w:ilvl="4">
      <w:numFmt w:val="bullet"/>
      <w:lvlText w:val=""/>
      <w:lvlJc w:val="left"/>
      <w:pPr>
        <w:ind w:left="2400" w:hanging="400"/>
      </w:pPr>
      <w:rPr>
        <w:rFonts w:ascii="Wingdings" w:hAnsi="Wingdings"/>
      </w:rPr>
    </w:lvl>
    <w:lvl w:ilvl="5">
      <w:numFmt w:val="bullet"/>
      <w:lvlText w:val=""/>
      <w:lvlJc w:val="left"/>
      <w:pPr>
        <w:ind w:left="2800" w:hanging="400"/>
      </w:pPr>
      <w:rPr>
        <w:rFonts w:ascii="Wingdings" w:hAnsi="Wingdings"/>
      </w:rPr>
    </w:lvl>
    <w:lvl w:ilvl="6">
      <w:numFmt w:val="bullet"/>
      <w:lvlText w:val=""/>
      <w:lvlJc w:val="left"/>
      <w:pPr>
        <w:ind w:left="3200" w:hanging="400"/>
      </w:pPr>
      <w:rPr>
        <w:rFonts w:ascii="Wingdings" w:hAnsi="Wingdings"/>
      </w:rPr>
    </w:lvl>
    <w:lvl w:ilvl="7">
      <w:numFmt w:val="bullet"/>
      <w:lvlText w:val=""/>
      <w:lvlJc w:val="left"/>
      <w:pPr>
        <w:ind w:left="3600" w:hanging="400"/>
      </w:pPr>
      <w:rPr>
        <w:rFonts w:ascii="Wingdings" w:hAnsi="Wingdings"/>
      </w:rPr>
    </w:lvl>
    <w:lvl w:ilvl="8">
      <w:numFmt w:val="bullet"/>
      <w:lvlText w:val=""/>
      <w:lvlJc w:val="left"/>
      <w:pPr>
        <w:ind w:left="4000" w:hanging="400"/>
      </w:pPr>
      <w:rPr>
        <w:rFonts w:ascii="Wingdings" w:hAnsi="Wingdings"/>
      </w:rPr>
    </w:lvl>
  </w:abstractNum>
  <w:abstractNum w:abstractNumId="55"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7" w15:restartNumberingAfterBreak="0">
    <w:nsid w:val="4F9D74B5"/>
    <w:multiLevelType w:val="multilevel"/>
    <w:tmpl w:val="0776AAFE"/>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FF11A64"/>
    <w:multiLevelType w:val="multilevel"/>
    <w:tmpl w:val="2CD8A7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50C66FF7"/>
    <w:multiLevelType w:val="multilevel"/>
    <w:tmpl w:val="6F488A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51915D56"/>
    <w:multiLevelType w:val="multilevel"/>
    <w:tmpl w:val="06DEAC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57E960A0"/>
    <w:multiLevelType w:val="multilevel"/>
    <w:tmpl w:val="415A94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59D876A5"/>
    <w:multiLevelType w:val="multilevel"/>
    <w:tmpl w:val="AFBEADE2"/>
    <w:lvl w:ilvl="0">
      <w:numFmt w:val="bullet"/>
      <w:lvlText w:val="-"/>
      <w:lvlJc w:val="left"/>
      <w:pPr>
        <w:ind w:left="360" w:hanging="360"/>
      </w:pPr>
      <w:rPr>
        <w:rFonts w:ascii="Times New Roman" w:eastAsia="DengXian" w:hAnsi="Times New Roman" w:cs="Times New Roman"/>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6"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A02620"/>
    <w:multiLevelType w:val="multilevel"/>
    <w:tmpl w:val="C2188FEA"/>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0" w15:restartNumberingAfterBreak="0">
    <w:nsid w:val="5D402A81"/>
    <w:multiLevelType w:val="multilevel"/>
    <w:tmpl w:val="87C070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1"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4" w15:restartNumberingAfterBreak="0">
    <w:nsid w:val="644F003F"/>
    <w:multiLevelType w:val="multilevel"/>
    <w:tmpl w:val="3B3A92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5"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6A8D73CC"/>
    <w:multiLevelType w:val="multilevel"/>
    <w:tmpl w:val="5CA814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1" w15:restartNumberingAfterBreak="0">
    <w:nsid w:val="710A54E7"/>
    <w:multiLevelType w:val="multilevel"/>
    <w:tmpl w:val="D4347E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2"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5"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6"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B5D7C7D"/>
    <w:multiLevelType w:val="multilevel"/>
    <w:tmpl w:val="502C0A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8"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9"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0"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1" w15:restartNumberingAfterBreak="0">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2"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3" w15:restartNumberingAfterBreak="0">
    <w:nsid w:val="7F6C341E"/>
    <w:multiLevelType w:val="multilevel"/>
    <w:tmpl w:val="2A541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80"/>
  </w:num>
  <w:num w:numId="2">
    <w:abstractNumId w:val="14"/>
  </w:num>
  <w:num w:numId="3">
    <w:abstractNumId w:val="9"/>
  </w:num>
  <w:num w:numId="4">
    <w:abstractNumId w:val="33"/>
  </w:num>
  <w:num w:numId="5">
    <w:abstractNumId w:val="68"/>
  </w:num>
  <w:num w:numId="6">
    <w:abstractNumId w:val="83"/>
  </w:num>
  <w:num w:numId="7">
    <w:abstractNumId w:val="15"/>
  </w:num>
  <w:num w:numId="8">
    <w:abstractNumId w:val="20"/>
  </w:num>
  <w:num w:numId="9">
    <w:abstractNumId w:val="35"/>
  </w:num>
  <w:num w:numId="10">
    <w:abstractNumId w:val="57"/>
  </w:num>
  <w:num w:numId="11">
    <w:abstractNumId w:val="67"/>
  </w:num>
  <w:num w:numId="12">
    <w:abstractNumId w:val="41"/>
  </w:num>
  <w:num w:numId="13">
    <w:abstractNumId w:val="26"/>
  </w:num>
  <w:num w:numId="14">
    <w:abstractNumId w:val="56"/>
  </w:num>
  <w:num w:numId="15">
    <w:abstractNumId w:val="29"/>
  </w:num>
  <w:num w:numId="16">
    <w:abstractNumId w:val="91"/>
  </w:num>
  <w:num w:numId="17">
    <w:abstractNumId w:val="8"/>
  </w:num>
  <w:num w:numId="18">
    <w:abstractNumId w:val="24"/>
  </w:num>
  <w:num w:numId="19">
    <w:abstractNumId w:val="46"/>
  </w:num>
  <w:num w:numId="20">
    <w:abstractNumId w:val="76"/>
  </w:num>
  <w:num w:numId="21">
    <w:abstractNumId w:val="59"/>
  </w:num>
  <w:num w:numId="22">
    <w:abstractNumId w:val="37"/>
  </w:num>
  <w:num w:numId="23">
    <w:abstractNumId w:val="85"/>
  </w:num>
  <w:num w:numId="24">
    <w:abstractNumId w:val="64"/>
  </w:num>
  <w:num w:numId="25">
    <w:abstractNumId w:val="61"/>
  </w:num>
  <w:num w:numId="26">
    <w:abstractNumId w:val="55"/>
  </w:num>
  <w:num w:numId="27">
    <w:abstractNumId w:val="51"/>
  </w:num>
  <w:num w:numId="28">
    <w:abstractNumId w:val="25"/>
  </w:num>
  <w:num w:numId="29">
    <w:abstractNumId w:val="50"/>
  </w:num>
  <w:num w:numId="30">
    <w:abstractNumId w:val="0"/>
  </w:num>
  <w:num w:numId="31">
    <w:abstractNumId w:val="88"/>
  </w:num>
  <w:num w:numId="32">
    <w:abstractNumId w:val="60"/>
  </w:num>
  <w:num w:numId="33">
    <w:abstractNumId w:val="62"/>
  </w:num>
  <w:num w:numId="34">
    <w:abstractNumId w:val="10"/>
  </w:num>
  <w:num w:numId="35">
    <w:abstractNumId w:val="30"/>
  </w:num>
  <w:num w:numId="36">
    <w:abstractNumId w:val="53"/>
  </w:num>
  <w:num w:numId="37">
    <w:abstractNumId w:val="93"/>
  </w:num>
  <w:num w:numId="38">
    <w:abstractNumId w:val="74"/>
  </w:num>
  <w:num w:numId="39">
    <w:abstractNumId w:val="92"/>
  </w:num>
  <w:num w:numId="40">
    <w:abstractNumId w:val="40"/>
  </w:num>
  <w:num w:numId="41">
    <w:abstractNumId w:val="2"/>
  </w:num>
  <w:num w:numId="42">
    <w:abstractNumId w:val="87"/>
  </w:num>
  <w:num w:numId="43">
    <w:abstractNumId w:val="4"/>
  </w:num>
  <w:num w:numId="44">
    <w:abstractNumId w:val="11"/>
  </w:num>
  <w:num w:numId="45">
    <w:abstractNumId w:val="79"/>
  </w:num>
  <w:num w:numId="46">
    <w:abstractNumId w:val="19"/>
  </w:num>
  <w:num w:numId="47">
    <w:abstractNumId w:val="34"/>
  </w:num>
  <w:num w:numId="48">
    <w:abstractNumId w:val="23"/>
  </w:num>
  <w:num w:numId="49">
    <w:abstractNumId w:val="31"/>
  </w:num>
  <w:num w:numId="50">
    <w:abstractNumId w:val="3"/>
  </w:num>
  <w:num w:numId="51">
    <w:abstractNumId w:val="27"/>
  </w:num>
  <w:num w:numId="52">
    <w:abstractNumId w:val="28"/>
  </w:num>
  <w:num w:numId="53">
    <w:abstractNumId w:val="81"/>
  </w:num>
  <w:num w:numId="54">
    <w:abstractNumId w:val="32"/>
  </w:num>
  <w:num w:numId="55">
    <w:abstractNumId w:val="90"/>
  </w:num>
  <w:num w:numId="56">
    <w:abstractNumId w:val="36"/>
  </w:num>
  <w:num w:numId="57">
    <w:abstractNumId w:val="58"/>
  </w:num>
  <w:num w:numId="58">
    <w:abstractNumId w:val="54"/>
  </w:num>
  <w:num w:numId="59">
    <w:abstractNumId w:val="16"/>
  </w:num>
  <w:num w:numId="60">
    <w:abstractNumId w:val="69"/>
  </w:num>
  <w:num w:numId="61">
    <w:abstractNumId w:val="89"/>
  </w:num>
  <w:num w:numId="62">
    <w:abstractNumId w:val="73"/>
  </w:num>
  <w:num w:numId="63">
    <w:abstractNumId w:val="45"/>
  </w:num>
  <w:num w:numId="64">
    <w:abstractNumId w:val="44"/>
  </w:num>
  <w:num w:numId="65">
    <w:abstractNumId w:val="21"/>
  </w:num>
  <w:num w:numId="66">
    <w:abstractNumId w:val="70"/>
  </w:num>
  <w:num w:numId="67">
    <w:abstractNumId w:val="72"/>
  </w:num>
  <w:num w:numId="68">
    <w:abstractNumId w:val="42"/>
  </w:num>
  <w:num w:numId="69">
    <w:abstractNumId w:val="49"/>
  </w:num>
  <w:num w:numId="70">
    <w:abstractNumId w:val="48"/>
  </w:num>
  <w:num w:numId="71">
    <w:abstractNumId w:val="39"/>
  </w:num>
  <w:num w:numId="72">
    <w:abstractNumId w:val="43"/>
  </w:num>
  <w:num w:numId="73">
    <w:abstractNumId w:val="47"/>
  </w:num>
  <w:num w:numId="74">
    <w:abstractNumId w:val="18"/>
  </w:num>
  <w:num w:numId="75">
    <w:abstractNumId w:val="84"/>
  </w:num>
  <w:num w:numId="76">
    <w:abstractNumId w:val="65"/>
  </w:num>
  <w:num w:numId="77">
    <w:abstractNumId w:val="22"/>
  </w:num>
  <w:num w:numId="78">
    <w:abstractNumId w:val="1"/>
  </w:num>
  <w:num w:numId="79">
    <w:abstractNumId w:val="77"/>
  </w:num>
  <w:num w:numId="80">
    <w:abstractNumId w:val="71"/>
  </w:num>
  <w:num w:numId="81">
    <w:abstractNumId w:val="75"/>
  </w:num>
  <w:num w:numId="82">
    <w:abstractNumId w:val="52"/>
  </w:num>
  <w:num w:numId="83">
    <w:abstractNumId w:val="63"/>
  </w:num>
  <w:num w:numId="84">
    <w:abstractNumId w:val="12"/>
  </w:num>
  <w:num w:numId="85">
    <w:abstractNumId w:val="6"/>
  </w:num>
  <w:num w:numId="86">
    <w:abstractNumId w:val="66"/>
  </w:num>
  <w:num w:numId="87">
    <w:abstractNumId w:val="86"/>
  </w:num>
  <w:num w:numId="88">
    <w:abstractNumId w:val="38"/>
  </w:num>
  <w:num w:numId="89">
    <w:abstractNumId w:val="78"/>
  </w:num>
  <w:num w:numId="90">
    <w:abstractNumId w:val="5"/>
  </w:num>
  <w:num w:numId="91">
    <w:abstractNumId w:val="17"/>
  </w:num>
  <w:num w:numId="92">
    <w:abstractNumId w:val="13"/>
  </w:num>
  <w:num w:numId="93">
    <w:abstractNumId w:val="82"/>
  </w:num>
  <w:num w:numId="94">
    <w:abstractNumId w:val="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oNotDisplayPageBoundaries/>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34C92"/>
    <w:rsid w:val="000625C7"/>
    <w:rsid w:val="00096B0F"/>
    <w:rsid w:val="000C10A5"/>
    <w:rsid w:val="000D6660"/>
    <w:rsid w:val="000E2ED0"/>
    <w:rsid w:val="0012034E"/>
    <w:rsid w:val="00132654"/>
    <w:rsid w:val="001478BC"/>
    <w:rsid w:val="00152B5E"/>
    <w:rsid w:val="00186909"/>
    <w:rsid w:val="001F1F0E"/>
    <w:rsid w:val="00213008"/>
    <w:rsid w:val="00290F7F"/>
    <w:rsid w:val="00294361"/>
    <w:rsid w:val="002A604D"/>
    <w:rsid w:val="00316B60"/>
    <w:rsid w:val="00395214"/>
    <w:rsid w:val="003E6CE4"/>
    <w:rsid w:val="00415A20"/>
    <w:rsid w:val="00434C01"/>
    <w:rsid w:val="0046047F"/>
    <w:rsid w:val="004B1BD9"/>
    <w:rsid w:val="004C2715"/>
    <w:rsid w:val="004C3DFB"/>
    <w:rsid w:val="0050378B"/>
    <w:rsid w:val="00516EBE"/>
    <w:rsid w:val="00562E3F"/>
    <w:rsid w:val="0057551A"/>
    <w:rsid w:val="005B73C8"/>
    <w:rsid w:val="005D76DF"/>
    <w:rsid w:val="005F60AC"/>
    <w:rsid w:val="00602A4E"/>
    <w:rsid w:val="006050EE"/>
    <w:rsid w:val="006236E8"/>
    <w:rsid w:val="00645069"/>
    <w:rsid w:val="00687A30"/>
    <w:rsid w:val="00693256"/>
    <w:rsid w:val="006B722C"/>
    <w:rsid w:val="006C1F83"/>
    <w:rsid w:val="006C30E2"/>
    <w:rsid w:val="00721830"/>
    <w:rsid w:val="00744AE0"/>
    <w:rsid w:val="007476B1"/>
    <w:rsid w:val="007536A5"/>
    <w:rsid w:val="00756AF4"/>
    <w:rsid w:val="007922D2"/>
    <w:rsid w:val="007B253D"/>
    <w:rsid w:val="007B2B36"/>
    <w:rsid w:val="00800B4E"/>
    <w:rsid w:val="00807F22"/>
    <w:rsid w:val="008140E7"/>
    <w:rsid w:val="0081463A"/>
    <w:rsid w:val="00864F1F"/>
    <w:rsid w:val="008A2BA6"/>
    <w:rsid w:val="008E45C6"/>
    <w:rsid w:val="0095083B"/>
    <w:rsid w:val="00984656"/>
    <w:rsid w:val="009D2A30"/>
    <w:rsid w:val="009F7B4C"/>
    <w:rsid w:val="00A1076B"/>
    <w:rsid w:val="00A112E3"/>
    <w:rsid w:val="00A1252F"/>
    <w:rsid w:val="00A32426"/>
    <w:rsid w:val="00A4584B"/>
    <w:rsid w:val="00A54AF9"/>
    <w:rsid w:val="00A55ED6"/>
    <w:rsid w:val="00A82998"/>
    <w:rsid w:val="00A87765"/>
    <w:rsid w:val="00AC0F52"/>
    <w:rsid w:val="00AD631B"/>
    <w:rsid w:val="00AD725F"/>
    <w:rsid w:val="00AE40EF"/>
    <w:rsid w:val="00B124D3"/>
    <w:rsid w:val="00B146F9"/>
    <w:rsid w:val="00B243C2"/>
    <w:rsid w:val="00B37D4D"/>
    <w:rsid w:val="00B77D1C"/>
    <w:rsid w:val="00BA30F2"/>
    <w:rsid w:val="00BC04AC"/>
    <w:rsid w:val="00BE0897"/>
    <w:rsid w:val="00BE0F71"/>
    <w:rsid w:val="00BE50BF"/>
    <w:rsid w:val="00C20373"/>
    <w:rsid w:val="00C33838"/>
    <w:rsid w:val="00C369DA"/>
    <w:rsid w:val="00C412DF"/>
    <w:rsid w:val="00C44EF8"/>
    <w:rsid w:val="00C85277"/>
    <w:rsid w:val="00CD34CF"/>
    <w:rsid w:val="00CD5653"/>
    <w:rsid w:val="00D064EE"/>
    <w:rsid w:val="00D51C82"/>
    <w:rsid w:val="00D75400"/>
    <w:rsid w:val="00D97BB9"/>
    <w:rsid w:val="00DC63C2"/>
    <w:rsid w:val="00DE37B1"/>
    <w:rsid w:val="00E03070"/>
    <w:rsid w:val="00E34A6D"/>
    <w:rsid w:val="00E377DB"/>
    <w:rsid w:val="00E46007"/>
    <w:rsid w:val="00E62396"/>
    <w:rsid w:val="00E67848"/>
    <w:rsid w:val="00EA64DE"/>
    <w:rsid w:val="00EB4A2F"/>
    <w:rsid w:val="00EF35A2"/>
    <w:rsid w:val="00F7436B"/>
    <w:rsid w:val="00F77D3D"/>
    <w:rsid w:val="00F85BB5"/>
    <w:rsid w:val="00FA0913"/>
    <w:rsid w:val="00FA16D8"/>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eastAsia="PMingLiU" w:cs="Calibri"/>
      <w:lang w:eastAsia="zh-TW"/>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pPr>
      <w:spacing w:after="160" w:line="256" w:lineRule="auto"/>
      <w:ind w:left="720"/>
    </w:pPr>
    <w:rPr>
      <w:rFonts w:eastAsia="SimSun" w:cs="Times New Roman"/>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rFonts w:eastAsia="SimSun" w:cs="Times New Roman"/>
      <w:sz w:val="20"/>
      <w:szCs w:val="20"/>
      <w:lang w:eastAsia="en-US"/>
    </w:rPr>
  </w:style>
  <w:style w:type="character" w:customStyle="1" w:styleId="a">
    <w:name w:val="批注文字 字符"/>
    <w:basedOn w:val="DefaultParagraphFont"/>
    <w:rPr>
      <w:sz w:val="20"/>
      <w:szCs w:val="20"/>
    </w:rPr>
  </w:style>
  <w:style w:type="paragraph" w:styleId="CommentSubject">
    <w:name w:val="annotation subject"/>
    <w:basedOn w:val="CommentText"/>
    <w:next w:val="CommentText"/>
    <w:rPr>
      <w:b/>
      <w:bCs/>
    </w:rPr>
  </w:style>
  <w:style w:type="character" w:customStyle="1" w:styleId="a0">
    <w:name w:val="批注主题 字符"/>
    <w:basedOn w:val="a"/>
    <w:rPr>
      <w:b/>
      <w:bCs/>
      <w:sz w:val="20"/>
      <w:szCs w:val="20"/>
    </w:rPr>
  </w:style>
  <w:style w:type="paragraph" w:styleId="BalloonText">
    <w:name w:val="Balloon Text"/>
    <w:basedOn w:val="Normal"/>
    <w:rPr>
      <w:rFonts w:ascii="Segoe UI" w:eastAsia="SimSun" w:hAnsi="Segoe UI" w:cs="Segoe UI"/>
      <w:sz w:val="18"/>
      <w:szCs w:val="18"/>
      <w:lang w:eastAsia="en-US"/>
    </w:rPr>
  </w:style>
  <w:style w:type="character" w:customStyle="1" w:styleId="a1">
    <w:name w:val="批注框文本 字符"/>
    <w:basedOn w:val="DefaultParagraphFont"/>
    <w:rPr>
      <w:rFonts w:ascii="Segoe UI" w:hAnsi="Segoe UI" w:cs="Segoe UI"/>
      <w:sz w:val="18"/>
      <w:szCs w:val="18"/>
    </w:rPr>
  </w:style>
  <w:style w:type="paragraph" w:styleId="NormalWeb">
    <w:name w:val="Normal (Web)"/>
    <w:basedOn w:val="Normal"/>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Pr>
      <w:rFonts w:ascii="Arial" w:hAnsi="Arial" w:cs="Arial"/>
    </w:rPr>
  </w:style>
  <w:style w:type="paragraph" w:customStyle="1" w:styleId="TAL">
    <w:name w:val="TAL"/>
    <w:basedOn w:val="Normal"/>
    <w:pPr>
      <w:keepNext/>
    </w:pPr>
    <w:rPr>
      <w:rFonts w:ascii="Arial" w:hAnsi="Arial" w:cs="Arial"/>
    </w:rPr>
  </w:style>
  <w:style w:type="character" w:customStyle="1" w:styleId="TAHCar">
    <w:name w:val="TAH Car"/>
    <w:basedOn w:val="DefaultParagraphFon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paragraph" w:styleId="Caption">
    <w:name w:val="caption"/>
    <w:basedOn w:val="Normal"/>
    <w:next w:val="Normal"/>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Pr>
      <w:sz w:val="18"/>
      <w:szCs w:val="18"/>
    </w:rPr>
  </w:style>
  <w:style w:type="paragraph" w:styleId="Footer">
    <w:name w:val="footer"/>
    <w:basedOn w:val="Normal"/>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rPr>
      <w:rFonts w:ascii="Times New Roman" w:hAnsi="Times New Roman" w:cs="Times New Roman"/>
    </w:rPr>
  </w:style>
  <w:style w:type="character" w:customStyle="1" w:styleId="eop">
    <w:name w:val="eop"/>
    <w:basedOn w:val="DefaultParagraphFont"/>
    <w:rPr>
      <w:rFonts w:ascii="Times New Roman" w:hAnsi="Times New Roman" w:cs="Times New Roman"/>
    </w:rPr>
  </w:style>
  <w:style w:type="paragraph" w:customStyle="1" w:styleId="paragraph">
    <w:name w:val="paragraph"/>
    <w:basedOn w:val="Normal"/>
    <w:pPr>
      <w:spacing w:before="100" w:after="100"/>
    </w:pPr>
    <w:rPr>
      <w:rFonts w:eastAsia="Malgun Gothic"/>
      <w:lang w:eastAsia="en-US"/>
    </w:rPr>
  </w:style>
  <w:style w:type="paragraph" w:styleId="Revision">
    <w:name w:val="Revision"/>
    <w:pPr>
      <w:suppressAutoHyphens/>
      <w:spacing w:after="0" w:line="240" w:lineRule="auto"/>
    </w:pPr>
  </w:style>
  <w:style w:type="character" w:styleId="PlaceholderText">
    <w:name w:val="Placeholder Text"/>
    <w:basedOn w:val="DefaultParagraphFont"/>
    <w:rPr>
      <w:color w:val="808080"/>
    </w:rPr>
  </w:style>
  <w:style w:type="character" w:customStyle="1" w:styleId="1">
    <w:name w:val="标题 1 字符"/>
    <w:basedOn w:val="DefaultParagraphFon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Pr>
      <w:rFonts w:ascii="Times New Roman" w:eastAsia="Malgun Gothic" w:hAnsi="Times New Roman" w:cs="Batang"/>
      <w:szCs w:val="20"/>
      <w:lang w:val="en-GB"/>
    </w:rPr>
  </w:style>
  <w:style w:type="paragraph" w:customStyle="1" w:styleId="proposal">
    <w:name w:val="proposal"/>
    <w:basedOn w:val="BodyText"/>
    <w:next w:val="Normal"/>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pPr>
      <w:spacing w:after="120"/>
      <w:jc w:val="both"/>
    </w:pPr>
    <w:rPr>
      <w:rFonts w:ascii="Times New Roman" w:eastAsia="SimSun" w:hAnsi="Times New Roman" w:cs="Times New Roman"/>
      <w:sz w:val="20"/>
      <w:szCs w:val="24"/>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pPr>
      <w:ind w:left="1440" w:hanging="360"/>
    </w:pPr>
  </w:style>
  <w:style w:type="paragraph" w:customStyle="1" w:styleId="bullet3">
    <w:name w:val="bullet3"/>
    <w:basedOn w:val="bullet1"/>
    <w:pPr>
      <w:numPr>
        <w:numId w:val="2"/>
      </w:numPr>
      <w:tabs>
        <w:tab w:val="left" w:pos="360"/>
      </w:tabs>
    </w:pPr>
  </w:style>
  <w:style w:type="paragraph" w:styleId="BodyText">
    <w:name w:val="Body Text"/>
    <w:basedOn w:val="Normal"/>
    <w:pPr>
      <w:spacing w:after="120"/>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Normal"/>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pPr>
      <w:spacing w:after="200" w:line="276" w:lineRule="auto"/>
      <w:ind w:firstLine="420"/>
    </w:pPr>
    <w:rPr>
      <w:rFonts w:ascii="Times New Roman" w:eastAsia="t" w:hAnsi="Times New Roman" w:cs="Times New Roman"/>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rPr>
      <w:rFonts w:ascii="Calibri" w:hAnsi="Calibri" w:cs="Calibri"/>
    </w:rPr>
  </w:style>
  <w:style w:type="character" w:styleId="Hyperlink">
    <w:name w:val="Hyperlink"/>
    <w:basedOn w:val="DefaultParagraphFont"/>
    <w:rPr>
      <w:color w:val="0563C1"/>
      <w:u w:val="single"/>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spacing w:after="0" w:line="240" w:lineRule="auto"/>
    </w:pPr>
    <w:rPr>
      <w:rFonts w:eastAsia="PMingLiU" w:cs="Calibri"/>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paragraph" w:styleId="DocumentMap">
    <w:name w:val="Document Map"/>
    <w:basedOn w:val="Normal"/>
    <w:rPr>
      <w:rFonts w:ascii="SimSun" w:eastAsia="SimSun" w:hAnsi="SimSun"/>
      <w:sz w:val="18"/>
      <w:szCs w:val="18"/>
    </w:rPr>
  </w:style>
  <w:style w:type="character" w:customStyle="1" w:styleId="a8">
    <w:name w:val="文档结构图 字符"/>
    <w:basedOn w:val="DefaultParagraphFont"/>
    <w:rPr>
      <w:rFonts w:ascii="SimSun" w:hAnsi="SimSun" w:cs="Calibri"/>
      <w:sz w:val="18"/>
      <w:szCs w:val="18"/>
      <w:lang w:eastAsia="zh-TW"/>
    </w:rPr>
  </w:style>
  <w:style w:type="numbering" w:customStyle="1" w:styleId="LFO5">
    <w:name w:val="LFO5"/>
    <w:basedOn w:val="NoList"/>
    <w:pPr>
      <w:numPr>
        <w:numId w:val="2"/>
      </w:numPr>
    </w:pPr>
  </w:style>
  <w:style w:type="numbering" w:customStyle="1" w:styleId="LFO6">
    <w:name w:val="LFO6"/>
    <w:basedOn w:val="NoList"/>
    <w:pPr>
      <w:numPr>
        <w:numId w:val="3"/>
      </w:numPr>
    </w:pPr>
  </w:style>
  <w:style w:type="numbering" w:customStyle="1" w:styleId="LFO7">
    <w:name w:val="LFO7"/>
    <w:basedOn w:val="NoList"/>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5BC77-BFD7-45E5-BDEA-F251963A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9</Pages>
  <Words>3291</Words>
  <Characters>18762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105</cp:revision>
  <dcterms:created xsi:type="dcterms:W3CDTF">2021-01-25T10:11:00Z</dcterms:created>
  <dcterms:modified xsi:type="dcterms:W3CDTF">2021-01-25T17:08:00Z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