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E4701" w14:textId="555A06D2" w:rsidR="00E93E89" w:rsidRPr="008F3CAE" w:rsidRDefault="001D6199" w:rsidP="00E93E89">
      <w:pPr>
        <w:tabs>
          <w:tab w:val="center" w:pos="4536"/>
          <w:tab w:val="right" w:pos="8280"/>
          <w:tab w:val="right" w:pos="9639"/>
        </w:tabs>
        <w:ind w:left="1440" w:right="2" w:hanging="1440"/>
        <w:rPr>
          <w:rFonts w:ascii="Arial" w:eastAsia="Batang" w:hAnsi="Arial" w:cs="Arial"/>
          <w:b/>
          <w:bCs/>
          <w:sz w:val="24"/>
          <w:szCs w:val="24"/>
        </w:rPr>
      </w:pPr>
      <w:bookmarkStart w:id="0" w:name="_Hlk492190689"/>
      <w:r w:rsidRPr="008F3CAE">
        <w:rPr>
          <w:rFonts w:ascii="Arial" w:eastAsia="Batang" w:hAnsi="Arial" w:cs="Arial"/>
          <w:b/>
          <w:bCs/>
          <w:sz w:val="24"/>
          <w:szCs w:val="24"/>
        </w:rPr>
        <w:t>3GPP TSG RAN WG1 Meeting #</w:t>
      </w:r>
      <w:r w:rsidR="00257F57">
        <w:rPr>
          <w:rFonts w:ascii="Arial" w:eastAsia="Batang" w:hAnsi="Arial" w:cs="Arial"/>
          <w:b/>
          <w:bCs/>
          <w:sz w:val="24"/>
          <w:szCs w:val="24"/>
        </w:rPr>
        <w:t>10</w:t>
      </w:r>
      <w:r w:rsidR="001B0678">
        <w:rPr>
          <w:rFonts w:ascii="Arial" w:eastAsia="Batang" w:hAnsi="Arial" w:cs="Arial"/>
          <w:b/>
          <w:bCs/>
          <w:sz w:val="24"/>
          <w:szCs w:val="24"/>
        </w:rPr>
        <w:t>4</w:t>
      </w:r>
      <w:r w:rsidR="00257F57">
        <w:rPr>
          <w:rFonts w:ascii="Arial" w:eastAsia="Batang" w:hAnsi="Arial" w:cs="Arial"/>
          <w:b/>
          <w:bCs/>
          <w:sz w:val="24"/>
          <w:szCs w:val="24"/>
        </w:rPr>
        <w:t>-e</w:t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BA6C48" w:rsidRPr="00BA6C48">
        <w:rPr>
          <w:rFonts w:ascii="Arial" w:eastAsia="Batang" w:hAnsi="Arial" w:cs="Arial"/>
          <w:b/>
          <w:bCs/>
          <w:sz w:val="24"/>
          <w:szCs w:val="24"/>
        </w:rPr>
        <w:t>R1-200</w:t>
      </w:r>
      <w:r w:rsidR="00A63E33">
        <w:rPr>
          <w:rFonts w:ascii="Arial" w:eastAsia="Batang" w:hAnsi="Arial" w:cs="Arial"/>
          <w:b/>
          <w:bCs/>
          <w:sz w:val="24"/>
          <w:szCs w:val="24"/>
        </w:rPr>
        <w:t>2008</w:t>
      </w:r>
    </w:p>
    <w:p w14:paraId="4DC6E547" w14:textId="1DD8F940" w:rsidR="00E93E89" w:rsidRPr="008F3CAE" w:rsidRDefault="00257F57" w:rsidP="00E93E89">
      <w:pPr>
        <w:tabs>
          <w:tab w:val="center" w:pos="4536"/>
          <w:tab w:val="right" w:pos="9072"/>
        </w:tabs>
        <w:ind w:left="1440" w:hanging="144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e-Meeting</w:t>
      </w:r>
      <w:r w:rsidR="00E93E89" w:rsidRPr="008F3CA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, </w:t>
      </w:r>
      <w:r w:rsidR="009F1C51" w:rsidRPr="009F1C51">
        <w:rPr>
          <w:rFonts w:ascii="Arial" w:eastAsia="MS Mincho" w:hAnsi="Arial" w:cs="Arial"/>
          <w:b/>
          <w:bCs/>
          <w:sz w:val="24"/>
          <w:lang w:eastAsia="ja-JP"/>
        </w:rPr>
        <w:t>January</w:t>
      </w:r>
      <w:r w:rsidR="009F1C51" w:rsidRPr="009F1C51">
        <w:rPr>
          <w:rFonts w:ascii="Arial" w:eastAsia="MS Mincho" w:hAnsi="Arial" w:cs="Arial"/>
          <w:b/>
          <w:bCs/>
          <w:sz w:val="32"/>
          <w:lang w:eastAsia="ja-JP"/>
        </w:rPr>
        <w:t xml:space="preserve"> 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>25</w:t>
      </w:r>
      <w:r w:rsidR="009F1C51">
        <w:rPr>
          <w:rFonts w:ascii="Arial" w:eastAsia="MS Mincho" w:hAnsi="Arial" w:cs="Arial"/>
          <w:b/>
          <w:bCs/>
          <w:sz w:val="24"/>
          <w:vertAlign w:val="superscript"/>
          <w:lang w:eastAsia="ja-JP"/>
        </w:rPr>
        <w:t>th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 xml:space="preserve"> – February 5</w:t>
      </w:r>
      <w:r w:rsidR="009F1C51">
        <w:rPr>
          <w:rFonts w:ascii="Arial" w:eastAsia="MS Mincho" w:hAnsi="Arial" w:cs="Arial"/>
          <w:b/>
          <w:bCs/>
          <w:sz w:val="24"/>
          <w:vertAlign w:val="superscript"/>
          <w:lang w:eastAsia="ja-JP"/>
        </w:rPr>
        <w:t>th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>, 2021</w:t>
      </w:r>
      <w:r w:rsidR="00E93E89" w:rsidRPr="008F3CA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</w:p>
    <w:p w14:paraId="6256AE8E" w14:textId="77777777" w:rsidR="00E93E89" w:rsidRDefault="00E93E89" w:rsidP="00A27A64">
      <w:pPr>
        <w:pStyle w:val="3GPPHeader"/>
        <w:spacing w:after="0"/>
        <w:rPr>
          <w:rFonts w:ascii="Arial" w:hAnsi="Arial" w:cs="Arial"/>
          <w:sz w:val="22"/>
        </w:rPr>
      </w:pPr>
    </w:p>
    <w:bookmarkEnd w:id="0"/>
    <w:p w14:paraId="32736EA7" w14:textId="72D22D49" w:rsidR="00115C5B" w:rsidRDefault="00A0385F" w:rsidP="00953382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Title:</w:t>
      </w:r>
      <w:r w:rsidRPr="00792418">
        <w:rPr>
          <w:rFonts w:ascii="Arial" w:hAnsi="Arial" w:cs="Arial"/>
          <w:b/>
        </w:rPr>
        <w:tab/>
      </w:r>
      <w:r w:rsidR="00890B51">
        <w:rPr>
          <w:rFonts w:ascii="Arial" w:hAnsi="Arial" w:cs="Arial"/>
          <w:b/>
        </w:rPr>
        <w:t xml:space="preserve">DRAFT </w:t>
      </w:r>
      <w:r w:rsidR="00257F57">
        <w:rPr>
          <w:rFonts w:ascii="Arial" w:hAnsi="Arial" w:cs="Arial"/>
        </w:rPr>
        <w:t>L</w:t>
      </w:r>
      <w:r w:rsidR="00E800D2" w:rsidRPr="00A835EE">
        <w:rPr>
          <w:rFonts w:ascii="Arial" w:hAnsi="Arial" w:cs="Arial"/>
          <w:lang w:eastAsia="zh-CN"/>
        </w:rPr>
        <w:t>S o</w:t>
      </w:r>
      <w:r w:rsidR="00E800D2" w:rsidRPr="00A835EE">
        <w:rPr>
          <w:rFonts w:ascii="Arial" w:hAnsi="Arial" w:cs="Arial"/>
        </w:rPr>
        <w:t xml:space="preserve">n </w:t>
      </w:r>
      <w:r w:rsidR="00890B51">
        <w:rPr>
          <w:rFonts w:ascii="Arial" w:hAnsi="Arial" w:cs="Arial"/>
        </w:rPr>
        <w:t>Agreements Pertaining to L1/L2-Centric Inter-Cell Mobility</w:t>
      </w:r>
      <w:r w:rsidR="00115C5B">
        <w:rPr>
          <w:rFonts w:ascii="Arial" w:hAnsi="Arial" w:cs="Arial"/>
        </w:rPr>
        <w:t xml:space="preserve"> </w:t>
      </w:r>
    </w:p>
    <w:p w14:paraId="1168DA2F" w14:textId="77777777" w:rsidR="00115C5B" w:rsidRDefault="00115C5B">
      <w:pPr>
        <w:spacing w:after="60"/>
        <w:ind w:left="1985" w:hanging="1985"/>
        <w:rPr>
          <w:rFonts w:ascii="Arial" w:hAnsi="Arial" w:cs="Arial"/>
        </w:rPr>
      </w:pPr>
    </w:p>
    <w:p w14:paraId="7E86E48F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  <w:r w:rsidRPr="00792418">
        <w:rPr>
          <w:rFonts w:ascii="Arial" w:hAnsi="Arial" w:cs="Arial"/>
          <w:b/>
        </w:rPr>
        <w:t>Response to:</w:t>
      </w:r>
      <w:r w:rsidRPr="00792418">
        <w:rPr>
          <w:rFonts w:ascii="Arial" w:hAnsi="Arial" w:cs="Arial"/>
          <w:bCs/>
        </w:rPr>
        <w:tab/>
      </w:r>
    </w:p>
    <w:p w14:paraId="17FB3797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792418">
        <w:rPr>
          <w:rFonts w:ascii="Arial" w:hAnsi="Arial" w:cs="Arial"/>
          <w:b/>
        </w:rPr>
        <w:t>Release:</w:t>
      </w:r>
      <w:r w:rsidRPr="00792418">
        <w:rPr>
          <w:rFonts w:ascii="Arial" w:hAnsi="Arial" w:cs="Arial"/>
          <w:bCs/>
        </w:rPr>
        <w:tab/>
      </w:r>
      <w:r w:rsidR="00046967">
        <w:rPr>
          <w:rFonts w:ascii="Arial" w:hAnsi="Arial" w:cs="Arial" w:hint="eastAsia"/>
          <w:bCs/>
          <w:lang w:eastAsia="zh-CN"/>
        </w:rPr>
        <w:t>Rel-1</w:t>
      </w:r>
      <w:r w:rsidR="00257F57">
        <w:rPr>
          <w:rFonts w:ascii="Arial" w:hAnsi="Arial" w:cs="Arial"/>
          <w:bCs/>
          <w:lang w:eastAsia="zh-CN"/>
        </w:rPr>
        <w:t>7</w:t>
      </w:r>
    </w:p>
    <w:p w14:paraId="1B90563A" w14:textId="17595D03" w:rsidR="00A0385F" w:rsidRPr="00792418" w:rsidRDefault="00C00B6E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</w:t>
      </w:r>
      <w:r w:rsidR="00A0385F" w:rsidRPr="00792418">
        <w:rPr>
          <w:rFonts w:ascii="Arial" w:hAnsi="Arial" w:cs="Arial"/>
          <w:b/>
        </w:rPr>
        <w:t xml:space="preserve"> Item:</w:t>
      </w:r>
      <w:r w:rsidR="00A0385F" w:rsidRPr="00792418">
        <w:rPr>
          <w:rFonts w:ascii="Arial" w:hAnsi="Arial" w:cs="Arial"/>
          <w:bCs/>
        </w:rPr>
        <w:tab/>
      </w:r>
      <w:r w:rsidR="00A543E1" w:rsidRPr="00A543E1">
        <w:rPr>
          <w:rFonts w:ascii="Arial" w:hAnsi="Arial" w:cs="Arial"/>
          <w:bCs/>
          <w:lang w:eastAsia="zh-CN"/>
        </w:rPr>
        <w:t>NR_</w:t>
      </w:r>
      <w:r>
        <w:rPr>
          <w:rFonts w:ascii="Arial" w:hAnsi="Arial" w:cs="Arial"/>
          <w:bCs/>
          <w:lang w:eastAsia="zh-CN"/>
        </w:rPr>
        <w:t>f</w:t>
      </w:r>
      <w:r w:rsidR="009F0063">
        <w:rPr>
          <w:rFonts w:ascii="Arial" w:hAnsi="Arial" w:cs="Arial"/>
          <w:bCs/>
          <w:lang w:eastAsia="zh-CN"/>
        </w:rPr>
        <w:t>eMIMO</w:t>
      </w:r>
      <w:r w:rsidR="00BA6C48">
        <w:rPr>
          <w:rFonts w:ascii="Arial" w:hAnsi="Arial" w:cs="Arial"/>
          <w:bCs/>
          <w:lang w:eastAsia="zh-CN"/>
        </w:rPr>
        <w:t>-</w:t>
      </w:r>
      <w:r>
        <w:rPr>
          <w:rFonts w:ascii="Arial" w:hAnsi="Arial" w:cs="Arial"/>
          <w:bCs/>
          <w:lang w:eastAsia="zh-CN"/>
        </w:rPr>
        <w:t>Core</w:t>
      </w:r>
    </w:p>
    <w:p w14:paraId="0B48B5A8" w14:textId="77777777" w:rsidR="00A0385F" w:rsidRPr="00194B93" w:rsidRDefault="00A0385F">
      <w:pPr>
        <w:spacing w:after="60"/>
        <w:ind w:left="1985" w:hanging="1985"/>
        <w:rPr>
          <w:rFonts w:ascii="Arial" w:hAnsi="Arial" w:cs="Arial"/>
          <w:b/>
        </w:rPr>
      </w:pPr>
    </w:p>
    <w:p w14:paraId="7F6DA58D" w14:textId="183A0254" w:rsidR="00E800D2" w:rsidRPr="00010DEC" w:rsidRDefault="00E800D2" w:rsidP="00E800D2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410FDC" w:rsidRPr="00410FDC">
        <w:rPr>
          <w:rFonts w:ascii="Arial" w:hAnsi="Arial" w:cs="Arial"/>
          <w:bCs/>
        </w:rPr>
        <w:t xml:space="preserve">Samsung </w:t>
      </w:r>
      <w:r w:rsidR="00890B51" w:rsidRPr="00410FDC">
        <w:rPr>
          <w:rFonts w:ascii="Arial" w:hAnsi="Arial" w:cs="Arial"/>
          <w:bCs/>
        </w:rPr>
        <w:t>[</w:t>
      </w:r>
      <w:r w:rsidR="00C00B6E" w:rsidRPr="00410FDC">
        <w:rPr>
          <w:rFonts w:ascii="Arial" w:hAnsi="Arial" w:cs="Arial"/>
          <w:bCs/>
        </w:rPr>
        <w:t>RAN1</w:t>
      </w:r>
      <w:r w:rsidR="00890B51" w:rsidRPr="00410FDC">
        <w:rPr>
          <w:rFonts w:ascii="Arial" w:hAnsi="Arial" w:cs="Arial"/>
          <w:bCs/>
        </w:rPr>
        <w:t>]</w:t>
      </w:r>
    </w:p>
    <w:p w14:paraId="2C7502EB" w14:textId="0D10125B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  <w:r w:rsidRPr="00792418">
        <w:rPr>
          <w:rFonts w:ascii="Arial" w:hAnsi="Arial" w:cs="Arial"/>
          <w:b/>
        </w:rPr>
        <w:t>To:</w:t>
      </w:r>
      <w:r w:rsidRPr="00792418">
        <w:rPr>
          <w:rFonts w:ascii="Arial" w:hAnsi="Arial" w:cs="Arial"/>
          <w:bCs/>
        </w:rPr>
        <w:tab/>
      </w:r>
      <w:r w:rsidR="00890B51">
        <w:rPr>
          <w:rFonts w:ascii="Arial" w:hAnsi="Arial" w:cs="Arial"/>
          <w:bCs/>
        </w:rPr>
        <w:t>RAN2</w:t>
      </w:r>
    </w:p>
    <w:p w14:paraId="1FFDAC0B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792418">
        <w:rPr>
          <w:rFonts w:ascii="Arial" w:hAnsi="Arial" w:cs="Arial"/>
          <w:b/>
        </w:rPr>
        <w:t>Cc:</w:t>
      </w:r>
      <w:r w:rsidRPr="00792418">
        <w:rPr>
          <w:rFonts w:ascii="Arial" w:hAnsi="Arial" w:cs="Arial"/>
          <w:bCs/>
        </w:rPr>
        <w:tab/>
      </w:r>
    </w:p>
    <w:p w14:paraId="61BDDE16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</w:p>
    <w:p w14:paraId="4BFDE5C2" w14:textId="77777777" w:rsidR="00E800D2" w:rsidRDefault="00E800D2" w:rsidP="00E800D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66640F4D" w14:textId="3D319A93" w:rsidR="00E800D2" w:rsidRDefault="00E800D2" w:rsidP="00E800D2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2761D7">
        <w:rPr>
          <w:rFonts w:cs="Arial"/>
        </w:rPr>
        <w:t>Eko Onggosanusi</w:t>
      </w:r>
    </w:p>
    <w:p w14:paraId="27ABF649" w14:textId="389AD59F" w:rsidR="00E800D2" w:rsidRDefault="00E800D2" w:rsidP="00E800D2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CA1D84">
        <w:rPr>
          <w:rFonts w:cs="Arial"/>
          <w:color w:val="auto"/>
        </w:rPr>
        <w:t>E-mail Address:</w:t>
      </w:r>
      <w:r w:rsidRPr="00CA1D84">
        <w:rPr>
          <w:rFonts w:cs="Arial"/>
          <w:b w:val="0"/>
          <w:bCs/>
          <w:color w:val="auto"/>
        </w:rPr>
        <w:tab/>
      </w:r>
      <w:hyperlink r:id="rId8" w:history="1">
        <w:r w:rsidR="00D34688" w:rsidRPr="00E511BE">
          <w:rPr>
            <w:rStyle w:val="Hyperlink"/>
            <w:rFonts w:cs="Arial"/>
            <w:b w:val="0"/>
            <w:bCs/>
          </w:rPr>
          <w:t>eko.o@samsung.com</w:t>
        </w:r>
      </w:hyperlink>
    </w:p>
    <w:p w14:paraId="0B1404EC" w14:textId="77777777" w:rsidR="00C00B6E" w:rsidRPr="00C00B6E" w:rsidRDefault="00C00B6E" w:rsidP="00C00B6E"/>
    <w:p w14:paraId="1A0D8044" w14:textId="77777777" w:rsidR="00A0385F" w:rsidRPr="001D21FA" w:rsidRDefault="00A0385F">
      <w:pPr>
        <w:pBdr>
          <w:bottom w:val="single" w:sz="4" w:space="1" w:color="auto"/>
        </w:pBdr>
        <w:rPr>
          <w:rFonts w:ascii="Arial" w:hAnsi="Arial" w:cs="Arial"/>
          <w:lang w:eastAsia="zh-CN"/>
        </w:rPr>
      </w:pPr>
    </w:p>
    <w:p w14:paraId="12FE82D4" w14:textId="77777777" w:rsidR="00A0385F" w:rsidRDefault="00A0385F">
      <w:pPr>
        <w:rPr>
          <w:rFonts w:ascii="Arial" w:hAnsi="Arial" w:cs="Arial"/>
        </w:rPr>
      </w:pPr>
    </w:p>
    <w:p w14:paraId="48EDB57D" w14:textId="77777777" w:rsidR="00A0385F" w:rsidRDefault="00A0385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2585845" w14:textId="4F5D04B4" w:rsidR="00C00B6E" w:rsidRPr="00A92890" w:rsidRDefault="0047208B" w:rsidP="007F1A8A">
      <w:pPr>
        <w:snapToGrid w:val="0"/>
        <w:jc w:val="both"/>
      </w:pPr>
      <w:r w:rsidRPr="00A92890">
        <w:t>RAN</w:t>
      </w:r>
      <w:r w:rsidR="00835858" w:rsidRPr="00A92890">
        <w:t>1</w:t>
      </w:r>
      <w:r w:rsidRPr="00A92890">
        <w:t xml:space="preserve"> </w:t>
      </w:r>
      <w:r w:rsidR="00766CE8" w:rsidRPr="00A92890">
        <w:t xml:space="preserve">discussed </w:t>
      </w:r>
      <w:r w:rsidR="009F0063" w:rsidRPr="00A92890">
        <w:t xml:space="preserve">the support of </w:t>
      </w:r>
      <w:r w:rsidR="00D34688" w:rsidRPr="00A92890">
        <w:t>L1/L2-centric inter-cell mobility</w:t>
      </w:r>
      <w:r w:rsidR="009F0063" w:rsidRPr="00A92890">
        <w:t xml:space="preserve">. </w:t>
      </w:r>
    </w:p>
    <w:p w14:paraId="3E8A3C11" w14:textId="77777777" w:rsidR="007F1A8A" w:rsidRPr="00A92890" w:rsidRDefault="007F1A8A" w:rsidP="007F1A8A">
      <w:pPr>
        <w:snapToGrid w:val="0"/>
        <w:jc w:val="both"/>
      </w:pPr>
    </w:p>
    <w:p w14:paraId="723F436D" w14:textId="582F2760" w:rsidR="009F0063" w:rsidRPr="00A92890" w:rsidRDefault="009F0063" w:rsidP="007F1A8A">
      <w:pPr>
        <w:snapToGrid w:val="0"/>
        <w:jc w:val="both"/>
      </w:pPr>
      <w:r w:rsidRPr="00A92890">
        <w:t xml:space="preserve">The following </w:t>
      </w:r>
      <w:r w:rsidR="00917097" w:rsidRPr="00A92890">
        <w:t>agreement</w:t>
      </w:r>
      <w:r w:rsidR="00C00B6E" w:rsidRPr="00A92890">
        <w:t>s</w:t>
      </w:r>
      <w:r w:rsidR="00917097" w:rsidRPr="00A92890">
        <w:t xml:space="preserve"> were made </w:t>
      </w:r>
      <w:r w:rsidR="00D34688" w:rsidRPr="00A92890">
        <w:t>in RAN1 #102</w:t>
      </w:r>
      <w:r w:rsidR="00C00B6E" w:rsidRPr="00A92890">
        <w:t>-e</w:t>
      </w:r>
      <w:r w:rsidR="00D34688" w:rsidRPr="00A92890">
        <w:t>, #103-e, and 104-e</w:t>
      </w:r>
      <w:r w:rsidR="00C00B6E" w:rsidRPr="00A92890">
        <w:t xml:space="preserve"> meeting</w:t>
      </w:r>
      <w:r w:rsidR="00D34688" w:rsidRPr="00A92890">
        <w:t>s</w:t>
      </w:r>
      <w:r w:rsidR="00C00B6E" w:rsidRPr="00A92890">
        <w:t xml:space="preserve"> </w:t>
      </w:r>
      <w:r w:rsidR="00D34688" w:rsidRPr="00A92890">
        <w:t>related to the support of L1/L2-centric inter-cell mobility</w:t>
      </w:r>
      <w:r w:rsidR="00917097" w:rsidRPr="00A92890">
        <w:t>.</w:t>
      </w:r>
    </w:p>
    <w:p w14:paraId="2406677E" w14:textId="77777777" w:rsidR="007F1A8A" w:rsidRPr="00A92890" w:rsidRDefault="007F1A8A" w:rsidP="007F1A8A">
      <w:pPr>
        <w:snapToGrid w:val="0"/>
        <w:jc w:val="both"/>
      </w:pPr>
    </w:p>
    <w:p w14:paraId="4C070391" w14:textId="77777777" w:rsidR="00C829AC" w:rsidRPr="00A92890" w:rsidRDefault="00C829AC" w:rsidP="007F1A8A">
      <w:pPr>
        <w:pStyle w:val="ListParagraph"/>
        <w:numPr>
          <w:ilvl w:val="0"/>
          <w:numId w:val="27"/>
        </w:numPr>
        <w:suppressAutoHyphens/>
        <w:autoSpaceDN w:val="0"/>
        <w:snapToGrid w:val="0"/>
        <w:contextualSpacing w:val="0"/>
        <w:textAlignment w:val="baseline"/>
        <w:rPr>
          <w:sz w:val="20"/>
          <w:szCs w:val="20"/>
        </w:rPr>
      </w:pPr>
      <w:r w:rsidRPr="00A92890">
        <w:rPr>
          <w:sz w:val="20"/>
          <w:szCs w:val="20"/>
        </w:rPr>
        <w:t xml:space="preserve">[Issue 2] For Rel.17 NR FeMIMO, on L1/L2-centric inter-cell mobility: </w:t>
      </w:r>
    </w:p>
    <w:p w14:paraId="4420A033" w14:textId="77777777" w:rsidR="00C829AC" w:rsidRPr="00A92890" w:rsidRDefault="00C829AC" w:rsidP="007F1A8A">
      <w:pPr>
        <w:pStyle w:val="ListParagraph"/>
        <w:numPr>
          <w:ilvl w:val="1"/>
          <w:numId w:val="27"/>
        </w:numPr>
        <w:suppressAutoHyphens/>
        <w:autoSpaceDN w:val="0"/>
        <w:snapToGrid w:val="0"/>
        <w:contextualSpacing w:val="0"/>
        <w:textAlignment w:val="baseline"/>
        <w:rPr>
          <w:sz w:val="20"/>
          <w:szCs w:val="20"/>
        </w:rPr>
      </w:pPr>
      <w:r w:rsidRPr="00A92890">
        <w:rPr>
          <w:sz w:val="20"/>
          <w:szCs w:val="20"/>
        </w:rPr>
        <w:t xml:space="preserve">In RAN1#103-e, finalize scope and use cases for L1/L2-centric inter-cell mobility, including: </w:t>
      </w:r>
    </w:p>
    <w:p w14:paraId="32AEAC28" w14:textId="77777777" w:rsidR="00C829AC" w:rsidRPr="00A92890" w:rsidRDefault="00C829AC" w:rsidP="007F1A8A">
      <w:pPr>
        <w:pStyle w:val="ListParagraph"/>
        <w:numPr>
          <w:ilvl w:val="2"/>
          <w:numId w:val="27"/>
        </w:numPr>
        <w:suppressAutoHyphens/>
        <w:autoSpaceDN w:val="0"/>
        <w:snapToGrid w:val="0"/>
        <w:contextualSpacing w:val="0"/>
        <w:textAlignment w:val="baseline"/>
        <w:rPr>
          <w:sz w:val="20"/>
          <w:szCs w:val="20"/>
        </w:rPr>
      </w:pPr>
      <w:r w:rsidRPr="00A92890">
        <w:rPr>
          <w:sz w:val="20"/>
          <w:szCs w:val="20"/>
        </w:rPr>
        <w:t>Applicability in various non-CA and CA setups such as intra-band and inter-band CA</w:t>
      </w:r>
    </w:p>
    <w:p w14:paraId="720F3606" w14:textId="77777777" w:rsidR="00C829AC" w:rsidRPr="00A92890" w:rsidRDefault="00C829AC" w:rsidP="007F1A8A">
      <w:pPr>
        <w:pStyle w:val="ListParagraph"/>
        <w:numPr>
          <w:ilvl w:val="2"/>
          <w:numId w:val="27"/>
        </w:numPr>
        <w:suppressAutoHyphens/>
        <w:autoSpaceDN w:val="0"/>
        <w:snapToGrid w:val="0"/>
        <w:contextualSpacing w:val="0"/>
        <w:textAlignment w:val="baseline"/>
        <w:rPr>
          <w:sz w:val="20"/>
          <w:szCs w:val="20"/>
        </w:rPr>
      </w:pPr>
      <w:r w:rsidRPr="00A92890">
        <w:rPr>
          <w:sz w:val="20"/>
          <w:szCs w:val="20"/>
        </w:rPr>
        <w:t>Use cases in comparison to Rel.15 L3-based handover (HO) taking into account potential extension of DAPS-based Rel.16 mobility enhancement to FR2-FR2 HO</w:t>
      </w:r>
    </w:p>
    <w:p w14:paraId="4C98668F" w14:textId="77777777" w:rsidR="00C829AC" w:rsidRPr="00A92890" w:rsidRDefault="00C829AC" w:rsidP="007F1A8A">
      <w:pPr>
        <w:pStyle w:val="ListParagraph"/>
        <w:numPr>
          <w:ilvl w:val="2"/>
          <w:numId w:val="27"/>
        </w:numPr>
        <w:suppressAutoHyphens/>
        <w:autoSpaceDN w:val="0"/>
        <w:snapToGrid w:val="0"/>
        <w:contextualSpacing w:val="0"/>
        <w:textAlignment w:val="baseline"/>
        <w:rPr>
          <w:sz w:val="20"/>
          <w:szCs w:val="20"/>
        </w:rPr>
      </w:pPr>
      <w:r w:rsidRPr="00A92890">
        <w:rPr>
          <w:sz w:val="20"/>
          <w:szCs w:val="20"/>
        </w:rPr>
        <w:t>The extent of RAN2 impact (MAC CE, RRC, user plane protocols)</w:t>
      </w:r>
    </w:p>
    <w:p w14:paraId="0DA368D3" w14:textId="77777777" w:rsidR="00C829AC" w:rsidRPr="00A92890" w:rsidRDefault="00C829AC" w:rsidP="007F1A8A">
      <w:pPr>
        <w:pStyle w:val="ListParagraph"/>
        <w:numPr>
          <w:ilvl w:val="2"/>
          <w:numId w:val="27"/>
        </w:numPr>
        <w:suppressAutoHyphens/>
        <w:autoSpaceDN w:val="0"/>
        <w:snapToGrid w:val="0"/>
        <w:contextualSpacing w:val="0"/>
        <w:textAlignment w:val="baseline"/>
        <w:rPr>
          <w:sz w:val="20"/>
          <w:szCs w:val="20"/>
        </w:rPr>
      </w:pPr>
      <w:r w:rsidRPr="00A92890">
        <w:rPr>
          <w:sz w:val="20"/>
          <w:szCs w:val="20"/>
        </w:rPr>
        <w:t>Network architecture, e.g. NSA vs. SA, inter-RAT scenarios</w:t>
      </w:r>
    </w:p>
    <w:p w14:paraId="50F91735" w14:textId="77777777" w:rsidR="00C829AC" w:rsidRPr="00A92890" w:rsidRDefault="00C829AC" w:rsidP="007F1A8A">
      <w:pPr>
        <w:pStyle w:val="ListParagraph"/>
        <w:numPr>
          <w:ilvl w:val="1"/>
          <w:numId w:val="27"/>
        </w:numPr>
        <w:suppressAutoHyphens/>
        <w:autoSpaceDN w:val="0"/>
        <w:snapToGrid w:val="0"/>
        <w:contextualSpacing w:val="0"/>
        <w:textAlignment w:val="baseline"/>
        <w:rPr>
          <w:sz w:val="20"/>
          <w:szCs w:val="20"/>
        </w:rPr>
      </w:pPr>
      <w:r w:rsidRPr="00A92890">
        <w:rPr>
          <w:sz w:val="20"/>
          <w:szCs w:val="20"/>
        </w:rPr>
        <w:t>In RAN1#103-e, depending on the outcome of 2a), further identify additional components –along with the associated alternatives –required for supporting inter-cell mobility based on the same unified TCI framework as that for intra-cell mobility (including dynamic TCI state update signaling), including</w:t>
      </w:r>
    </w:p>
    <w:p w14:paraId="7EFC1AB3" w14:textId="77777777" w:rsidR="00C829AC" w:rsidRPr="00A92890" w:rsidRDefault="00C829AC" w:rsidP="007F1A8A">
      <w:pPr>
        <w:pStyle w:val="ListParagraph"/>
        <w:numPr>
          <w:ilvl w:val="2"/>
          <w:numId w:val="27"/>
        </w:numPr>
        <w:suppressAutoHyphens/>
        <w:autoSpaceDN w:val="0"/>
        <w:snapToGrid w:val="0"/>
        <w:contextualSpacing w:val="0"/>
        <w:textAlignment w:val="baseline"/>
        <w:rPr>
          <w:sz w:val="20"/>
          <w:szCs w:val="20"/>
        </w:rPr>
      </w:pPr>
      <w:r w:rsidRPr="00A92890">
        <w:rPr>
          <w:sz w:val="20"/>
          <w:szCs w:val="20"/>
        </w:rPr>
        <w:t>Method(s) for incorporating non-serving cell information associated with TCI</w:t>
      </w:r>
    </w:p>
    <w:p w14:paraId="28994C0D" w14:textId="77777777" w:rsidR="00C829AC" w:rsidRPr="00A92890" w:rsidRDefault="00C829AC" w:rsidP="007F1A8A">
      <w:pPr>
        <w:pStyle w:val="ListParagraph"/>
        <w:numPr>
          <w:ilvl w:val="2"/>
          <w:numId w:val="27"/>
        </w:numPr>
        <w:suppressAutoHyphens/>
        <w:autoSpaceDN w:val="0"/>
        <w:snapToGrid w:val="0"/>
        <w:contextualSpacing w:val="0"/>
        <w:textAlignment w:val="baseline"/>
        <w:rPr>
          <w:sz w:val="20"/>
          <w:szCs w:val="20"/>
        </w:rPr>
      </w:pPr>
      <w:r w:rsidRPr="00A92890">
        <w:rPr>
          <w:sz w:val="20"/>
          <w:szCs w:val="20"/>
        </w:rPr>
        <w:t>Method(s) for DL measurements and UE reporting (e.g. L1-RSRP) associated with non-serving cell(s)</w:t>
      </w:r>
    </w:p>
    <w:p w14:paraId="1C074E7D" w14:textId="77777777" w:rsidR="00C829AC" w:rsidRPr="00A92890" w:rsidRDefault="00C829AC" w:rsidP="007F1A8A">
      <w:pPr>
        <w:pStyle w:val="ListParagraph"/>
        <w:numPr>
          <w:ilvl w:val="2"/>
          <w:numId w:val="27"/>
        </w:numPr>
        <w:suppressAutoHyphens/>
        <w:autoSpaceDN w:val="0"/>
        <w:snapToGrid w:val="0"/>
        <w:contextualSpacing w:val="0"/>
        <w:textAlignment w:val="baseline"/>
        <w:rPr>
          <w:sz w:val="20"/>
          <w:szCs w:val="20"/>
        </w:rPr>
      </w:pPr>
      <w:bookmarkStart w:id="1" w:name="_Hlk49275654"/>
      <w:r w:rsidRPr="00A92890">
        <w:rPr>
          <w:sz w:val="20"/>
          <w:szCs w:val="20"/>
        </w:rPr>
        <w:t>UE behavior for reception of signals and non-UE-specific control and data channels associated with non-serving cell(s)</w:t>
      </w:r>
      <w:bookmarkEnd w:id="1"/>
      <w:r w:rsidRPr="00A92890">
        <w:rPr>
          <w:sz w:val="20"/>
          <w:szCs w:val="20"/>
        </w:rPr>
        <w:t xml:space="preserve"> </w:t>
      </w:r>
    </w:p>
    <w:p w14:paraId="5F5ADAFD" w14:textId="77777777" w:rsidR="00C829AC" w:rsidRPr="00A92890" w:rsidRDefault="00C829AC" w:rsidP="007F1A8A">
      <w:pPr>
        <w:pStyle w:val="ListParagraph"/>
        <w:numPr>
          <w:ilvl w:val="2"/>
          <w:numId w:val="27"/>
        </w:numPr>
        <w:suppressAutoHyphens/>
        <w:autoSpaceDN w:val="0"/>
        <w:snapToGrid w:val="0"/>
        <w:contextualSpacing w:val="0"/>
        <w:textAlignment w:val="baseline"/>
        <w:rPr>
          <w:sz w:val="20"/>
          <w:szCs w:val="20"/>
        </w:rPr>
      </w:pPr>
      <w:r w:rsidRPr="00A92890">
        <w:rPr>
          <w:sz w:val="20"/>
          <w:szCs w:val="20"/>
        </w:rPr>
        <w:t>UL-related enhancements, e.g. related to RA procedure including TA</w:t>
      </w:r>
    </w:p>
    <w:p w14:paraId="1EF5BFDA" w14:textId="60A0E35E" w:rsidR="00C829AC" w:rsidRPr="00A92890" w:rsidRDefault="00C829AC" w:rsidP="007F1A8A">
      <w:pPr>
        <w:pStyle w:val="ListParagraph"/>
        <w:numPr>
          <w:ilvl w:val="2"/>
          <w:numId w:val="27"/>
        </w:numPr>
        <w:suppressAutoHyphens/>
        <w:autoSpaceDN w:val="0"/>
        <w:snapToGrid w:val="0"/>
        <w:contextualSpacing w:val="0"/>
        <w:textAlignment w:val="baseline"/>
        <w:rPr>
          <w:sz w:val="20"/>
          <w:szCs w:val="20"/>
        </w:rPr>
      </w:pPr>
      <w:r w:rsidRPr="00A92890">
        <w:rPr>
          <w:sz w:val="20"/>
          <w:szCs w:val="20"/>
        </w:rPr>
        <w:t>Beam-level event-driven mechanism for L1/L2-centric inter-cell mobility</w:t>
      </w:r>
    </w:p>
    <w:p w14:paraId="173F81E4" w14:textId="77777777" w:rsidR="007F1A8A" w:rsidRPr="00A92890" w:rsidRDefault="007F1A8A" w:rsidP="00FB5951">
      <w:pPr>
        <w:pStyle w:val="ListParagraph"/>
        <w:suppressAutoHyphens/>
        <w:autoSpaceDN w:val="0"/>
        <w:snapToGrid w:val="0"/>
        <w:ind w:left="2160"/>
        <w:contextualSpacing w:val="0"/>
        <w:textAlignment w:val="baseline"/>
        <w:rPr>
          <w:sz w:val="20"/>
          <w:szCs w:val="20"/>
        </w:rPr>
      </w:pPr>
    </w:p>
    <w:p w14:paraId="2E01C147" w14:textId="77777777" w:rsidR="00C829AC" w:rsidRPr="00A92890" w:rsidRDefault="00C829AC" w:rsidP="007F1A8A">
      <w:pPr>
        <w:snapToGrid w:val="0"/>
        <w:jc w:val="both"/>
        <w:rPr>
          <w:color w:val="000000"/>
        </w:rPr>
      </w:pPr>
    </w:p>
    <w:p w14:paraId="54CDD7D9" w14:textId="77777777" w:rsidR="00C829AC" w:rsidRPr="00A92890" w:rsidRDefault="00C829AC" w:rsidP="007F1A8A">
      <w:pPr>
        <w:snapToGrid w:val="0"/>
        <w:jc w:val="both"/>
        <w:rPr>
          <w:rFonts w:eastAsia="Batang"/>
        </w:rPr>
      </w:pPr>
      <w:r w:rsidRPr="00A92890">
        <w:rPr>
          <w:rFonts w:eastAsia="Batang"/>
        </w:rPr>
        <w:t xml:space="preserve">On Rel-17 enhancements to enable L1/L2-centric inter-cell mobility: </w:t>
      </w:r>
    </w:p>
    <w:p w14:paraId="77DE8EDF" w14:textId="77777777" w:rsidR="00C829AC" w:rsidRPr="00A92890" w:rsidRDefault="00C829AC" w:rsidP="007F1A8A">
      <w:pPr>
        <w:numPr>
          <w:ilvl w:val="0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 xml:space="preserve">The following use cases are assumed: </w:t>
      </w:r>
    </w:p>
    <w:p w14:paraId="301C088F" w14:textId="77777777" w:rsidR="00C829AC" w:rsidRPr="00A92890" w:rsidRDefault="00C829AC" w:rsidP="007F1A8A">
      <w:pPr>
        <w:numPr>
          <w:ilvl w:val="1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 xml:space="preserve">Network architecture: </w:t>
      </w:r>
    </w:p>
    <w:p w14:paraId="3E81200E" w14:textId="77777777" w:rsidR="00C829AC" w:rsidRPr="00A92890" w:rsidRDefault="00C829AC" w:rsidP="007F1A8A">
      <w:pPr>
        <w:numPr>
          <w:ilvl w:val="2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 xml:space="preserve">NSA, i.e. LTE PCell and NR-PSCell </w:t>
      </w:r>
    </w:p>
    <w:p w14:paraId="7AB78536" w14:textId="77777777" w:rsidR="00C829AC" w:rsidRPr="00A92890" w:rsidRDefault="00C829AC" w:rsidP="007F1A8A">
      <w:pPr>
        <w:numPr>
          <w:ilvl w:val="2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>SA</w:t>
      </w:r>
    </w:p>
    <w:p w14:paraId="6D7E576F" w14:textId="77777777" w:rsidR="00C829AC" w:rsidRPr="00A92890" w:rsidRDefault="00C829AC" w:rsidP="007F1A8A">
      <w:pPr>
        <w:numPr>
          <w:ilvl w:val="1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 xml:space="preserve">Intra-band CA </w:t>
      </w:r>
    </w:p>
    <w:p w14:paraId="22ED300B" w14:textId="77777777" w:rsidR="00C829AC" w:rsidRPr="00A92890" w:rsidRDefault="00C829AC" w:rsidP="007F1A8A">
      <w:pPr>
        <w:numPr>
          <w:ilvl w:val="2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>FFS: If inter-band CA is also included</w:t>
      </w:r>
    </w:p>
    <w:p w14:paraId="0058CD13" w14:textId="77777777" w:rsidR="00C829AC" w:rsidRPr="00A92890" w:rsidRDefault="00C829AC" w:rsidP="007F1A8A">
      <w:pPr>
        <w:numPr>
          <w:ilvl w:val="1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 xml:space="preserve">Intra- RAT (excluding inter-RAT) </w:t>
      </w:r>
    </w:p>
    <w:p w14:paraId="69BFF26B" w14:textId="77777777" w:rsidR="00C829AC" w:rsidRPr="00A92890" w:rsidRDefault="00C829AC" w:rsidP="007F1A8A">
      <w:pPr>
        <w:numPr>
          <w:ilvl w:val="1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 xml:space="preserve">Intra-frequency scenario: </w:t>
      </w:r>
    </w:p>
    <w:p w14:paraId="03C3ECA3" w14:textId="77777777" w:rsidR="00C829AC" w:rsidRPr="00A92890" w:rsidRDefault="00C829AC" w:rsidP="007F1A8A">
      <w:pPr>
        <w:numPr>
          <w:ilvl w:val="2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>The SSBs of non-serving cells have the same center frequency and SCS as the SSBs of the serving cell</w:t>
      </w:r>
    </w:p>
    <w:p w14:paraId="0E59CB16" w14:textId="77777777" w:rsidR="00C829AC" w:rsidRPr="00A92890" w:rsidRDefault="00C829AC" w:rsidP="007F1A8A">
      <w:pPr>
        <w:numPr>
          <w:ilvl w:val="2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>An SSB of a non-serving cell is associated with a PCI different from the PCI of the serving cell</w:t>
      </w:r>
    </w:p>
    <w:p w14:paraId="25D0C25E" w14:textId="77777777" w:rsidR="00C829AC" w:rsidRPr="00A92890" w:rsidRDefault="00C829AC" w:rsidP="007F1A8A">
      <w:pPr>
        <w:numPr>
          <w:ilvl w:val="2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>FFS: Support for inter-frequency scenario</w:t>
      </w:r>
    </w:p>
    <w:p w14:paraId="54BD4C8A" w14:textId="77777777" w:rsidR="00C829AC" w:rsidRPr="00A92890" w:rsidRDefault="00C829AC" w:rsidP="007F1A8A">
      <w:pPr>
        <w:numPr>
          <w:ilvl w:val="1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>FFS: Whether to support intra-DU only operation, or whether inter-DU is also allowed</w:t>
      </w:r>
    </w:p>
    <w:p w14:paraId="7D2E3367" w14:textId="77777777" w:rsidR="00C829AC" w:rsidRPr="00A92890" w:rsidRDefault="00C829AC" w:rsidP="007F1A8A">
      <w:pPr>
        <w:numPr>
          <w:ilvl w:val="0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 xml:space="preserve">The following enhancement scope is assumed: </w:t>
      </w:r>
    </w:p>
    <w:p w14:paraId="7076FE7C" w14:textId="77777777" w:rsidR="00C829AC" w:rsidRPr="00A92890" w:rsidRDefault="00C829AC" w:rsidP="007F1A8A">
      <w:pPr>
        <w:numPr>
          <w:ilvl w:val="1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lastRenderedPageBreak/>
        <w:t xml:space="preserve">Facilitating measurement and reporting of non-serving RSs via incorporating non-serving cell info with some TCI(s), along with the necessary measurement and reporting scheme(s) </w:t>
      </w:r>
    </w:p>
    <w:p w14:paraId="200DD5DB" w14:textId="77777777" w:rsidR="00C829AC" w:rsidRPr="00A92890" w:rsidRDefault="00C829AC" w:rsidP="007F1A8A">
      <w:pPr>
        <w:numPr>
          <w:ilvl w:val="2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>FFS: Detailed/exact method(s)</w:t>
      </w:r>
    </w:p>
    <w:p w14:paraId="4DD2014F" w14:textId="77777777" w:rsidR="00C829AC" w:rsidRPr="00A92890" w:rsidRDefault="00C829AC" w:rsidP="007F1A8A">
      <w:pPr>
        <w:numPr>
          <w:ilvl w:val="2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>FFS: Whether this also implies the support of beam indication (TCI state update along with the necessary TCI state activation) for TCI(s) associated with non-serving cell RS(s)</w:t>
      </w:r>
    </w:p>
    <w:p w14:paraId="0C8909DF" w14:textId="77777777" w:rsidR="00C829AC" w:rsidRPr="00A92890" w:rsidRDefault="00C829AC" w:rsidP="007F1A8A">
      <w:pPr>
        <w:numPr>
          <w:ilvl w:val="2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>FFS: Metric for the measurement and reporting, e.g. L1-RSRP or L3-RSRP or time- or spatial-domain-filtered L1-RSRP</w:t>
      </w:r>
    </w:p>
    <w:p w14:paraId="004C5F25" w14:textId="77777777" w:rsidR="00C829AC" w:rsidRPr="00A92890" w:rsidRDefault="00C829AC" w:rsidP="007F1A8A">
      <w:pPr>
        <w:numPr>
          <w:ilvl w:val="2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>FFS: Beam-level event-driven mechanism, using serving cell RS and/or non-serving cell RS</w:t>
      </w:r>
    </w:p>
    <w:p w14:paraId="0CEACB96" w14:textId="77777777" w:rsidR="00C829AC" w:rsidRPr="00A92890" w:rsidRDefault="00C829AC" w:rsidP="007F1A8A">
      <w:pPr>
        <w:numPr>
          <w:ilvl w:val="1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 xml:space="preserve">Facilitate serving cell to provide configurations for non-serving cell SSBs via RRC </w:t>
      </w:r>
    </w:p>
    <w:p w14:paraId="2690F55D" w14:textId="77777777" w:rsidR="00C829AC" w:rsidRPr="00A92890" w:rsidRDefault="00C829AC" w:rsidP="007F1A8A">
      <w:pPr>
        <w:numPr>
          <w:ilvl w:val="2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>FFS: details for the configurations, e.g. time/frequency location, transmission power, etc.</w:t>
      </w:r>
    </w:p>
    <w:p w14:paraId="2221B7A9" w14:textId="77777777" w:rsidR="00C829AC" w:rsidRPr="00A92890" w:rsidRDefault="00C829AC" w:rsidP="007F1A8A">
      <w:pPr>
        <w:numPr>
          <w:ilvl w:val="2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>FFS: other information needed for inter-cell mobility</w:t>
      </w:r>
    </w:p>
    <w:p w14:paraId="028F928C" w14:textId="77777777" w:rsidR="00C829AC" w:rsidRPr="00A92890" w:rsidRDefault="00C829AC" w:rsidP="007F1A8A">
      <w:pPr>
        <w:numPr>
          <w:ilvl w:val="1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>Note: In RAN1's understanding, non-serving cell SSB and non-serving cell RS can be part of the serving cell configuration</w:t>
      </w:r>
    </w:p>
    <w:p w14:paraId="58F5ACE8" w14:textId="77777777" w:rsidR="00C829AC" w:rsidRPr="00A92890" w:rsidRDefault="00C829AC" w:rsidP="007F1A8A">
      <w:pPr>
        <w:numPr>
          <w:ilvl w:val="0"/>
          <w:numId w:val="28"/>
        </w:numPr>
        <w:suppressAutoHyphens/>
        <w:autoSpaceDN w:val="0"/>
        <w:snapToGrid w:val="0"/>
        <w:jc w:val="both"/>
        <w:textAlignment w:val="baseline"/>
      </w:pPr>
      <w:r w:rsidRPr="00A92890">
        <w:rPr>
          <w:rFonts w:eastAsia="Batang"/>
        </w:rPr>
        <w:t xml:space="preserve">FFS: The following enhancement scope is assumed by RAN1: </w:t>
      </w:r>
    </w:p>
    <w:p w14:paraId="63F730A3" w14:textId="77777777" w:rsidR="00C829AC" w:rsidRPr="00A92890" w:rsidRDefault="00C829AC" w:rsidP="007F1A8A">
      <w:pPr>
        <w:numPr>
          <w:ilvl w:val="1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 xml:space="preserve">Whether RRC reconfiguration signaling is needed or not when a TCI associated with non-serving cell RS is indicated </w:t>
      </w:r>
    </w:p>
    <w:p w14:paraId="1D11C90A" w14:textId="77777777" w:rsidR="00C829AC" w:rsidRPr="00A92890" w:rsidRDefault="00C829AC" w:rsidP="007F1A8A">
      <w:pPr>
        <w:numPr>
          <w:ilvl w:val="2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 xml:space="preserve">A non-serving cell RS is an RS that is or has an SSB of a non-serving cell as direct or indirect QCL source </w:t>
      </w:r>
    </w:p>
    <w:p w14:paraId="4E5A46B8" w14:textId="77777777" w:rsidR="00C829AC" w:rsidRPr="00A92890" w:rsidRDefault="00C829AC" w:rsidP="007F1A8A">
      <w:pPr>
        <w:numPr>
          <w:ilvl w:val="2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 xml:space="preserve">This implies no C-RNTI update when UE receives DL channel RS associated to non-serving cell RS as QCL source. </w:t>
      </w:r>
    </w:p>
    <w:p w14:paraId="7857E29F" w14:textId="77777777" w:rsidR="00C829AC" w:rsidRPr="00A92890" w:rsidRDefault="00C829AC" w:rsidP="007F1A8A">
      <w:pPr>
        <w:numPr>
          <w:ilvl w:val="2"/>
          <w:numId w:val="28"/>
        </w:numPr>
        <w:suppressAutoHyphens/>
        <w:autoSpaceDN w:val="0"/>
        <w:snapToGrid w:val="0"/>
        <w:jc w:val="both"/>
        <w:textAlignment w:val="baseline"/>
      </w:pPr>
      <w:r w:rsidRPr="00A92890">
        <w:rPr>
          <w:rFonts w:eastAsia="Batang"/>
          <w:lang w:eastAsia="zh-CN"/>
        </w:rPr>
        <w:t>FFS whether TCI associated with non-serving cell can be indicated to or are applicable for all channels.</w:t>
      </w:r>
    </w:p>
    <w:p w14:paraId="5E9DEF89" w14:textId="77777777" w:rsidR="00C829AC" w:rsidRPr="00A92890" w:rsidRDefault="00C829AC" w:rsidP="007F1A8A">
      <w:pPr>
        <w:numPr>
          <w:ilvl w:val="1"/>
          <w:numId w:val="28"/>
        </w:numPr>
        <w:suppressAutoHyphens/>
        <w:autoSpaceDN w:val="0"/>
        <w:snapToGrid w:val="0"/>
        <w:jc w:val="both"/>
        <w:textAlignment w:val="baseline"/>
      </w:pPr>
      <w:r w:rsidRPr="00A92890">
        <w:rPr>
          <w:rFonts w:eastAsia="Batang"/>
          <w:lang w:eastAsia="zh-CN"/>
        </w:rPr>
        <w:t>Whether some RRC parameters need to be updated without additional RRC signaling, e.g. some RRC parameters are pre-configured, which are associated with TCI states with neighbor cell RS as QCL source</w:t>
      </w:r>
    </w:p>
    <w:p w14:paraId="6BFB4BAF" w14:textId="77777777" w:rsidR="00C829AC" w:rsidRPr="00A92890" w:rsidRDefault="00C829AC" w:rsidP="007F1A8A">
      <w:pPr>
        <w:numPr>
          <w:ilvl w:val="1"/>
          <w:numId w:val="28"/>
        </w:numPr>
        <w:suppressAutoHyphens/>
        <w:autoSpaceDN w:val="0"/>
        <w:snapToGrid w:val="0"/>
        <w:jc w:val="both"/>
        <w:textAlignment w:val="baseline"/>
      </w:pPr>
      <w:r w:rsidRPr="00A92890">
        <w:rPr>
          <w:rFonts w:eastAsia="Batang"/>
          <w:lang w:eastAsia="zh-CN"/>
        </w:rPr>
        <w:t>Whether UE needs/can change serving cell during L1/L2-centric inter-cell mobility.</w:t>
      </w:r>
    </w:p>
    <w:p w14:paraId="22936E83" w14:textId="77777777" w:rsidR="00C829AC" w:rsidRPr="00A92890" w:rsidRDefault="00C829AC" w:rsidP="007F1A8A">
      <w:pPr>
        <w:numPr>
          <w:ilvl w:val="1"/>
          <w:numId w:val="28"/>
        </w:numPr>
        <w:suppressAutoHyphens/>
        <w:autoSpaceDN w:val="0"/>
        <w:snapToGrid w:val="0"/>
        <w:jc w:val="both"/>
        <w:textAlignment w:val="baseline"/>
        <w:rPr>
          <w:rFonts w:eastAsia="Batang"/>
        </w:rPr>
      </w:pPr>
      <w:r w:rsidRPr="00A92890">
        <w:rPr>
          <w:rFonts w:eastAsia="Batang"/>
        </w:rPr>
        <w:t>The above assumption to be verified by RAN2</w:t>
      </w:r>
    </w:p>
    <w:p w14:paraId="0D036DD6" w14:textId="77777777" w:rsidR="00C829AC" w:rsidRPr="00A92890" w:rsidRDefault="00C829AC" w:rsidP="007F1A8A">
      <w:pPr>
        <w:snapToGrid w:val="0"/>
        <w:jc w:val="both"/>
        <w:rPr>
          <w:color w:val="000000"/>
        </w:rPr>
      </w:pPr>
    </w:p>
    <w:p w14:paraId="579960D7" w14:textId="77777777" w:rsidR="00C829AC" w:rsidRPr="00A92890" w:rsidRDefault="00C829AC" w:rsidP="007F1A8A">
      <w:pPr>
        <w:snapToGrid w:val="0"/>
        <w:jc w:val="both"/>
        <w:rPr>
          <w:color w:val="000000"/>
        </w:rPr>
      </w:pPr>
    </w:p>
    <w:p w14:paraId="3224F77E" w14:textId="77777777" w:rsidR="00C829AC" w:rsidRPr="00A92890" w:rsidRDefault="00C829AC" w:rsidP="007F1A8A">
      <w:pPr>
        <w:snapToGrid w:val="0"/>
        <w:jc w:val="both"/>
      </w:pPr>
      <w:r w:rsidRPr="00A92890">
        <w:t xml:space="preserve">On Rel.17 multi beam measurement/reporting enhancements </w:t>
      </w:r>
      <w:r w:rsidRPr="00A92890">
        <w:rPr>
          <w:color w:val="000000"/>
        </w:rPr>
        <w:t>for L1/L2-centric inter-cell mobility and inter-cell mTRP</w:t>
      </w:r>
      <w:r w:rsidRPr="00A92890">
        <w:t>:</w:t>
      </w:r>
    </w:p>
    <w:p w14:paraId="4F375904" w14:textId="77777777" w:rsidR="00C829AC" w:rsidRPr="00A92890" w:rsidRDefault="00C829AC" w:rsidP="007F1A8A">
      <w:pPr>
        <w:pStyle w:val="ListParagraph"/>
        <w:numPr>
          <w:ilvl w:val="0"/>
          <w:numId w:val="29"/>
        </w:numPr>
        <w:autoSpaceDN w:val="0"/>
        <w:snapToGrid w:val="0"/>
        <w:contextualSpacing w:val="0"/>
        <w:jc w:val="both"/>
        <w:rPr>
          <w:sz w:val="20"/>
          <w:szCs w:val="20"/>
        </w:rPr>
      </w:pPr>
      <w:r w:rsidRPr="00A92890">
        <w:rPr>
          <w:sz w:val="20"/>
          <w:szCs w:val="20"/>
        </w:rPr>
        <w:t xml:space="preserve">A quality of up to K beams associated at least with non-serving cell(s) can be reported in a single CSI reporting instance </w:t>
      </w:r>
    </w:p>
    <w:p w14:paraId="195EC9CB" w14:textId="77777777" w:rsidR="00C829AC" w:rsidRPr="00A92890" w:rsidRDefault="00C829AC" w:rsidP="007F1A8A">
      <w:pPr>
        <w:pStyle w:val="ListParagraph"/>
        <w:numPr>
          <w:ilvl w:val="1"/>
          <w:numId w:val="29"/>
        </w:numPr>
        <w:autoSpaceDN w:val="0"/>
        <w:snapToGrid w:val="0"/>
        <w:contextualSpacing w:val="0"/>
        <w:jc w:val="both"/>
        <w:rPr>
          <w:sz w:val="20"/>
          <w:szCs w:val="20"/>
        </w:rPr>
      </w:pPr>
      <w:r w:rsidRPr="00A92890">
        <w:rPr>
          <w:sz w:val="20"/>
          <w:szCs w:val="20"/>
        </w:rPr>
        <w:t>For each beam, the UE can report at least: (1) a Measured RS Indicator, and (2) a Beam Metric associated with the Measured RS Indicator</w:t>
      </w:r>
    </w:p>
    <w:p w14:paraId="64703454" w14:textId="77777777" w:rsidR="00C829AC" w:rsidRPr="00A92890" w:rsidRDefault="00C829AC" w:rsidP="007F1A8A">
      <w:pPr>
        <w:pStyle w:val="ListParagraph"/>
        <w:numPr>
          <w:ilvl w:val="1"/>
          <w:numId w:val="29"/>
        </w:numPr>
        <w:autoSpaceDN w:val="0"/>
        <w:snapToGrid w:val="0"/>
        <w:contextualSpacing w:val="0"/>
        <w:jc w:val="both"/>
        <w:rPr>
          <w:sz w:val="20"/>
          <w:szCs w:val="20"/>
        </w:rPr>
      </w:pPr>
      <w:r w:rsidRPr="00A92890">
        <w:rPr>
          <w:sz w:val="20"/>
          <w:szCs w:val="20"/>
        </w:rPr>
        <w:t xml:space="preserve">FFS: Maximum value of K </w:t>
      </w:r>
    </w:p>
    <w:p w14:paraId="3F947493" w14:textId="77777777" w:rsidR="00C829AC" w:rsidRPr="00A92890" w:rsidRDefault="00C829AC" w:rsidP="007F1A8A">
      <w:pPr>
        <w:pStyle w:val="ListParagraph"/>
        <w:numPr>
          <w:ilvl w:val="1"/>
          <w:numId w:val="29"/>
        </w:numPr>
        <w:autoSpaceDN w:val="0"/>
        <w:snapToGrid w:val="0"/>
        <w:contextualSpacing w:val="0"/>
        <w:jc w:val="both"/>
        <w:rPr>
          <w:sz w:val="20"/>
          <w:szCs w:val="20"/>
        </w:rPr>
      </w:pPr>
      <w:r w:rsidRPr="00A92890">
        <w:rPr>
          <w:sz w:val="20"/>
          <w:szCs w:val="20"/>
        </w:rPr>
        <w:t xml:space="preserve">FFS: If K is fixed, configured, reported by UE capability, or dynamically selected  </w:t>
      </w:r>
    </w:p>
    <w:p w14:paraId="3D49011F" w14:textId="77777777" w:rsidR="00C829AC" w:rsidRPr="00A92890" w:rsidRDefault="00C829AC" w:rsidP="007F1A8A">
      <w:pPr>
        <w:pStyle w:val="ListParagraph"/>
        <w:numPr>
          <w:ilvl w:val="1"/>
          <w:numId w:val="29"/>
        </w:numPr>
        <w:autoSpaceDN w:val="0"/>
        <w:snapToGrid w:val="0"/>
        <w:contextualSpacing w:val="0"/>
        <w:jc w:val="both"/>
        <w:rPr>
          <w:sz w:val="20"/>
          <w:szCs w:val="20"/>
        </w:rPr>
      </w:pPr>
      <w:r w:rsidRPr="00A92890">
        <w:rPr>
          <w:sz w:val="20"/>
          <w:szCs w:val="20"/>
        </w:rPr>
        <w:t xml:space="preserve">FFS: The type of beam metric (e.g. L1-RSRP, L3-RSRP, or hybrid L1/L3-RSRP) and related measurement behavior </w:t>
      </w:r>
    </w:p>
    <w:p w14:paraId="34BCD44F" w14:textId="77777777" w:rsidR="00C829AC" w:rsidRPr="00A92890" w:rsidRDefault="00C829AC" w:rsidP="007F1A8A">
      <w:pPr>
        <w:pStyle w:val="ListParagraph"/>
        <w:numPr>
          <w:ilvl w:val="1"/>
          <w:numId w:val="29"/>
        </w:numPr>
        <w:autoSpaceDN w:val="0"/>
        <w:snapToGrid w:val="0"/>
        <w:contextualSpacing w:val="0"/>
        <w:jc w:val="both"/>
        <w:rPr>
          <w:sz w:val="20"/>
          <w:szCs w:val="20"/>
        </w:rPr>
      </w:pPr>
      <w:r w:rsidRPr="00A92890">
        <w:rPr>
          <w:sz w:val="20"/>
          <w:szCs w:val="20"/>
        </w:rPr>
        <w:t>FFS: Whether or not beam reporting associated with non-serving cell(s) can be mixed with that with serving-cell in one reporting instance</w:t>
      </w:r>
    </w:p>
    <w:p w14:paraId="4B29B091" w14:textId="77777777" w:rsidR="00C829AC" w:rsidRPr="00A92890" w:rsidRDefault="00C829AC" w:rsidP="007F1A8A">
      <w:pPr>
        <w:snapToGrid w:val="0"/>
        <w:jc w:val="both"/>
      </w:pPr>
      <w:r w:rsidRPr="00A92890">
        <w:t>At the end of RAN1#104-e, send an LS to RAN2 with all the RAN1-related inter-cell mobility agreements done so far during Rel17.</w:t>
      </w:r>
    </w:p>
    <w:p w14:paraId="3677E612" w14:textId="6CE396D4" w:rsidR="00141CAE" w:rsidRDefault="00141CAE" w:rsidP="007F1A8A">
      <w:pPr>
        <w:snapToGrid w:val="0"/>
        <w:jc w:val="both"/>
      </w:pPr>
    </w:p>
    <w:p w14:paraId="721E27F1" w14:textId="77777777" w:rsidR="002C7EF6" w:rsidRPr="00A92890" w:rsidRDefault="002C7EF6" w:rsidP="007F1A8A">
      <w:pPr>
        <w:snapToGrid w:val="0"/>
        <w:jc w:val="both"/>
      </w:pPr>
    </w:p>
    <w:p w14:paraId="2D3857E5" w14:textId="77777777" w:rsidR="000856AD" w:rsidRPr="003A2489" w:rsidRDefault="000856AD" w:rsidP="000856AD">
      <w:pPr>
        <w:snapToGrid w:val="0"/>
        <w:rPr>
          <w:rFonts w:eastAsia="Batang"/>
        </w:rPr>
      </w:pPr>
      <w:r w:rsidRPr="003A2489">
        <w:t xml:space="preserve">On Rel.17 multi beam measurement/reporting enhancements </w:t>
      </w:r>
      <w:r w:rsidRPr="003A2489">
        <w:rPr>
          <w:color w:val="000000"/>
        </w:rPr>
        <w:t>for L1/L2-centric inter-cell mobility and inter-cell mTRP</w:t>
      </w:r>
      <w:r w:rsidRPr="003A2489">
        <w:rPr>
          <w:rFonts w:eastAsia="Batang"/>
        </w:rPr>
        <w:t>:</w:t>
      </w:r>
    </w:p>
    <w:p w14:paraId="6590C31B" w14:textId="77777777" w:rsidR="000856AD" w:rsidRPr="003A2489" w:rsidRDefault="000856AD" w:rsidP="000856AD">
      <w:pPr>
        <w:pStyle w:val="ListParagraph"/>
        <w:numPr>
          <w:ilvl w:val="0"/>
          <w:numId w:val="30"/>
        </w:numPr>
        <w:snapToGrid w:val="0"/>
        <w:contextualSpacing w:val="0"/>
        <w:rPr>
          <w:sz w:val="20"/>
          <w:szCs w:val="20"/>
        </w:rPr>
      </w:pPr>
      <w:r w:rsidRPr="003A2489">
        <w:rPr>
          <w:sz w:val="20"/>
          <w:szCs w:val="20"/>
        </w:rPr>
        <w:t>Rel.15 L1-RSRP is used as reporting quantity for measurement and reporting of non-serving-cell(s)</w:t>
      </w:r>
    </w:p>
    <w:p w14:paraId="7D99D79E" w14:textId="77777777" w:rsidR="000856AD" w:rsidRPr="003A2489" w:rsidRDefault="000856AD" w:rsidP="000856AD">
      <w:pPr>
        <w:pStyle w:val="ListParagraph"/>
        <w:numPr>
          <w:ilvl w:val="1"/>
          <w:numId w:val="30"/>
        </w:numPr>
        <w:snapToGrid w:val="0"/>
        <w:contextualSpacing w:val="0"/>
        <w:rPr>
          <w:sz w:val="20"/>
          <w:szCs w:val="20"/>
        </w:rPr>
      </w:pPr>
      <w:r w:rsidRPr="003A2489">
        <w:rPr>
          <w:sz w:val="20"/>
          <w:szCs w:val="20"/>
        </w:rPr>
        <w:t xml:space="preserve">Support SSB as a measurement RS for </w:t>
      </w:r>
      <w:r w:rsidRPr="003A2489">
        <w:rPr>
          <w:color w:val="000000"/>
          <w:sz w:val="20"/>
          <w:szCs w:val="20"/>
        </w:rPr>
        <w:t xml:space="preserve">L1/L2-centric inter-cell mobility </w:t>
      </w:r>
      <w:r w:rsidRPr="003A2489">
        <w:rPr>
          <w:sz w:val="20"/>
          <w:szCs w:val="20"/>
        </w:rPr>
        <w:t>and inter-cell mTRP, and Rel.15 SS-RSRP calculated from SSB of non-serving cell(s)</w:t>
      </w:r>
    </w:p>
    <w:p w14:paraId="11F1CF6C" w14:textId="77777777" w:rsidR="000856AD" w:rsidRPr="003A2489" w:rsidRDefault="000856AD" w:rsidP="000856AD">
      <w:pPr>
        <w:pStyle w:val="ListParagraph"/>
        <w:numPr>
          <w:ilvl w:val="2"/>
          <w:numId w:val="30"/>
        </w:numPr>
        <w:snapToGrid w:val="0"/>
        <w:contextualSpacing w:val="0"/>
        <w:rPr>
          <w:sz w:val="20"/>
          <w:szCs w:val="20"/>
        </w:rPr>
      </w:pPr>
      <w:r w:rsidRPr="003A2489">
        <w:rPr>
          <w:bCs/>
          <w:sz w:val="20"/>
          <w:szCs w:val="20"/>
        </w:rPr>
        <w:t>FFS: Whether the measurement for SS-RSRP is limited within SMTC</w:t>
      </w:r>
    </w:p>
    <w:p w14:paraId="04AF2201" w14:textId="77777777" w:rsidR="000856AD" w:rsidRPr="003A2489" w:rsidRDefault="000856AD" w:rsidP="000856AD">
      <w:pPr>
        <w:pStyle w:val="ListParagraph"/>
        <w:numPr>
          <w:ilvl w:val="2"/>
          <w:numId w:val="30"/>
        </w:numPr>
        <w:snapToGrid w:val="0"/>
        <w:contextualSpacing w:val="0"/>
        <w:rPr>
          <w:sz w:val="20"/>
          <w:szCs w:val="20"/>
        </w:rPr>
      </w:pPr>
      <w:r w:rsidRPr="003A2489">
        <w:rPr>
          <w:rFonts w:eastAsia="Malgun Gothic"/>
          <w:sz w:val="20"/>
          <w:szCs w:val="20"/>
        </w:rPr>
        <w:t>FFS: Detailed reporting method, e.g. via including existing L1-RSRP report, UE-initiated report etc.</w:t>
      </w:r>
    </w:p>
    <w:p w14:paraId="4DB82394" w14:textId="77777777" w:rsidR="000856AD" w:rsidRPr="003A2489" w:rsidRDefault="000856AD" w:rsidP="000856AD">
      <w:pPr>
        <w:pStyle w:val="ListParagraph"/>
        <w:numPr>
          <w:ilvl w:val="1"/>
          <w:numId w:val="30"/>
        </w:numPr>
        <w:snapToGrid w:val="0"/>
        <w:contextualSpacing w:val="0"/>
        <w:rPr>
          <w:sz w:val="20"/>
          <w:szCs w:val="20"/>
        </w:rPr>
      </w:pPr>
      <w:r w:rsidRPr="003A2489">
        <w:rPr>
          <w:sz w:val="20"/>
          <w:szCs w:val="20"/>
        </w:rPr>
        <w:t xml:space="preserve">FFS: Whether or not to support CSI-RS (for e.g. mobility and/or tracking) of non-serving cell(s) as a measurement RS for </w:t>
      </w:r>
      <w:r w:rsidRPr="003A2489">
        <w:rPr>
          <w:color w:val="000000"/>
          <w:sz w:val="20"/>
          <w:szCs w:val="20"/>
        </w:rPr>
        <w:t xml:space="preserve">L1/L2-centric inter-cell mobility </w:t>
      </w:r>
      <w:r w:rsidRPr="003A2489">
        <w:rPr>
          <w:sz w:val="20"/>
          <w:szCs w:val="20"/>
        </w:rPr>
        <w:t xml:space="preserve">and inter-cell mTRP. If the support of CSI-RS (for e.g. mobility and/or tracking) of non-serving cell(s) as a measurement RS for </w:t>
      </w:r>
      <w:r w:rsidRPr="003A2489">
        <w:rPr>
          <w:color w:val="000000"/>
          <w:sz w:val="20"/>
          <w:szCs w:val="20"/>
        </w:rPr>
        <w:t xml:space="preserve">L1/L2-centric inter-cell mobility </w:t>
      </w:r>
      <w:r w:rsidRPr="003A2489">
        <w:rPr>
          <w:sz w:val="20"/>
          <w:szCs w:val="20"/>
        </w:rPr>
        <w:t xml:space="preserve">and inter-cell mTRP is confirmed, Rel.15 CSI-RSRP is also supported  </w:t>
      </w:r>
    </w:p>
    <w:p w14:paraId="2C39CCD8" w14:textId="77777777" w:rsidR="000856AD" w:rsidRPr="003A2489" w:rsidRDefault="000856AD" w:rsidP="000856AD">
      <w:pPr>
        <w:pStyle w:val="ListParagraph"/>
        <w:numPr>
          <w:ilvl w:val="2"/>
          <w:numId w:val="30"/>
        </w:numPr>
        <w:snapToGrid w:val="0"/>
        <w:contextualSpacing w:val="0"/>
        <w:rPr>
          <w:sz w:val="20"/>
          <w:szCs w:val="20"/>
        </w:rPr>
      </w:pPr>
      <w:r w:rsidRPr="003A2489">
        <w:rPr>
          <w:sz w:val="20"/>
          <w:szCs w:val="20"/>
        </w:rPr>
        <w:t>Whether the support applies to CSI-RS with or without QCL source, or both</w:t>
      </w:r>
    </w:p>
    <w:p w14:paraId="40743969" w14:textId="77777777" w:rsidR="000856AD" w:rsidRPr="003A2489" w:rsidRDefault="000856AD" w:rsidP="000856AD">
      <w:pPr>
        <w:pStyle w:val="ListParagraph"/>
        <w:numPr>
          <w:ilvl w:val="1"/>
          <w:numId w:val="30"/>
        </w:numPr>
        <w:snapToGrid w:val="0"/>
        <w:contextualSpacing w:val="0"/>
        <w:rPr>
          <w:sz w:val="20"/>
          <w:szCs w:val="20"/>
        </w:rPr>
      </w:pPr>
      <w:r w:rsidRPr="003A2489">
        <w:rPr>
          <w:sz w:val="20"/>
          <w:szCs w:val="20"/>
        </w:rPr>
        <w:t xml:space="preserve">FFS: The number of non-serving cell(s) for measurement/reporting </w:t>
      </w:r>
    </w:p>
    <w:p w14:paraId="45CB3ACD" w14:textId="77777777" w:rsidR="000856AD" w:rsidRPr="003A2489" w:rsidRDefault="000856AD" w:rsidP="000856AD">
      <w:pPr>
        <w:pStyle w:val="ListParagraph"/>
        <w:numPr>
          <w:ilvl w:val="1"/>
          <w:numId w:val="30"/>
        </w:numPr>
        <w:snapToGrid w:val="0"/>
        <w:contextualSpacing w:val="0"/>
        <w:rPr>
          <w:sz w:val="20"/>
          <w:szCs w:val="20"/>
        </w:rPr>
      </w:pPr>
      <w:r w:rsidRPr="003A2489">
        <w:rPr>
          <w:sz w:val="20"/>
          <w:szCs w:val="20"/>
        </w:rPr>
        <w:t>FFS: time behavior of the reporting, i.e. periodic, semi-persistent, aperiodic, or UE-initiated</w:t>
      </w:r>
    </w:p>
    <w:p w14:paraId="209B9328" w14:textId="77777777" w:rsidR="000856AD" w:rsidRPr="003A2489" w:rsidRDefault="000856AD" w:rsidP="000856AD">
      <w:pPr>
        <w:pStyle w:val="ListParagraph"/>
        <w:numPr>
          <w:ilvl w:val="0"/>
          <w:numId w:val="30"/>
        </w:numPr>
        <w:snapToGrid w:val="0"/>
        <w:contextualSpacing w:val="0"/>
        <w:rPr>
          <w:sz w:val="20"/>
          <w:szCs w:val="20"/>
        </w:rPr>
      </w:pPr>
      <w:r w:rsidRPr="003A2489">
        <w:rPr>
          <w:sz w:val="20"/>
          <w:szCs w:val="20"/>
        </w:rPr>
        <w:t>FFS: If other reporting quantities are supported, e.g. L3-RSRP, hybrid L1/L3-RSRP</w:t>
      </w:r>
    </w:p>
    <w:p w14:paraId="0B69205A" w14:textId="77777777" w:rsidR="000856AD" w:rsidRPr="003A2489" w:rsidRDefault="000856AD" w:rsidP="000856AD">
      <w:pPr>
        <w:pStyle w:val="ListParagraph"/>
        <w:numPr>
          <w:ilvl w:val="0"/>
          <w:numId w:val="30"/>
        </w:numPr>
        <w:snapToGrid w:val="0"/>
        <w:contextualSpacing w:val="0"/>
        <w:rPr>
          <w:sz w:val="20"/>
          <w:szCs w:val="20"/>
        </w:rPr>
      </w:pPr>
      <w:r w:rsidRPr="003A2489">
        <w:rPr>
          <w:bCs/>
          <w:sz w:val="20"/>
          <w:szCs w:val="20"/>
        </w:rPr>
        <w:t>FFS: Dynamic activation/deactivation/selection of the beam measurement on the RS(s) associated with non-serving cell(s) via MAC CE</w:t>
      </w:r>
    </w:p>
    <w:p w14:paraId="5B0AE6B9" w14:textId="77777777" w:rsidR="000856AD" w:rsidRPr="003A2489" w:rsidRDefault="000856AD" w:rsidP="000856AD">
      <w:pPr>
        <w:pStyle w:val="ListParagraph"/>
        <w:numPr>
          <w:ilvl w:val="0"/>
          <w:numId w:val="30"/>
        </w:numPr>
        <w:snapToGrid w:val="0"/>
        <w:contextualSpacing w:val="0"/>
        <w:rPr>
          <w:sz w:val="20"/>
          <w:szCs w:val="20"/>
        </w:rPr>
      </w:pPr>
      <w:r w:rsidRPr="003A2489">
        <w:rPr>
          <w:bCs/>
          <w:sz w:val="20"/>
          <w:szCs w:val="20"/>
        </w:rPr>
        <w:t xml:space="preserve">FFS: Timing assumption </w:t>
      </w:r>
      <w:r w:rsidRPr="003A2489">
        <w:rPr>
          <w:sz w:val="20"/>
          <w:szCs w:val="20"/>
          <w:lang w:eastAsia="zh-CN"/>
        </w:rPr>
        <w:t>(e.g. time of arrival and time of the measurement)</w:t>
      </w:r>
      <w:r w:rsidRPr="003A2489">
        <w:rPr>
          <w:bCs/>
          <w:sz w:val="20"/>
          <w:szCs w:val="20"/>
        </w:rPr>
        <w:t xml:space="preserve"> for measurement of non-serving cell RS measurement</w:t>
      </w:r>
    </w:p>
    <w:p w14:paraId="0A1108D5" w14:textId="09EF3C2B" w:rsidR="000E77E9" w:rsidRPr="000856AD" w:rsidRDefault="000E77E9" w:rsidP="007F1A8A">
      <w:pPr>
        <w:snapToGrid w:val="0"/>
        <w:jc w:val="both"/>
        <w:rPr>
          <w:lang w:val="x-none"/>
        </w:rPr>
      </w:pPr>
      <w:bookmarkStart w:id="2" w:name="_GoBack"/>
      <w:bookmarkEnd w:id="2"/>
    </w:p>
    <w:p w14:paraId="39E3FB96" w14:textId="77777777" w:rsidR="002C7EF6" w:rsidRPr="00A92890" w:rsidRDefault="002C7EF6" w:rsidP="007F1A8A">
      <w:pPr>
        <w:snapToGrid w:val="0"/>
        <w:jc w:val="both"/>
      </w:pPr>
    </w:p>
    <w:p w14:paraId="0BA87689" w14:textId="4AC4C521" w:rsidR="000E77E9" w:rsidRPr="00A92890" w:rsidRDefault="000E77E9" w:rsidP="007F1A8A">
      <w:pPr>
        <w:snapToGrid w:val="0"/>
        <w:jc w:val="both"/>
      </w:pPr>
      <w:r w:rsidRPr="00A92890">
        <w:t>… [</w:t>
      </w:r>
      <w:r w:rsidR="000501C8" w:rsidRPr="00A92890">
        <w:t>Round-</w:t>
      </w:r>
      <w:r w:rsidRPr="00A92890">
        <w:t>3</w:t>
      </w:r>
      <w:r w:rsidR="00DD2922" w:rsidRPr="00A92890">
        <w:t xml:space="preserve"> agreement</w:t>
      </w:r>
      <w:r w:rsidRPr="00A92890">
        <w:t>]</w:t>
      </w:r>
    </w:p>
    <w:p w14:paraId="2675117B" w14:textId="77777777" w:rsidR="009916C0" w:rsidRPr="00A92890" w:rsidRDefault="009916C0" w:rsidP="00487B76">
      <w:pPr>
        <w:tabs>
          <w:tab w:val="left" w:pos="3807"/>
          <w:tab w:val="center" w:pos="4932"/>
        </w:tabs>
        <w:spacing w:beforeLines="100" w:before="240" w:afterLines="50" w:after="120"/>
        <w:jc w:val="both"/>
        <w:rPr>
          <w:lang w:eastAsia="zh-CN"/>
        </w:rPr>
      </w:pPr>
    </w:p>
    <w:p w14:paraId="4FB2D063" w14:textId="77777777" w:rsidR="00A0385F" w:rsidRDefault="00A0385F" w:rsidP="0095456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9F147E6" w14:textId="370DECA4" w:rsidR="00A0385F" w:rsidRDefault="00A0385F" w:rsidP="0095456F">
      <w:pPr>
        <w:spacing w:after="120"/>
        <w:ind w:left="1985" w:hanging="1985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To</w:t>
      </w:r>
      <w:r w:rsidR="00C00B6E">
        <w:rPr>
          <w:rFonts w:ascii="Arial" w:hAnsi="Arial" w:cs="Arial"/>
          <w:b/>
          <w:lang w:eastAsia="zh-CN"/>
        </w:rPr>
        <w:t xml:space="preserve">: </w:t>
      </w:r>
      <w:r w:rsidR="00920CF2">
        <w:rPr>
          <w:rFonts w:ascii="Arial" w:hAnsi="Arial" w:cs="Arial"/>
          <w:b/>
          <w:lang w:eastAsia="zh-CN"/>
        </w:rPr>
        <w:t>RAN</w:t>
      </w:r>
      <w:r w:rsidR="007F1A8A">
        <w:rPr>
          <w:rFonts w:ascii="Arial" w:hAnsi="Arial" w:cs="Arial"/>
          <w:b/>
          <w:lang w:eastAsia="zh-CN"/>
        </w:rPr>
        <w:t>2</w:t>
      </w:r>
    </w:p>
    <w:p w14:paraId="5860058A" w14:textId="54C43CC4" w:rsidR="00115C5B" w:rsidRDefault="00A0385F" w:rsidP="0095456F">
      <w:pPr>
        <w:spacing w:after="120"/>
        <w:ind w:left="993" w:hanging="993"/>
        <w:jc w:val="both"/>
        <w:rPr>
          <w:rFonts w:ascii="Arial" w:hAnsi="Arial" w:cs="Arial"/>
          <w:iCs/>
          <w:color w:val="000000"/>
          <w:lang w:eastAsia="ko-KR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360B54" w:rsidRPr="00115C5B">
        <w:rPr>
          <w:iCs/>
          <w:color w:val="000000"/>
          <w:sz w:val="22"/>
          <w:szCs w:val="22"/>
          <w:lang w:eastAsia="ko-KR"/>
        </w:rPr>
        <w:t xml:space="preserve">RAN1 respectfully asks </w:t>
      </w:r>
      <w:r w:rsidR="00920CF2" w:rsidRPr="00115C5B">
        <w:rPr>
          <w:iCs/>
          <w:color w:val="000000"/>
          <w:sz w:val="22"/>
          <w:szCs w:val="22"/>
          <w:lang w:eastAsia="ko-KR"/>
        </w:rPr>
        <w:t>RAN</w:t>
      </w:r>
      <w:r w:rsidR="00956729">
        <w:rPr>
          <w:iCs/>
          <w:color w:val="000000"/>
          <w:sz w:val="22"/>
          <w:szCs w:val="22"/>
          <w:lang w:eastAsia="ko-KR"/>
        </w:rPr>
        <w:t>2</w:t>
      </w:r>
      <w:r w:rsidR="00360B54" w:rsidRPr="00115C5B">
        <w:rPr>
          <w:iCs/>
          <w:color w:val="000000"/>
          <w:sz w:val="22"/>
          <w:szCs w:val="22"/>
          <w:lang w:eastAsia="ko-KR"/>
        </w:rPr>
        <w:t xml:space="preserve"> to take the above into account</w:t>
      </w:r>
      <w:r w:rsidR="00956729">
        <w:rPr>
          <w:iCs/>
          <w:color w:val="000000"/>
          <w:sz w:val="22"/>
          <w:szCs w:val="22"/>
          <w:lang w:eastAsia="ko-KR"/>
        </w:rPr>
        <w:t>.</w:t>
      </w:r>
      <w:r w:rsidR="00115C5B" w:rsidRPr="00115C5B">
        <w:rPr>
          <w:rFonts w:ascii="Arial" w:hAnsi="Arial" w:cs="Arial"/>
          <w:iCs/>
          <w:color w:val="000000"/>
          <w:sz w:val="22"/>
          <w:szCs w:val="22"/>
          <w:lang w:eastAsia="ko-KR"/>
        </w:rPr>
        <w:t xml:space="preserve"> </w:t>
      </w:r>
    </w:p>
    <w:p w14:paraId="76C167CE" w14:textId="77777777" w:rsidR="00D33394" w:rsidRPr="006B27BE" w:rsidRDefault="00386366" w:rsidP="0095456F">
      <w:pPr>
        <w:spacing w:after="120"/>
        <w:ind w:left="993" w:hanging="993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iCs/>
          <w:color w:val="000000"/>
          <w:lang w:eastAsia="ko-KR"/>
        </w:rPr>
        <w:t xml:space="preserve"> </w:t>
      </w:r>
    </w:p>
    <w:p w14:paraId="74B84085" w14:textId="77777777" w:rsidR="00250103" w:rsidRPr="007321CD" w:rsidRDefault="00250103" w:rsidP="00250103">
      <w:pPr>
        <w:tabs>
          <w:tab w:val="left" w:pos="5507"/>
        </w:tabs>
        <w:rPr>
          <w:rFonts w:ascii="Arial" w:hAnsi="Arial" w:cs="Arial"/>
          <w:b/>
        </w:rPr>
      </w:pPr>
      <w:r w:rsidRPr="007321CD">
        <w:rPr>
          <w:rFonts w:ascii="Arial" w:hAnsi="Arial" w:cs="Arial"/>
          <w:b/>
        </w:rPr>
        <w:t>3. Date of Next TSG-RAN WG1 Meetings:</w:t>
      </w:r>
      <w:r w:rsidRPr="007321CD">
        <w:rPr>
          <w:rFonts w:ascii="Arial" w:hAnsi="Arial" w:cs="Arial"/>
          <w:b/>
        </w:rPr>
        <w:tab/>
      </w:r>
    </w:p>
    <w:p w14:paraId="730393E9" w14:textId="5224F221" w:rsidR="009D325A" w:rsidRPr="00652802" w:rsidRDefault="00652802" w:rsidP="004A1CAB">
      <w:pPr>
        <w:tabs>
          <w:tab w:val="left" w:pos="5103"/>
        </w:tabs>
        <w:spacing w:beforeLines="50" w:before="120" w:after="120"/>
        <w:ind w:left="2268" w:hanging="2268"/>
        <w:rPr>
          <w:rFonts w:ascii="Arial" w:hAnsi="Arial" w:cs="Arial"/>
          <w:lang w:eastAsia="zh-CN"/>
        </w:rPr>
      </w:pPr>
      <w:r w:rsidRPr="00115C5B">
        <w:rPr>
          <w:bCs/>
          <w:sz w:val="22"/>
          <w:szCs w:val="22"/>
        </w:rPr>
        <w:t>TSG RAN WG1 Meeting #10</w:t>
      </w:r>
      <w:r w:rsidR="00115C5B" w:rsidRPr="00115C5B">
        <w:rPr>
          <w:bCs/>
          <w:sz w:val="22"/>
          <w:szCs w:val="22"/>
        </w:rPr>
        <w:t>4</w:t>
      </w:r>
      <w:r w:rsidR="007F1A8A">
        <w:rPr>
          <w:bCs/>
          <w:sz w:val="22"/>
          <w:szCs w:val="22"/>
        </w:rPr>
        <w:t>bis</w:t>
      </w:r>
      <w:r w:rsidRPr="00115C5B">
        <w:rPr>
          <w:bCs/>
          <w:sz w:val="22"/>
          <w:szCs w:val="22"/>
        </w:rPr>
        <w:t xml:space="preserve">-e                       </w:t>
      </w:r>
      <w:r w:rsidR="009D7595">
        <w:rPr>
          <w:bCs/>
          <w:sz w:val="22"/>
          <w:szCs w:val="22"/>
        </w:rPr>
        <w:t>12</w:t>
      </w:r>
      <w:r w:rsidR="00C00B6E" w:rsidRPr="00C00B6E">
        <w:rPr>
          <w:bCs/>
          <w:sz w:val="22"/>
          <w:szCs w:val="22"/>
          <w:vertAlign w:val="superscript"/>
        </w:rPr>
        <w:t>th</w:t>
      </w:r>
      <w:r w:rsidR="009D7595">
        <w:rPr>
          <w:bCs/>
          <w:sz w:val="22"/>
          <w:szCs w:val="22"/>
          <w:vertAlign w:val="superscript"/>
        </w:rPr>
        <w:t xml:space="preserve"> </w:t>
      </w:r>
      <w:r w:rsidRPr="00115C5B">
        <w:rPr>
          <w:bCs/>
          <w:sz w:val="22"/>
          <w:szCs w:val="22"/>
        </w:rPr>
        <w:t xml:space="preserve">– </w:t>
      </w:r>
      <w:r w:rsidR="009D7595">
        <w:rPr>
          <w:bCs/>
          <w:sz w:val="22"/>
          <w:szCs w:val="22"/>
        </w:rPr>
        <w:t>20</w:t>
      </w:r>
      <w:r w:rsidR="00C00B6E" w:rsidRPr="00C00B6E">
        <w:rPr>
          <w:bCs/>
          <w:sz w:val="22"/>
          <w:szCs w:val="22"/>
          <w:vertAlign w:val="superscript"/>
        </w:rPr>
        <w:t>th</w:t>
      </w:r>
      <w:r w:rsidR="00C00B6E">
        <w:rPr>
          <w:bCs/>
          <w:sz w:val="22"/>
          <w:szCs w:val="22"/>
        </w:rPr>
        <w:t xml:space="preserve"> </w:t>
      </w:r>
      <w:r w:rsidR="009D7595">
        <w:rPr>
          <w:bCs/>
          <w:sz w:val="22"/>
          <w:szCs w:val="22"/>
        </w:rPr>
        <w:t>April</w:t>
      </w:r>
      <w:r w:rsidRPr="00115C5B">
        <w:rPr>
          <w:bCs/>
          <w:sz w:val="22"/>
          <w:szCs w:val="22"/>
        </w:rPr>
        <w:t>, 202</w:t>
      </w:r>
      <w:r w:rsidR="00115C5B">
        <w:rPr>
          <w:bCs/>
          <w:sz w:val="22"/>
          <w:szCs w:val="22"/>
        </w:rPr>
        <w:t>1</w:t>
      </w:r>
      <w:r w:rsidR="00115C5B" w:rsidRPr="00115C5B">
        <w:rPr>
          <w:bCs/>
          <w:sz w:val="22"/>
          <w:szCs w:val="22"/>
        </w:rPr>
        <w:tab/>
      </w:r>
      <w:r w:rsidR="00115C5B">
        <w:rPr>
          <w:bCs/>
          <w:sz w:val="22"/>
          <w:szCs w:val="22"/>
        </w:rPr>
        <w:tab/>
      </w:r>
      <w:r w:rsidRPr="00115C5B">
        <w:rPr>
          <w:bCs/>
          <w:sz w:val="22"/>
          <w:szCs w:val="22"/>
        </w:rPr>
        <w:t>E-meeting</w:t>
      </w:r>
    </w:p>
    <w:sectPr w:rsidR="009D325A" w:rsidRPr="0065280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74A35" w14:textId="77777777" w:rsidR="00624746" w:rsidRDefault="00624746" w:rsidP="00A0385F">
      <w:r>
        <w:separator/>
      </w:r>
    </w:p>
  </w:endnote>
  <w:endnote w:type="continuationSeparator" w:id="0">
    <w:p w14:paraId="5E5915CF" w14:textId="77777777" w:rsidR="00624746" w:rsidRDefault="00624746" w:rsidP="00A0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F26DF" w14:textId="77777777" w:rsidR="00624746" w:rsidRDefault="00624746" w:rsidP="00A0385F">
      <w:r>
        <w:separator/>
      </w:r>
    </w:p>
  </w:footnote>
  <w:footnote w:type="continuationSeparator" w:id="0">
    <w:p w14:paraId="16538543" w14:textId="77777777" w:rsidR="00624746" w:rsidRDefault="00624746" w:rsidP="00A0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FC7"/>
    <w:multiLevelType w:val="multilevel"/>
    <w:tmpl w:val="60BA2B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C808F1"/>
    <w:multiLevelType w:val="multilevel"/>
    <w:tmpl w:val="10C808F1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1841DEF"/>
    <w:multiLevelType w:val="hybridMultilevel"/>
    <w:tmpl w:val="D56AF6EA"/>
    <w:lvl w:ilvl="0" w:tplc="160E9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8F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705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CE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60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6C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CB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A5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6A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8A0"/>
    <w:multiLevelType w:val="multilevel"/>
    <w:tmpl w:val="11EE08A0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7181C20"/>
    <w:multiLevelType w:val="hybridMultilevel"/>
    <w:tmpl w:val="7584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50935"/>
    <w:multiLevelType w:val="multilevel"/>
    <w:tmpl w:val="C7081C34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7" w15:restartNumberingAfterBreak="0">
    <w:nsid w:val="1D0E5D50"/>
    <w:multiLevelType w:val="multilevel"/>
    <w:tmpl w:val="39C0EC5A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48D5E35"/>
    <w:multiLevelType w:val="hybridMultilevel"/>
    <w:tmpl w:val="A2A87DB4"/>
    <w:lvl w:ilvl="0" w:tplc="FCDC3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08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ED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E6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0E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C6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2E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0B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0D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257A0"/>
    <w:multiLevelType w:val="hybridMultilevel"/>
    <w:tmpl w:val="53EE6A5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B172FFC2">
      <w:start w:val="10"/>
      <w:numFmt w:val="bullet"/>
      <w:lvlText w:val="·"/>
      <w:lvlJc w:val="left"/>
      <w:pPr>
        <w:ind w:left="1860" w:hanging="360"/>
      </w:pPr>
      <w:rPr>
        <w:rFonts w:ascii="Times" w:eastAsia="Batang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598712F"/>
    <w:multiLevelType w:val="hybridMultilevel"/>
    <w:tmpl w:val="6C848E8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8514B394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7B04E09"/>
    <w:multiLevelType w:val="multilevel"/>
    <w:tmpl w:val="27B04E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06249"/>
    <w:multiLevelType w:val="hybridMultilevel"/>
    <w:tmpl w:val="41584E8E"/>
    <w:lvl w:ilvl="0" w:tplc="ACFA8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4ADA5FCA"/>
    <w:multiLevelType w:val="multilevel"/>
    <w:tmpl w:val="4ADA5FCA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C1A507B"/>
    <w:multiLevelType w:val="hybridMultilevel"/>
    <w:tmpl w:val="63C0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8" w15:restartNumberingAfterBreak="0">
    <w:nsid w:val="5D9C7BCA"/>
    <w:multiLevelType w:val="hybridMultilevel"/>
    <w:tmpl w:val="AB4C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1D9D"/>
    <w:multiLevelType w:val="multilevel"/>
    <w:tmpl w:val="7FD696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FF16EB5"/>
    <w:multiLevelType w:val="multilevel"/>
    <w:tmpl w:val="5FF16EB5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EBC7544"/>
    <w:multiLevelType w:val="hybridMultilevel"/>
    <w:tmpl w:val="275C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14D2F"/>
    <w:multiLevelType w:val="hybridMultilevel"/>
    <w:tmpl w:val="6F105850"/>
    <w:lvl w:ilvl="0" w:tplc="6882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</w:abstractNum>
  <w:abstractNum w:abstractNumId="25" w15:restartNumberingAfterBreak="0">
    <w:nsid w:val="72224BA6"/>
    <w:multiLevelType w:val="multilevel"/>
    <w:tmpl w:val="72224BA6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2600F2F"/>
    <w:multiLevelType w:val="hybridMultilevel"/>
    <w:tmpl w:val="EFE843EC"/>
    <w:lvl w:ilvl="0" w:tplc="2EC25788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B6426D"/>
    <w:multiLevelType w:val="hybridMultilevel"/>
    <w:tmpl w:val="DD28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21FC7"/>
    <w:multiLevelType w:val="hybridMultilevel"/>
    <w:tmpl w:val="80D6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5"/>
  </w:num>
  <w:num w:numId="8">
    <w:abstractNumId w:val="22"/>
  </w:num>
  <w:num w:numId="9">
    <w:abstractNumId w:val="4"/>
  </w:num>
  <w:num w:numId="10">
    <w:abstractNumId w:val="18"/>
  </w:num>
  <w:num w:numId="11">
    <w:abstractNumId w:val="23"/>
  </w:num>
  <w:num w:numId="12">
    <w:abstractNumId w:val="16"/>
  </w:num>
  <w:num w:numId="13">
    <w:abstractNumId w:val="16"/>
    <w:lvlOverride w:ilvl="0">
      <w:startOverride w:val="1"/>
    </w:lvlOverride>
  </w:num>
  <w:num w:numId="14">
    <w:abstractNumId w:val="28"/>
  </w:num>
  <w:num w:numId="15">
    <w:abstractNumId w:val="24"/>
  </w:num>
  <w:num w:numId="16">
    <w:abstractNumId w:val="9"/>
  </w:num>
  <w:num w:numId="17">
    <w:abstractNumId w:val="26"/>
  </w:num>
  <w:num w:numId="18">
    <w:abstractNumId w:val="10"/>
  </w:num>
  <w:num w:numId="19">
    <w:abstractNumId w:val="1"/>
  </w:num>
  <w:num w:numId="20">
    <w:abstractNumId w:val="3"/>
  </w:num>
  <w:num w:numId="21">
    <w:abstractNumId w:val="25"/>
  </w:num>
  <w:num w:numId="22">
    <w:abstractNumId w:val="14"/>
  </w:num>
  <w:num w:numId="23">
    <w:abstractNumId w:val="11"/>
  </w:num>
  <w:num w:numId="24">
    <w:abstractNumId w:val="20"/>
  </w:num>
  <w:num w:numId="25">
    <w:abstractNumId w:val="7"/>
  </w:num>
  <w:num w:numId="26">
    <w:abstractNumId w:val="12"/>
  </w:num>
  <w:num w:numId="27">
    <w:abstractNumId w:val="0"/>
  </w:num>
  <w:num w:numId="28">
    <w:abstractNumId w:val="19"/>
  </w:num>
  <w:num w:numId="29">
    <w:abstractNumId w:val="5"/>
  </w:num>
  <w:num w:numId="3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tjQ0MDe0NDQzNTZS0lEKTi0uzszPAykwNKoFABFZDcItAAAA"/>
  </w:docVars>
  <w:rsids>
    <w:rsidRoot w:val="0039149C"/>
    <w:rsid w:val="00010DEC"/>
    <w:rsid w:val="00020EA0"/>
    <w:rsid w:val="000228AF"/>
    <w:rsid w:val="00026054"/>
    <w:rsid w:val="00032F5F"/>
    <w:rsid w:val="000338F3"/>
    <w:rsid w:val="000370FC"/>
    <w:rsid w:val="00041456"/>
    <w:rsid w:val="00042445"/>
    <w:rsid w:val="00043127"/>
    <w:rsid w:val="00044F08"/>
    <w:rsid w:val="00046967"/>
    <w:rsid w:val="000501C8"/>
    <w:rsid w:val="00052FC2"/>
    <w:rsid w:val="00054F5D"/>
    <w:rsid w:val="0007275C"/>
    <w:rsid w:val="00084430"/>
    <w:rsid w:val="000856AD"/>
    <w:rsid w:val="000964FF"/>
    <w:rsid w:val="00097631"/>
    <w:rsid w:val="000A55E1"/>
    <w:rsid w:val="000A5AAE"/>
    <w:rsid w:val="000B4C5D"/>
    <w:rsid w:val="000B6129"/>
    <w:rsid w:val="000B65F9"/>
    <w:rsid w:val="000C3440"/>
    <w:rsid w:val="000D1DDB"/>
    <w:rsid w:val="000D2B74"/>
    <w:rsid w:val="000D3839"/>
    <w:rsid w:val="000E3D3A"/>
    <w:rsid w:val="000E4100"/>
    <w:rsid w:val="000E77E9"/>
    <w:rsid w:val="000F020D"/>
    <w:rsid w:val="00115AB0"/>
    <w:rsid w:val="00115C5B"/>
    <w:rsid w:val="00115F71"/>
    <w:rsid w:val="00117E7D"/>
    <w:rsid w:val="00121081"/>
    <w:rsid w:val="00130EDD"/>
    <w:rsid w:val="00135988"/>
    <w:rsid w:val="00141CAE"/>
    <w:rsid w:val="00143235"/>
    <w:rsid w:val="001464B5"/>
    <w:rsid w:val="00146F3E"/>
    <w:rsid w:val="00147894"/>
    <w:rsid w:val="0015349B"/>
    <w:rsid w:val="00153A31"/>
    <w:rsid w:val="001654D4"/>
    <w:rsid w:val="00175017"/>
    <w:rsid w:val="00182BAA"/>
    <w:rsid w:val="00190491"/>
    <w:rsid w:val="00193EED"/>
    <w:rsid w:val="00194B93"/>
    <w:rsid w:val="001A4FA5"/>
    <w:rsid w:val="001B0678"/>
    <w:rsid w:val="001B2E09"/>
    <w:rsid w:val="001C0774"/>
    <w:rsid w:val="001C47DD"/>
    <w:rsid w:val="001D009E"/>
    <w:rsid w:val="001D21FA"/>
    <w:rsid w:val="001D2B13"/>
    <w:rsid w:val="001D6199"/>
    <w:rsid w:val="001D799D"/>
    <w:rsid w:val="001E315B"/>
    <w:rsid w:val="001F3993"/>
    <w:rsid w:val="00214E31"/>
    <w:rsid w:val="002179C9"/>
    <w:rsid w:val="002227C7"/>
    <w:rsid w:val="0022433F"/>
    <w:rsid w:val="00230679"/>
    <w:rsid w:val="002311B1"/>
    <w:rsid w:val="00236ADC"/>
    <w:rsid w:val="00246E7A"/>
    <w:rsid w:val="00250103"/>
    <w:rsid w:val="002547B5"/>
    <w:rsid w:val="002558FB"/>
    <w:rsid w:val="00257F57"/>
    <w:rsid w:val="00262741"/>
    <w:rsid w:val="002630FA"/>
    <w:rsid w:val="00266DBB"/>
    <w:rsid w:val="002761D7"/>
    <w:rsid w:val="002A75F4"/>
    <w:rsid w:val="002B0BCF"/>
    <w:rsid w:val="002B6CE3"/>
    <w:rsid w:val="002C0768"/>
    <w:rsid w:val="002C0B39"/>
    <w:rsid w:val="002C1BFD"/>
    <w:rsid w:val="002C5476"/>
    <w:rsid w:val="002C7EF6"/>
    <w:rsid w:val="002D4250"/>
    <w:rsid w:val="002E7A78"/>
    <w:rsid w:val="0030014A"/>
    <w:rsid w:val="0030298B"/>
    <w:rsid w:val="00307C86"/>
    <w:rsid w:val="003236A9"/>
    <w:rsid w:val="00324AC4"/>
    <w:rsid w:val="00325A53"/>
    <w:rsid w:val="0033658F"/>
    <w:rsid w:val="003401DB"/>
    <w:rsid w:val="003407B3"/>
    <w:rsid w:val="00340E8E"/>
    <w:rsid w:val="00342DDD"/>
    <w:rsid w:val="003462F3"/>
    <w:rsid w:val="00360B54"/>
    <w:rsid w:val="00366B4E"/>
    <w:rsid w:val="00373A3E"/>
    <w:rsid w:val="00375227"/>
    <w:rsid w:val="00380504"/>
    <w:rsid w:val="00384B2D"/>
    <w:rsid w:val="00386366"/>
    <w:rsid w:val="00386709"/>
    <w:rsid w:val="0039149C"/>
    <w:rsid w:val="00397638"/>
    <w:rsid w:val="003A1159"/>
    <w:rsid w:val="003B2255"/>
    <w:rsid w:val="003B73C1"/>
    <w:rsid w:val="003B74D4"/>
    <w:rsid w:val="003C108A"/>
    <w:rsid w:val="003C14F3"/>
    <w:rsid w:val="003C2C4D"/>
    <w:rsid w:val="003C3387"/>
    <w:rsid w:val="003C727E"/>
    <w:rsid w:val="003D4688"/>
    <w:rsid w:val="003E4037"/>
    <w:rsid w:val="003F5B0A"/>
    <w:rsid w:val="00400AFE"/>
    <w:rsid w:val="004022F4"/>
    <w:rsid w:val="00407CBC"/>
    <w:rsid w:val="00410FDC"/>
    <w:rsid w:val="004149DB"/>
    <w:rsid w:val="00421F26"/>
    <w:rsid w:val="00431341"/>
    <w:rsid w:val="004320CC"/>
    <w:rsid w:val="00443577"/>
    <w:rsid w:val="004517EC"/>
    <w:rsid w:val="004618D3"/>
    <w:rsid w:val="004640C2"/>
    <w:rsid w:val="00470DCC"/>
    <w:rsid w:val="0047208B"/>
    <w:rsid w:val="0047251C"/>
    <w:rsid w:val="0048165E"/>
    <w:rsid w:val="0048749E"/>
    <w:rsid w:val="00487B76"/>
    <w:rsid w:val="004A1CAB"/>
    <w:rsid w:val="004A2345"/>
    <w:rsid w:val="004B1179"/>
    <w:rsid w:val="004C342D"/>
    <w:rsid w:val="004C4C84"/>
    <w:rsid w:val="004D40C0"/>
    <w:rsid w:val="004D5F05"/>
    <w:rsid w:val="004E1281"/>
    <w:rsid w:val="004E5FB6"/>
    <w:rsid w:val="004E7A7D"/>
    <w:rsid w:val="004F01C0"/>
    <w:rsid w:val="004F306F"/>
    <w:rsid w:val="004F3332"/>
    <w:rsid w:val="004F399F"/>
    <w:rsid w:val="004F5E9A"/>
    <w:rsid w:val="004F6CFE"/>
    <w:rsid w:val="00506830"/>
    <w:rsid w:val="0051488E"/>
    <w:rsid w:val="00527284"/>
    <w:rsid w:val="00530356"/>
    <w:rsid w:val="005345AB"/>
    <w:rsid w:val="00537236"/>
    <w:rsid w:val="00542918"/>
    <w:rsid w:val="00554461"/>
    <w:rsid w:val="00562A58"/>
    <w:rsid w:val="00564635"/>
    <w:rsid w:val="005663E6"/>
    <w:rsid w:val="00567197"/>
    <w:rsid w:val="00583F61"/>
    <w:rsid w:val="00585C68"/>
    <w:rsid w:val="00590E18"/>
    <w:rsid w:val="00594281"/>
    <w:rsid w:val="005962B0"/>
    <w:rsid w:val="00597606"/>
    <w:rsid w:val="005A033E"/>
    <w:rsid w:val="005A399E"/>
    <w:rsid w:val="005A3A3F"/>
    <w:rsid w:val="005C04F7"/>
    <w:rsid w:val="005C148A"/>
    <w:rsid w:val="005D1EB5"/>
    <w:rsid w:val="005D6CE6"/>
    <w:rsid w:val="005E2E1E"/>
    <w:rsid w:val="005E7270"/>
    <w:rsid w:val="005F23BE"/>
    <w:rsid w:val="00600921"/>
    <w:rsid w:val="00604B24"/>
    <w:rsid w:val="00604DC6"/>
    <w:rsid w:val="006053C8"/>
    <w:rsid w:val="006177C7"/>
    <w:rsid w:val="00624746"/>
    <w:rsid w:val="006250B6"/>
    <w:rsid w:val="0063262B"/>
    <w:rsid w:val="0064470D"/>
    <w:rsid w:val="006476E0"/>
    <w:rsid w:val="0065059C"/>
    <w:rsid w:val="00652802"/>
    <w:rsid w:val="00655D82"/>
    <w:rsid w:val="00674E68"/>
    <w:rsid w:val="006753F5"/>
    <w:rsid w:val="0067728D"/>
    <w:rsid w:val="00680375"/>
    <w:rsid w:val="006817FD"/>
    <w:rsid w:val="0068333D"/>
    <w:rsid w:val="00692DA9"/>
    <w:rsid w:val="00693FFE"/>
    <w:rsid w:val="006A3DEE"/>
    <w:rsid w:val="006A453D"/>
    <w:rsid w:val="006A50C1"/>
    <w:rsid w:val="006B27BE"/>
    <w:rsid w:val="006D2C7A"/>
    <w:rsid w:val="006D2DF0"/>
    <w:rsid w:val="006D53CE"/>
    <w:rsid w:val="006D7658"/>
    <w:rsid w:val="006E0375"/>
    <w:rsid w:val="006E557E"/>
    <w:rsid w:val="006E5886"/>
    <w:rsid w:val="006F3872"/>
    <w:rsid w:val="0070047A"/>
    <w:rsid w:val="00703DC5"/>
    <w:rsid w:val="007043B8"/>
    <w:rsid w:val="00704C55"/>
    <w:rsid w:val="007143D3"/>
    <w:rsid w:val="00722686"/>
    <w:rsid w:val="00726F96"/>
    <w:rsid w:val="007338C3"/>
    <w:rsid w:val="00734AC3"/>
    <w:rsid w:val="00734B6C"/>
    <w:rsid w:val="00745C31"/>
    <w:rsid w:val="007461D1"/>
    <w:rsid w:val="00763EE4"/>
    <w:rsid w:val="0076468F"/>
    <w:rsid w:val="00766419"/>
    <w:rsid w:val="00766CE8"/>
    <w:rsid w:val="007710D1"/>
    <w:rsid w:val="007806BF"/>
    <w:rsid w:val="007849AA"/>
    <w:rsid w:val="00792418"/>
    <w:rsid w:val="00793FDC"/>
    <w:rsid w:val="007A0188"/>
    <w:rsid w:val="007A57BD"/>
    <w:rsid w:val="007B05B9"/>
    <w:rsid w:val="007B116B"/>
    <w:rsid w:val="007C0DE5"/>
    <w:rsid w:val="007D12DB"/>
    <w:rsid w:val="007D1408"/>
    <w:rsid w:val="007D48AF"/>
    <w:rsid w:val="007E49A2"/>
    <w:rsid w:val="007F1A8A"/>
    <w:rsid w:val="007F534A"/>
    <w:rsid w:val="008151AA"/>
    <w:rsid w:val="00820AA6"/>
    <w:rsid w:val="00823081"/>
    <w:rsid w:val="008256E4"/>
    <w:rsid w:val="00832E32"/>
    <w:rsid w:val="00835824"/>
    <w:rsid w:val="00835858"/>
    <w:rsid w:val="008376FC"/>
    <w:rsid w:val="00840EFF"/>
    <w:rsid w:val="00841E09"/>
    <w:rsid w:val="0085395C"/>
    <w:rsid w:val="00873339"/>
    <w:rsid w:val="00883EEC"/>
    <w:rsid w:val="00890B51"/>
    <w:rsid w:val="00893BCD"/>
    <w:rsid w:val="00895992"/>
    <w:rsid w:val="008A5DB0"/>
    <w:rsid w:val="008B7D68"/>
    <w:rsid w:val="008C42D0"/>
    <w:rsid w:val="008C7469"/>
    <w:rsid w:val="008C7AB3"/>
    <w:rsid w:val="008D1242"/>
    <w:rsid w:val="008D46A2"/>
    <w:rsid w:val="008D6108"/>
    <w:rsid w:val="008D731C"/>
    <w:rsid w:val="008E2FF3"/>
    <w:rsid w:val="008F3CAE"/>
    <w:rsid w:val="00917097"/>
    <w:rsid w:val="00920CF2"/>
    <w:rsid w:val="0092295F"/>
    <w:rsid w:val="00922C9B"/>
    <w:rsid w:val="00935388"/>
    <w:rsid w:val="00942282"/>
    <w:rsid w:val="00947E19"/>
    <w:rsid w:val="00953382"/>
    <w:rsid w:val="0095456F"/>
    <w:rsid w:val="00956729"/>
    <w:rsid w:val="00961135"/>
    <w:rsid w:val="00962809"/>
    <w:rsid w:val="00964599"/>
    <w:rsid w:val="00972275"/>
    <w:rsid w:val="009818DC"/>
    <w:rsid w:val="00990806"/>
    <w:rsid w:val="009916C0"/>
    <w:rsid w:val="009951BC"/>
    <w:rsid w:val="009A001D"/>
    <w:rsid w:val="009A15A7"/>
    <w:rsid w:val="009A2412"/>
    <w:rsid w:val="009A3539"/>
    <w:rsid w:val="009A53F7"/>
    <w:rsid w:val="009B02E7"/>
    <w:rsid w:val="009B5B52"/>
    <w:rsid w:val="009B75AE"/>
    <w:rsid w:val="009C2789"/>
    <w:rsid w:val="009C365A"/>
    <w:rsid w:val="009D2049"/>
    <w:rsid w:val="009D325A"/>
    <w:rsid w:val="009D7595"/>
    <w:rsid w:val="009E4FCF"/>
    <w:rsid w:val="009F0063"/>
    <w:rsid w:val="009F1C51"/>
    <w:rsid w:val="009F4F9F"/>
    <w:rsid w:val="00A0385F"/>
    <w:rsid w:val="00A1082F"/>
    <w:rsid w:val="00A12E2A"/>
    <w:rsid w:val="00A17C7C"/>
    <w:rsid w:val="00A248F1"/>
    <w:rsid w:val="00A25CE5"/>
    <w:rsid w:val="00A27A64"/>
    <w:rsid w:val="00A31166"/>
    <w:rsid w:val="00A32C03"/>
    <w:rsid w:val="00A32F1F"/>
    <w:rsid w:val="00A43011"/>
    <w:rsid w:val="00A50DC0"/>
    <w:rsid w:val="00A52E68"/>
    <w:rsid w:val="00A543E1"/>
    <w:rsid w:val="00A57945"/>
    <w:rsid w:val="00A61C52"/>
    <w:rsid w:val="00A63E33"/>
    <w:rsid w:val="00A65A78"/>
    <w:rsid w:val="00A70197"/>
    <w:rsid w:val="00A736EC"/>
    <w:rsid w:val="00A740F8"/>
    <w:rsid w:val="00A77FD4"/>
    <w:rsid w:val="00A90CDD"/>
    <w:rsid w:val="00A925F4"/>
    <w:rsid w:val="00A92890"/>
    <w:rsid w:val="00A96373"/>
    <w:rsid w:val="00AA6E9F"/>
    <w:rsid w:val="00AA7FF9"/>
    <w:rsid w:val="00AB31C8"/>
    <w:rsid w:val="00AB558F"/>
    <w:rsid w:val="00AB5627"/>
    <w:rsid w:val="00AB73F6"/>
    <w:rsid w:val="00AC1CC3"/>
    <w:rsid w:val="00AC2016"/>
    <w:rsid w:val="00AC23AC"/>
    <w:rsid w:val="00AC63B5"/>
    <w:rsid w:val="00AD564F"/>
    <w:rsid w:val="00AE1EBE"/>
    <w:rsid w:val="00AF39C6"/>
    <w:rsid w:val="00AF45A9"/>
    <w:rsid w:val="00AF72E3"/>
    <w:rsid w:val="00B003BE"/>
    <w:rsid w:val="00B01B9E"/>
    <w:rsid w:val="00B17C24"/>
    <w:rsid w:val="00B20ADC"/>
    <w:rsid w:val="00B3340D"/>
    <w:rsid w:val="00B40BD9"/>
    <w:rsid w:val="00B420FD"/>
    <w:rsid w:val="00B45434"/>
    <w:rsid w:val="00B46EC2"/>
    <w:rsid w:val="00B52A5E"/>
    <w:rsid w:val="00B62641"/>
    <w:rsid w:val="00B64BF9"/>
    <w:rsid w:val="00B65EE9"/>
    <w:rsid w:val="00B703A7"/>
    <w:rsid w:val="00B709D9"/>
    <w:rsid w:val="00B7219E"/>
    <w:rsid w:val="00B72425"/>
    <w:rsid w:val="00B75194"/>
    <w:rsid w:val="00B76322"/>
    <w:rsid w:val="00B7738A"/>
    <w:rsid w:val="00B77843"/>
    <w:rsid w:val="00B837F4"/>
    <w:rsid w:val="00B94B9F"/>
    <w:rsid w:val="00BA32CA"/>
    <w:rsid w:val="00BA3A24"/>
    <w:rsid w:val="00BA5692"/>
    <w:rsid w:val="00BA6C48"/>
    <w:rsid w:val="00BB11B8"/>
    <w:rsid w:val="00BB6F82"/>
    <w:rsid w:val="00BB7F2C"/>
    <w:rsid w:val="00BC081B"/>
    <w:rsid w:val="00BC2E05"/>
    <w:rsid w:val="00BC500E"/>
    <w:rsid w:val="00BD3CB8"/>
    <w:rsid w:val="00BD3D11"/>
    <w:rsid w:val="00BE1750"/>
    <w:rsid w:val="00BF336D"/>
    <w:rsid w:val="00C00B6E"/>
    <w:rsid w:val="00C0504E"/>
    <w:rsid w:val="00C0768F"/>
    <w:rsid w:val="00C10171"/>
    <w:rsid w:val="00C12467"/>
    <w:rsid w:val="00C15994"/>
    <w:rsid w:val="00C3489C"/>
    <w:rsid w:val="00C439D2"/>
    <w:rsid w:val="00C51444"/>
    <w:rsid w:val="00C55D96"/>
    <w:rsid w:val="00C56294"/>
    <w:rsid w:val="00C6191A"/>
    <w:rsid w:val="00C626AA"/>
    <w:rsid w:val="00C67BCA"/>
    <w:rsid w:val="00C720BB"/>
    <w:rsid w:val="00C73066"/>
    <w:rsid w:val="00C829AC"/>
    <w:rsid w:val="00C8681B"/>
    <w:rsid w:val="00C87BBC"/>
    <w:rsid w:val="00CA45F5"/>
    <w:rsid w:val="00CA7F2C"/>
    <w:rsid w:val="00CB3526"/>
    <w:rsid w:val="00CB59C8"/>
    <w:rsid w:val="00CC2501"/>
    <w:rsid w:val="00CC4E91"/>
    <w:rsid w:val="00CD1BD9"/>
    <w:rsid w:val="00CE2F1E"/>
    <w:rsid w:val="00CE574D"/>
    <w:rsid w:val="00CE5C66"/>
    <w:rsid w:val="00CF3042"/>
    <w:rsid w:val="00CF3D0A"/>
    <w:rsid w:val="00D07EB3"/>
    <w:rsid w:val="00D16909"/>
    <w:rsid w:val="00D22BA5"/>
    <w:rsid w:val="00D2628A"/>
    <w:rsid w:val="00D32794"/>
    <w:rsid w:val="00D33394"/>
    <w:rsid w:val="00D34688"/>
    <w:rsid w:val="00D44546"/>
    <w:rsid w:val="00D454C0"/>
    <w:rsid w:val="00D458BE"/>
    <w:rsid w:val="00D4682B"/>
    <w:rsid w:val="00D51E6A"/>
    <w:rsid w:val="00D551CF"/>
    <w:rsid w:val="00D57EB4"/>
    <w:rsid w:val="00D606E9"/>
    <w:rsid w:val="00D76F23"/>
    <w:rsid w:val="00D846E6"/>
    <w:rsid w:val="00D91EEE"/>
    <w:rsid w:val="00DA4CE2"/>
    <w:rsid w:val="00DA6E56"/>
    <w:rsid w:val="00DB50C1"/>
    <w:rsid w:val="00DC7134"/>
    <w:rsid w:val="00DD2922"/>
    <w:rsid w:val="00DD2BFD"/>
    <w:rsid w:val="00DD5F3E"/>
    <w:rsid w:val="00DD779C"/>
    <w:rsid w:val="00DD77FC"/>
    <w:rsid w:val="00DE2D59"/>
    <w:rsid w:val="00DE4F5B"/>
    <w:rsid w:val="00DE7CFD"/>
    <w:rsid w:val="00DF2911"/>
    <w:rsid w:val="00E108A4"/>
    <w:rsid w:val="00E24674"/>
    <w:rsid w:val="00E25394"/>
    <w:rsid w:val="00E330C9"/>
    <w:rsid w:val="00E33608"/>
    <w:rsid w:val="00E34BC2"/>
    <w:rsid w:val="00E402F6"/>
    <w:rsid w:val="00E440DD"/>
    <w:rsid w:val="00E531B2"/>
    <w:rsid w:val="00E54313"/>
    <w:rsid w:val="00E6658A"/>
    <w:rsid w:val="00E67E2D"/>
    <w:rsid w:val="00E734E5"/>
    <w:rsid w:val="00E748F4"/>
    <w:rsid w:val="00E7722B"/>
    <w:rsid w:val="00E7744D"/>
    <w:rsid w:val="00E800D2"/>
    <w:rsid w:val="00E82F74"/>
    <w:rsid w:val="00E93E89"/>
    <w:rsid w:val="00E97CB7"/>
    <w:rsid w:val="00EA5BF5"/>
    <w:rsid w:val="00EB1670"/>
    <w:rsid w:val="00EC5A05"/>
    <w:rsid w:val="00EC7F3C"/>
    <w:rsid w:val="00ED024F"/>
    <w:rsid w:val="00EE2CA2"/>
    <w:rsid w:val="00EE3FDC"/>
    <w:rsid w:val="00EE4C9E"/>
    <w:rsid w:val="00EE5B74"/>
    <w:rsid w:val="00EF18C2"/>
    <w:rsid w:val="00EF2A80"/>
    <w:rsid w:val="00EF309A"/>
    <w:rsid w:val="00EF466B"/>
    <w:rsid w:val="00F058F8"/>
    <w:rsid w:val="00F201E9"/>
    <w:rsid w:val="00F23259"/>
    <w:rsid w:val="00F2757D"/>
    <w:rsid w:val="00F279B5"/>
    <w:rsid w:val="00F344F5"/>
    <w:rsid w:val="00F35473"/>
    <w:rsid w:val="00F42AD9"/>
    <w:rsid w:val="00F4637B"/>
    <w:rsid w:val="00F5008C"/>
    <w:rsid w:val="00F54B9A"/>
    <w:rsid w:val="00F62A25"/>
    <w:rsid w:val="00F67EAA"/>
    <w:rsid w:val="00F72C25"/>
    <w:rsid w:val="00F75549"/>
    <w:rsid w:val="00F860CD"/>
    <w:rsid w:val="00F934AF"/>
    <w:rsid w:val="00F94A87"/>
    <w:rsid w:val="00FA033E"/>
    <w:rsid w:val="00FB3222"/>
    <w:rsid w:val="00FB5951"/>
    <w:rsid w:val="00FB6DAF"/>
    <w:rsid w:val="00FB7697"/>
    <w:rsid w:val="00FC137E"/>
    <w:rsid w:val="00FC29E1"/>
    <w:rsid w:val="00FD1C2E"/>
    <w:rsid w:val="00FE1478"/>
    <w:rsid w:val="00FE1D6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3CD28"/>
  <w15:chartTrackingRefBased/>
  <w15:docId w15:val="{77BE8FB4-B00E-4D61-8F10-395356D9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9C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149C"/>
    <w:rPr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73F6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B73F6"/>
    <w:rPr>
      <w:rFonts w:ascii="SimSun"/>
      <w:sz w:val="18"/>
      <w:szCs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rsid w:val="00EB1670"/>
    <w:rPr>
      <w:lang w:val="en-GB" w:eastAsia="en-US"/>
    </w:rPr>
  </w:style>
  <w:style w:type="character" w:styleId="Hyperlink">
    <w:name w:val="Hyperlink"/>
    <w:uiPriority w:val="99"/>
    <w:unhideWhenUsed/>
    <w:rsid w:val="00B420FD"/>
    <w:rPr>
      <w:color w:val="35A1D4"/>
      <w:u w:val="single"/>
    </w:rPr>
  </w:style>
  <w:style w:type="character" w:customStyle="1" w:styleId="def">
    <w:name w:val="def"/>
    <w:basedOn w:val="DefaultParagraphFont"/>
    <w:rsid w:val="00B420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84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527284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527284"/>
    <w:rPr>
      <w:rFonts w:ascii="Arial" w:hAnsi="Arial"/>
      <w:b/>
      <w:bCs/>
      <w:lang w:val="en-GB"/>
    </w:rPr>
  </w:style>
  <w:style w:type="paragraph" w:customStyle="1" w:styleId="Observation">
    <w:name w:val="Observation"/>
    <w:basedOn w:val="Normal"/>
    <w:qFormat/>
    <w:rsid w:val="00F75549"/>
    <w:pPr>
      <w:numPr>
        <w:numId w:val="12"/>
      </w:num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customStyle="1" w:styleId="3GPPHeader">
    <w:name w:val="3GPP_Header"/>
    <w:basedOn w:val="Normal"/>
    <w:link w:val="3GPPHeaderChar"/>
    <w:rsid w:val="00DD77F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Times New Roman"/>
      <w:b/>
      <w:sz w:val="24"/>
      <w:lang w:eastAsia="zh-CN"/>
    </w:rPr>
  </w:style>
  <w:style w:type="character" w:customStyle="1" w:styleId="3GPPHeaderChar">
    <w:name w:val="3GPP_Header Char"/>
    <w:link w:val="3GPPHeader"/>
    <w:rsid w:val="00DD77FC"/>
    <w:rPr>
      <w:rFonts w:eastAsia="Times New Roman"/>
      <w:b/>
      <w:sz w:val="24"/>
      <w:lang w:val="en-GB" w:eastAsia="zh-CN"/>
    </w:rPr>
  </w:style>
  <w:style w:type="paragraph" w:customStyle="1" w:styleId="Agreement">
    <w:name w:val="Agreement"/>
    <w:basedOn w:val="Normal"/>
    <w:next w:val="Normal"/>
    <w:rsid w:val="0047208B"/>
    <w:pPr>
      <w:numPr>
        <w:numId w:val="15"/>
      </w:numPr>
      <w:tabs>
        <w:tab w:val="clear" w:pos="2070"/>
        <w:tab w:val="num" w:pos="1800"/>
      </w:tabs>
      <w:spacing w:before="60"/>
      <w:ind w:left="1800"/>
    </w:pPr>
    <w:rPr>
      <w:rFonts w:ascii="Arial" w:eastAsia="MS Mincho" w:hAnsi="Arial"/>
      <w:b/>
      <w:szCs w:val="24"/>
      <w:lang w:eastAsia="en-GB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表段落,列"/>
    <w:basedOn w:val="Normal"/>
    <w:link w:val="ListParagraphChar"/>
    <w:uiPriority w:val="34"/>
    <w:qFormat/>
    <w:rsid w:val="00E800D2"/>
    <w:pPr>
      <w:ind w:left="720"/>
      <w:contextualSpacing/>
    </w:pPr>
    <w:rPr>
      <w:rFonts w:eastAsia="Times New Roman"/>
      <w:sz w:val="24"/>
      <w:szCs w:val="24"/>
      <w:lang w:val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E800D2"/>
    <w:rPr>
      <w:rFonts w:eastAsia="Times New Roman"/>
      <w:sz w:val="24"/>
      <w:szCs w:val="24"/>
      <w:lang w:val="x-none" w:eastAsia="en-US"/>
    </w:rPr>
  </w:style>
  <w:style w:type="character" w:customStyle="1" w:styleId="B1Char">
    <w:name w:val="B1 Char"/>
    <w:link w:val="B1"/>
    <w:locked/>
    <w:rsid w:val="00E82F74"/>
    <w:rPr>
      <w:rFonts w:ascii="Arial" w:hAnsi="Arial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341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32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689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948">
          <w:marLeft w:val="1411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382">
          <w:marLeft w:val="197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900">
          <w:marLeft w:val="197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92">
          <w:marLeft w:val="1411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374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.o@samsu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5CB1-E1C4-4320-B71D-760E23A6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Sophia Antipolis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keeth.jayasinghe@nokia.com</dc:creator>
  <cp:keywords/>
  <cp:lastModifiedBy>Eko Onggosanusi</cp:lastModifiedBy>
  <cp:revision>23</cp:revision>
  <cp:lastPrinted>2002-04-23T06:10:00Z</cp:lastPrinted>
  <dcterms:created xsi:type="dcterms:W3CDTF">2021-01-31T23:25:00Z</dcterms:created>
  <dcterms:modified xsi:type="dcterms:W3CDTF">2021-02-03T07:16:00Z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(2)cIdDdocQ50IeqixmOCTa1y1hqJUQHeACRIniK6E5DptW7LnLs/siVjzoCpQLGbIuSDlBQnqm_x000d_
O2FvuLHQpFyh57n9E5xyGoFjk9bAya118nYjSBw45SA2/TW8csHySv8nz0baOvNlfpyQYj4z_x000d_
FDYUjOC6jSuRZVl5fYbLFTmU2VJ/QHworYf3gaQdpScSJoiNSk8UG7FL0lZhpfL+HWhYEddV_x000d_
5L09+crghAUTfD0yW1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7kvSel4Vnjx4WQpxG2MOydg8SvGPdBlvlwXzkfpJfbLbTIZrRORP75_x000d_
c4HmE49Ks9kfzV6CSk8BmJfnRR/7Trq2vyvzOG8uE2ikDM2Hkkvg7Q==</vt:lpwstr>
  </property>
  <property fmtid="{D5CDD505-2E9C-101B-9397-08002B2CF9AE}" pid="5" name="_ms_pID_7253431_00">
    <vt:lpwstr>_ms_pID_7253431</vt:lpwstr>
  </property>
  <property fmtid="{D5CDD505-2E9C-101B-9397-08002B2CF9AE}" pid="6" name="_2015_ms_pID_725343">
    <vt:lpwstr>(3)TyMfLNO/CUCQcCq8lEp6ADxkO5+N3xo/F4qJm+nBqv1jpPZXChTTLm0uvCViaHnX6Y4DwnU3_x000d_
sp8oiHdCnKv8MhmUITLIe/tz9uksMHG2x0lQa71qfJKyzwfwnmgkPuwiar0uA/T6BMZdf2Ww_x000d_
Fa+9nZ/GBZsPtwA0otfCwxJFS2+T3hto518ZkNra9QJ7pChlPhKG8w66usgNz0AsouNDiWDI_x000d_
Ou4FWM45eqETdogqaP</vt:lpwstr>
  </property>
  <property fmtid="{D5CDD505-2E9C-101B-9397-08002B2CF9AE}" pid="7" name="_2015_ms_pID_7253431">
    <vt:lpwstr>KdGpt4/ZXBWLtF0rko58iEv/eyb0F4+s0TEIKdrBiWznrUPU97o+na_x000d_
PqErIqL1dRh5QHsEFm6ptxYu39GJebOoC9Vb4vA4igCwps/temr3nFhKz9uhbcuggA31V8oT_x000d_
penafF1tfCgEmDIDkslj1yhZ+Ry2KQCJtaUDjA4LKlYiQu6ec7mxI9sF+Oalt315anQSVs4K_x000d_
GLumdN1ZiRYOOdOSxV19UXptTnVxWBpieJCL</vt:lpwstr>
  </property>
  <property fmtid="{D5CDD505-2E9C-101B-9397-08002B2CF9AE}" pid="8" name="_2015_ms_pID_7253432">
    <vt:lpwstr>8A==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1541121866</vt:lpwstr>
  </property>
</Properties>
</file>