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1" w:name="_Toc19796387"/>
      <w:bookmarkStart w:id="2" w:name="_Toc26459613"/>
      <w:bookmarkStart w:id="3" w:name="_Toc29230257"/>
      <w:bookmarkStart w:id="4" w:name="_Toc36026516"/>
      <w:bookmarkStart w:id="5" w:name="_Toc45107355"/>
      <w:bookmarkStart w:id="6" w:name="_Toc51774024"/>
      <w:r>
        <w:t>4.4.4.2</w:t>
      </w:r>
      <w:r>
        <w:tab/>
        <w:t>Point A</w:t>
      </w:r>
      <w:bookmarkEnd w:id="1"/>
      <w:bookmarkEnd w:id="2"/>
      <w:bookmarkEnd w:id="3"/>
      <w:bookmarkEnd w:id="4"/>
      <w:bookmarkEnd w:id="5"/>
      <w:bookmarkEnd w:id="6"/>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7"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8"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9" w:author="Author"/>
        </w:rPr>
      </w:pPr>
      <w:ins w:id="10"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1" w:author="Author"/>
        </w:rPr>
      </w:pPr>
      <w:ins w:id="12"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3" w:name="_Toc19796526"/>
      <w:bookmarkStart w:id="14" w:name="_Toc26459752"/>
      <w:bookmarkStart w:id="15" w:name="_Toc29230417"/>
      <w:bookmarkStart w:id="16" w:name="_Toc36026676"/>
      <w:bookmarkStart w:id="17" w:name="_Toc45107515"/>
      <w:bookmarkStart w:id="18" w:name="_Toc51774184"/>
      <w:r>
        <w:lastRenderedPageBreak/>
        <w:t>7.4.3.1</w:t>
      </w:r>
      <w:r>
        <w:tab/>
        <w:t>Time-frequency structure of an SS/PBCH block</w:t>
      </w:r>
      <w:bookmarkEnd w:id="13"/>
      <w:bookmarkEnd w:id="14"/>
      <w:bookmarkEnd w:id="15"/>
      <w:bookmarkEnd w:id="16"/>
      <w:bookmarkEnd w:id="17"/>
      <w:bookmarkEnd w:id="18"/>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1.25pt;height:14.25pt" o:ole="">
            <v:imagedata r:id="rId13" o:title=""/>
          </v:shape>
          <o:OLEObject Type="Embed" ProgID="Equation.3" ShapeID="_x0000_i1039" DrawAspect="Content" ObjectID="_1673015322"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40" type="#_x0000_t75" style="width:39pt;height:15pt" o:ole="">
            <v:imagedata r:id="rId15" o:title=""/>
          </v:shape>
          <o:OLEObject Type="Embed" ProgID="Equation.3" ShapeID="_x0000_i1040" DrawAspect="Content" ObjectID="_1673015323" r:id="rId16"/>
        </w:object>
      </w:r>
      <w:r>
        <w:t xml:space="preserve"> and </w:t>
      </w:r>
      <w:r w:rsidRPr="00372D6C">
        <w:rPr>
          <w:position w:val="-10"/>
        </w:rPr>
        <w:object w:dxaOrig="1719" w:dyaOrig="300" w14:anchorId="1EFB205C">
          <v:shape id="_x0000_i1041" type="#_x0000_t75" style="width:86.25pt;height:15pt" o:ole="">
            <v:imagedata r:id="rId17" o:title=""/>
          </v:shape>
          <o:OLEObject Type="Embed" ProgID="Equation.3" ShapeID="_x0000_i1041" DrawAspect="Content" ObjectID="_1673015324" r:id="rId18"/>
        </w:object>
      </w:r>
      <w:r>
        <w:t xml:space="preserve"> with the quantities </w:t>
      </w:r>
      <w:r w:rsidRPr="00372D6C">
        <w:rPr>
          <w:position w:val="-10"/>
        </w:rPr>
        <w:object w:dxaOrig="420" w:dyaOrig="300" w14:anchorId="23153A92">
          <v:shape id="_x0000_i1042" type="#_x0000_t75" style="width:20.25pt;height:15pt" o:ole="">
            <v:imagedata r:id="rId19" o:title=""/>
          </v:shape>
          <o:OLEObject Type="Embed" ProgID="Equation.3" ShapeID="_x0000_i1042" DrawAspect="Content" ObjectID="_1673015325"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43" type="#_x0000_t75" style="width:39pt;height:15pt" o:ole="">
            <v:imagedata r:id="rId21" o:title=""/>
          </v:shape>
          <o:OLEObject Type="Embed" ProgID="Equation.3" ShapeID="_x0000_i1043" DrawAspect="Content" ObjectID="_1673015326" r:id="rId22"/>
        </w:object>
      </w:r>
      <w:r>
        <w:t xml:space="preserve"> and </w:t>
      </w:r>
      <w:r w:rsidRPr="00372D6C">
        <w:rPr>
          <w:position w:val="-10"/>
        </w:rPr>
        <w:object w:dxaOrig="1680" w:dyaOrig="300" w14:anchorId="1A43D82A">
          <v:shape id="_x0000_i1044" type="#_x0000_t75" style="width:83.25pt;height:15pt" o:ole="">
            <v:imagedata r:id="rId23" o:title=""/>
          </v:shape>
          <o:OLEObject Type="Embed" ProgID="Equation.3" ShapeID="_x0000_i1044" DrawAspect="Content" ObjectID="_1673015327" r:id="rId24"/>
        </w:object>
      </w:r>
      <w:r>
        <w:t xml:space="preserve"> with the quantity </w:t>
      </w:r>
      <w:r w:rsidRPr="00372D6C">
        <w:rPr>
          <w:position w:val="-10"/>
        </w:rPr>
        <w:object w:dxaOrig="420" w:dyaOrig="300" w14:anchorId="37C88C64">
          <v:shape id="_x0000_i1045" type="#_x0000_t75" style="width:20.25pt;height:15pt" o:ole="">
            <v:imagedata r:id="rId19" o:title=""/>
          </v:shape>
          <o:OLEObject Type="Embed" ProgID="Equation.3" ShapeID="_x0000_i1045" DrawAspect="Content" ObjectID="_1673015328"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19"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7B2CCD">
        <w:tc>
          <w:tcPr>
            <w:tcW w:w="2972" w:type="dxa"/>
          </w:tcPr>
          <w:p w14:paraId="0C85484C" w14:textId="77777777" w:rsidR="00F35397" w:rsidRDefault="00F35397" w:rsidP="007B2CC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7B2CCD">
            <w:pPr>
              <w:spacing w:after="180"/>
              <w:rPr>
                <w:rFonts w:eastAsia="SimSun"/>
                <w:szCs w:val="20"/>
                <w:lang w:eastAsia="zh-CN"/>
              </w:rPr>
            </w:pPr>
            <w:r>
              <w:rPr>
                <w:rFonts w:eastAsia="SimSun" w:hint="eastAsia"/>
                <w:szCs w:val="20"/>
                <w:lang w:eastAsia="zh-CN"/>
              </w:rPr>
              <w:t>comments</w:t>
            </w:r>
          </w:p>
        </w:tc>
      </w:tr>
      <w:tr w:rsidR="00F35397" w14:paraId="0620BB54" w14:textId="77777777" w:rsidTr="007B2CCD">
        <w:tc>
          <w:tcPr>
            <w:tcW w:w="2972" w:type="dxa"/>
          </w:tcPr>
          <w:p w14:paraId="34E44B07" w14:textId="77777777" w:rsidR="00F35397" w:rsidRDefault="00F35397" w:rsidP="007B2CCD">
            <w:pPr>
              <w:spacing w:after="180"/>
              <w:rPr>
                <w:rFonts w:eastAsia="SimSun"/>
                <w:szCs w:val="20"/>
                <w:lang w:eastAsia="zh-CN"/>
              </w:rPr>
            </w:pPr>
          </w:p>
        </w:tc>
        <w:tc>
          <w:tcPr>
            <w:tcW w:w="6088" w:type="dxa"/>
          </w:tcPr>
          <w:p w14:paraId="351F2023" w14:textId="77777777" w:rsidR="00F35397" w:rsidRDefault="00F35397" w:rsidP="007B2CCD">
            <w:pPr>
              <w:spacing w:after="180"/>
              <w:rPr>
                <w:rFonts w:eastAsia="SimSun"/>
                <w:szCs w:val="20"/>
                <w:lang w:eastAsia="zh-CN"/>
              </w:rPr>
            </w:pPr>
          </w:p>
        </w:tc>
      </w:tr>
      <w:tr w:rsidR="00F35397" w14:paraId="44115DE0" w14:textId="77777777" w:rsidTr="007B2CCD">
        <w:tc>
          <w:tcPr>
            <w:tcW w:w="2972" w:type="dxa"/>
          </w:tcPr>
          <w:p w14:paraId="30BF4C79" w14:textId="77777777" w:rsidR="00F35397" w:rsidRDefault="00F35397" w:rsidP="007B2CCD">
            <w:pPr>
              <w:spacing w:after="180"/>
              <w:rPr>
                <w:rFonts w:eastAsia="SimSun"/>
                <w:szCs w:val="20"/>
                <w:lang w:eastAsia="zh-CN"/>
              </w:rPr>
            </w:pPr>
          </w:p>
        </w:tc>
        <w:tc>
          <w:tcPr>
            <w:tcW w:w="6088" w:type="dxa"/>
          </w:tcPr>
          <w:p w14:paraId="35E59852" w14:textId="77777777" w:rsidR="00F35397" w:rsidRDefault="00F35397" w:rsidP="007B2CCD">
            <w:pPr>
              <w:spacing w:after="180"/>
              <w:rPr>
                <w:rFonts w:eastAsia="SimSun"/>
                <w:szCs w:val="20"/>
                <w:lang w:eastAsia="zh-CN"/>
              </w:rPr>
            </w:pPr>
          </w:p>
        </w:tc>
      </w:tr>
    </w:tbl>
    <w:p w14:paraId="19DEE788" w14:textId="17650CEC" w:rsidR="00F35397" w:rsidRDefault="00F35397" w:rsidP="00581909">
      <w:pPr>
        <w:rPr>
          <w:lang w:eastAsia="en-US"/>
        </w:rPr>
      </w:pPr>
    </w:p>
    <w:p w14:paraId="1AAD7C46" w14:textId="77777777" w:rsidR="00F35397" w:rsidRDefault="00F35397" w:rsidP="00581909">
      <w:pPr>
        <w:rPr>
          <w:lang w:eastAsia="en-US"/>
        </w:rPr>
      </w:pPr>
    </w:p>
    <w:p w14:paraId="3E7E6B6E" w14:textId="2593C739" w:rsidR="00F65FAD" w:rsidRDefault="00F65FAD" w:rsidP="00F65FAD">
      <w:pPr>
        <w:pStyle w:val="Heading2"/>
      </w:pPr>
      <w:bookmarkStart w:id="20" w:name="_GoBack"/>
      <w:bookmarkEnd w:id="20"/>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t>
      </w:r>
      <w:proofErr w:type="gramStart"/>
      <w:r w:rsidRPr="00367D9D">
        <w:rPr>
          <w:rFonts w:ascii="Arial" w:hAnsi="Arial" w:cs="Arial"/>
        </w:rPr>
        <w:t>whether or not</w:t>
      </w:r>
      <w:proofErr w:type="gramEnd"/>
      <w:r w:rsidRPr="00367D9D">
        <w:rPr>
          <w:rFonts w:ascii="Arial" w:hAnsi="Arial" w:cs="Arial"/>
        </w:rPr>
        <w:t xml:space="preserve">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77777777"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Heading4"/>
        <w:rPr>
          <w:lang w:val="en-US"/>
        </w:rPr>
      </w:pPr>
      <w:r>
        <w:rPr>
          <w:lang w:val="en-US"/>
        </w:rPr>
        <w:lastRenderedPageBreak/>
        <w:t>Text Proposals from [3]</w:t>
      </w:r>
    </w:p>
    <w:tbl>
      <w:tblPr>
        <w:tblStyle w:val="TableGrid"/>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21" w:name="_Toc19798775"/>
            <w:bookmarkStart w:id="22" w:name="_Toc26467246"/>
            <w:bookmarkStart w:id="23" w:name="_Toc29326607"/>
            <w:bookmarkStart w:id="24" w:name="_Toc29327757"/>
            <w:r w:rsidRPr="00AC4C19">
              <w:rPr>
                <w:rFonts w:hint="eastAsia"/>
                <w:sz w:val="20"/>
                <w:lang w:eastAsia="zh-CN"/>
              </w:rPr>
              <w:t>7.3.1.1.1</w:t>
            </w:r>
            <w:r w:rsidRPr="00AC4C19">
              <w:rPr>
                <w:rFonts w:hint="eastAsia"/>
                <w:sz w:val="20"/>
                <w:lang w:eastAsia="zh-CN"/>
              </w:rPr>
              <w:tab/>
              <w:t>Format 0_0</w:t>
            </w:r>
            <w:bookmarkEnd w:id="21"/>
            <w:bookmarkEnd w:id="22"/>
            <w:bookmarkEnd w:id="23"/>
            <w:bookmarkEnd w:id="24"/>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25" w:author="Sharp" w:date="2021-01-07T09:09:00Z"/>
              </w:rPr>
            </w:pPr>
            <w:r w:rsidRPr="00D24A31">
              <w:t>-</w:t>
            </w:r>
            <w:r w:rsidRPr="00D24A31">
              <w:tab/>
              <w:t xml:space="preserve">Frequency domain resource assignment – </w:t>
            </w:r>
            <w:ins w:id="26" w:author="Sharp" w:date="2021-01-07T09:11:00Z">
              <w:r>
                <w:t>number of bits determined by the following:</w:t>
              </w:r>
            </w:ins>
          </w:p>
          <w:p w14:paraId="7B6765EC" w14:textId="77777777" w:rsidR="00F65FAD" w:rsidRPr="00D24A31" w:rsidRDefault="00F65FAD" w:rsidP="00BB532D">
            <w:pPr>
              <w:pStyle w:val="B1"/>
              <w:ind w:left="851"/>
            </w:pPr>
            <w:ins w:id="27" w:author="Sharp" w:date="2021-01-07T09:09:00Z">
              <w:r w:rsidRPr="00D24A31">
                <w:t>-</w:t>
              </w:r>
              <w:r w:rsidRPr="00D24A31">
                <w:tab/>
              </w:r>
            </w:ins>
            <w:r w:rsidRPr="00D24A31">
              <w:rPr>
                <w:rFonts w:eastAsiaTheme="minorEastAsia"/>
                <w:position w:val="-12"/>
              </w:rPr>
              <w:object w:dxaOrig="3140" w:dyaOrig="440" w14:anchorId="58CDDA29">
                <v:shape id="_x0000_i1046" type="#_x0000_t75" style="width:132pt;height:18pt" o:ole="">
                  <v:imagedata r:id="rId26" o:title=""/>
                </v:shape>
                <o:OLEObject Type="Embed" ProgID="Equation.3" ShapeID="_x0000_i1046" DrawAspect="Content" ObjectID="_1673015329"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configured, where </w:t>
            </w:r>
            <w:r w:rsidRPr="00D24A31">
              <w:rPr>
                <w:rFonts w:eastAsiaTheme="minorEastAsia"/>
                <w:position w:val="-10"/>
              </w:rPr>
              <w:object w:dxaOrig="660" w:dyaOrig="285" w14:anchorId="6C372EEF">
                <v:shape id="_x0000_i1047" type="#_x0000_t75" style="width:33pt;height:14.25pt" o:ole="">
                  <v:imagedata r:id="rId28" o:title=""/>
                </v:shape>
                <o:OLEObject Type="Embed" ProgID="Equation.3" ShapeID="_x0000_i1047" DrawAspect="Content" ObjectID="_1673015330"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48" type="#_x0000_t75" style="width:31.5pt;height:16.5pt" o:ole="">
                  <v:imagedata r:id="rId30" o:title=""/>
                </v:shape>
                <o:OLEObject Type="Embed" ProgID="Equation.3" ShapeID="_x0000_i1048" DrawAspect="Content" ObjectID="_1673015331"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49" type="#_x0000_t75" style="width:45pt;height:16.5pt" o:ole="">
                  <v:imagedata r:id="rId32" o:title=""/>
                </v:shape>
                <o:OLEObject Type="Embed" ProgID="Equation.3" ShapeID="_x0000_i1049" DrawAspect="Content" ObjectID="_1673015332"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50" type="#_x0000_t75" style="width:46.5pt;height:16.5pt" o:ole="">
                  <v:imagedata r:id="rId34" o:title=""/>
                </v:shape>
                <o:OLEObject Type="Embed" ProgID="Equation.3" ShapeID="_x0000_i1050" DrawAspect="Content" ObjectID="_1673015333"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51" type="#_x0000_t75" style="width:169.5pt;height:20.25pt" o:ole="">
                  <v:imagedata r:id="rId36" o:title=""/>
                </v:shape>
                <o:OLEObject Type="Embed" ProgID="Equation.3" ShapeID="_x0000_i1051" DrawAspect="Content" ObjectID="_1673015334" r:id="rId37"/>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52" type="#_x0000_t75" style="width:132pt;height:18pt" o:ole="">
                  <v:imagedata r:id="rId38" o:title=""/>
                </v:shape>
                <o:OLEObject Type="Embed" ProgID="Equation.3" ShapeID="_x0000_i1052" DrawAspect="Content" ObjectID="_1673015335" r:id="rId39"/>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28" w:author="Sharp" w:date="2021-01-07T09:12:00Z">
              <w:r>
                <w:t>I</w:t>
              </w:r>
            </w:ins>
            <w:del w:id="29"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lastRenderedPageBreak/>
              <w:t>-</w:t>
            </w:r>
            <w:r w:rsidRPr="00647739">
              <w:rPr>
                <w:lang w:eastAsia="zh-CN"/>
              </w:rPr>
              <w:tab/>
            </w:r>
            <w:r w:rsidRPr="00647739">
              <w:rPr>
                <w:rFonts w:eastAsiaTheme="minorEastAsia"/>
                <w:position w:val="-12"/>
              </w:rPr>
              <w:object w:dxaOrig="3140" w:dyaOrig="440" w14:anchorId="39CB35A3">
                <v:shape id="_x0000_i1053" type="#_x0000_t75" style="width:132pt;height:18pt" o:ole="">
                  <v:imagedata r:id="rId26" o:title=""/>
                </v:shape>
                <o:OLEObject Type="Embed" ProgID="Equation.3" ShapeID="_x0000_i1053" DrawAspect="Content" ObjectID="_1673015336"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54" type="#_x0000_t75" style="width:33pt;height:13.5pt" o:ole="">
                  <v:imagedata r:id="rId28" o:title=""/>
                </v:shape>
                <o:OLEObject Type="Embed" ProgID="Equation.3" ShapeID="_x0000_i1054" DrawAspect="Content" ObjectID="_1673015337"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55" type="#_x0000_t75" style="width:31.5pt;height:16.5pt" o:ole="">
                  <v:imagedata r:id="rId30" o:title=""/>
                </v:shape>
                <o:OLEObject Type="Embed" ProgID="Equation.3" ShapeID="_x0000_i1055" DrawAspect="Content" ObjectID="_1673015338"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56" type="#_x0000_t75" style="width:45pt;height:16.5pt" o:ole="">
                  <v:imagedata r:id="rId32" o:title=""/>
                </v:shape>
                <o:OLEObject Type="Embed" ProgID="Equation.3" ShapeID="_x0000_i1056" DrawAspect="Content" ObjectID="_1673015339" r:id="rId43"/>
              </w:object>
            </w:r>
            <w:r w:rsidRPr="00647739">
              <w:rPr>
                <w:lang w:eastAsia="zh-CN"/>
              </w:rPr>
              <w:t xml:space="preserve"> if </w:t>
            </w:r>
            <w:r w:rsidRPr="00647739">
              <w:rPr>
                <w:position w:val="-10"/>
              </w:rPr>
              <w:object w:dxaOrig="1340" w:dyaOrig="360" w14:anchorId="7D3111A5">
                <v:shape id="_x0000_i1057" type="#_x0000_t75" style="width:55.5pt;height:15pt" o:ole="">
                  <v:imagedata r:id="rId44" o:title=""/>
                </v:shape>
                <o:OLEObject Type="Embed" ProgID="Equation.3" ShapeID="_x0000_i1057" DrawAspect="Content" ObjectID="_1673015340" r:id="rId45"/>
              </w:object>
            </w:r>
            <w:r w:rsidRPr="00647739">
              <w:rPr>
                <w:lang w:eastAsia="zh-CN"/>
              </w:rPr>
              <w:t xml:space="preserve"> and </w:t>
            </w:r>
            <w:r w:rsidRPr="00647739">
              <w:rPr>
                <w:position w:val="-10"/>
              </w:rPr>
              <w:object w:dxaOrig="1140" w:dyaOrig="380" w14:anchorId="5E7EE6C4">
                <v:shape id="_x0000_i1058" type="#_x0000_t75" style="width:48pt;height:16.5pt" o:ole="">
                  <v:imagedata r:id="rId46" o:title=""/>
                </v:shape>
                <o:OLEObject Type="Embed" ProgID="Equation.3" ShapeID="_x0000_i1058" DrawAspect="Content" ObjectID="_1673015341"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59" type="#_x0000_t75" style="width:169.5pt;height:20.25pt" o:ole="">
                  <v:imagedata r:id="rId36" o:title=""/>
                </v:shape>
                <o:OLEObject Type="Embed" ProgID="Equation.3" ShapeID="_x0000_i1059" DrawAspect="Content" ObjectID="_1673015342" r:id="rId48"/>
              </w:object>
            </w:r>
            <w:r w:rsidRPr="00647739">
              <w:rPr>
                <w:lang w:eastAsia="zh-CN"/>
              </w:rPr>
              <w:t xml:space="preserve"> bits provide</w:t>
            </w:r>
            <w:del w:id="30"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60" type="#_x0000_t75" style="width:132pt;height:18pt" o:ole="">
                  <v:imagedata r:id="rId38" o:title=""/>
                </v:shape>
                <o:OLEObject Type="Embed" ProgID="Equation.3" ShapeID="_x0000_i1060" DrawAspect="Content" ObjectID="_1673015343" r:id="rId49"/>
              </w:object>
            </w:r>
            <w:r w:rsidRPr="00647739">
              <w:rPr>
                <w:lang w:eastAsia="zh-CN"/>
              </w:rPr>
              <w:t xml:space="preserve"> bits provide</w:t>
            </w:r>
            <w:del w:id="3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32" w:author="Sharp" w:date="2021-01-07T09:19:00Z">
              <w:r>
                <w:rPr>
                  <w:lang w:eastAsia="zh-CN"/>
                </w:rPr>
                <w:t>I</w:t>
              </w:r>
            </w:ins>
            <w:del w:id="33"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TableGrid"/>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34" w:name="_Toc58250811"/>
            <w:bookmarkStart w:id="35" w:name="_Toc51852445"/>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34"/>
            <w:bookmarkEnd w:id="35"/>
            <w:bookmarkEnd w:id="36"/>
            <w:bookmarkEnd w:id="37"/>
            <w:bookmarkEnd w:id="38"/>
            <w:bookmarkEnd w:id="39"/>
            <w:bookmarkEnd w:id="40"/>
            <w:bookmarkEnd w:id="41"/>
            <w:bookmarkEnd w:id="42"/>
            <w:bookmarkEnd w:id="43"/>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w:t>
            </w:r>
            <w:proofErr w:type="gramStart"/>
            <w:r w:rsidRPr="0034581F">
              <w:t>cell, or</w:t>
            </w:r>
            <w:proofErr w:type="gramEnd"/>
            <w:r w:rsidRPr="0034581F">
              <w:t xml:space="preserve">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44"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lastRenderedPageBreak/>
              <w:t>-</w:t>
            </w:r>
            <w:r w:rsidRPr="0034581F">
              <w:rPr>
                <w:rFonts w:eastAsiaTheme="minorEastAsia"/>
              </w:rPr>
              <w:tab/>
              <w:t>HARQ-ACK bitmap – 16 bits</w:t>
            </w:r>
            <w:del w:id="45"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 xml:space="preserve">All the remaining bits in format 0_1 </w:t>
            </w:r>
            <w:proofErr w:type="gramStart"/>
            <w:r w:rsidRPr="0034581F">
              <w:t>are</w:t>
            </w:r>
            <w:proofErr w:type="gramEnd"/>
            <w:r w:rsidRPr="0034581F">
              <w:t xml:space="preserv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61" type="#_x0000_t75" style="width:33pt;height:16.5pt" o:ole="">
                  <v:imagedata r:id="rId50" o:title=""/>
                </v:shape>
                <o:OLEObject Type="Embed" ProgID="Equation.DSMT4" ShapeID="_x0000_i1061" DrawAspect="Content" ObjectID="_1673015344"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SimSun"/>
                <w:position w:val="-12"/>
              </w:rPr>
              <w:object w:dxaOrig="1125" w:dyaOrig="330" w14:anchorId="29835278">
                <v:shape id="_x0000_i1062" type="#_x0000_t75" style="width:56.25pt;height:16.5pt" o:ole="">
                  <v:imagedata r:id="rId52" o:title=""/>
                </v:shape>
                <o:OLEObject Type="Embed" ProgID="Equation.3" ShapeID="_x0000_i1062" DrawAspect="Content" ObjectID="_1673015345"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63" type="#_x0000_t75" style="width:76.5pt;height:16.5pt" o:ole="">
                  <v:imagedata r:id="rId54" o:title=""/>
                </v:shape>
                <o:OLEObject Type="Embed" ProgID="Equation.3" ShapeID="_x0000_i1063" DrawAspect="Content" ObjectID="_1673015346" r:id="rId55"/>
              </w:object>
            </w:r>
            <w:r w:rsidRPr="0034581F">
              <w:rPr>
                <w:lang w:eastAsia="zh-CN"/>
              </w:rPr>
              <w:t xml:space="preserve"> if </w:t>
            </w:r>
            <w:r w:rsidRPr="0034581F">
              <w:rPr>
                <w:rFonts w:eastAsia="SimSun"/>
                <w:position w:val="-14"/>
              </w:rPr>
              <w:object w:dxaOrig="975" w:dyaOrig="330" w14:anchorId="3DA36FE6">
                <v:shape id="_x0000_i1064" type="#_x0000_t75" style="width:48.75pt;height:16.5pt" o:ole="">
                  <v:imagedata r:id="rId56" o:title=""/>
                </v:shape>
                <o:OLEObject Type="Embed" ProgID="Equation.DSMT4" ShapeID="_x0000_i1064" DrawAspect="Content" ObjectID="_1673015347"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65" type="#_x0000_t75" style="width:62.25pt;height:16.5pt" o:ole="">
                  <v:imagedata r:id="rId58" o:title=""/>
                </v:shape>
                <o:OLEObject Type="Embed" ProgID="Equation.3" ShapeID="_x0000_i1065" DrawAspect="Content" ObjectID="_1673015348"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66" type="#_x0000_t75" style="width:33pt;height:14.25pt" o:ole="">
                  <v:imagedata r:id="rId28" o:title=""/>
                </v:shape>
                <o:OLEObject Type="Embed" ProgID="Equation.3" ShapeID="_x0000_i1066" DrawAspect="Content" ObjectID="_1673015349"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67" type="#_x0000_t75" style="width:24pt;height:15pt" o:ole="">
                  <v:imagedata r:id="rId61" o:title=""/>
                </v:shape>
                <o:OLEObject Type="Embed" ProgID="Equation.3" ShapeID="_x0000_i1067" DrawAspect="Content" ObjectID="_1673015350"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68" type="#_x0000_t75" style="width:24pt;height:15pt" o:ole="">
                  <v:imagedata r:id="rId61" o:title=""/>
                </v:shape>
                <o:OLEObject Type="Embed" ProgID="Equation.3" ShapeID="_x0000_i1068" DrawAspect="Content" ObjectID="_1673015351"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2655" w:dyaOrig="375" w14:anchorId="18548621">
                <v:shape id="_x0000_i1069" type="#_x0000_t75" style="width:132.75pt;height:18.75pt" o:ole="">
                  <v:imagedata r:id="rId26" o:title=""/>
                </v:shape>
                <o:OLEObject Type="Embed" ProgID="Equation.3" ShapeID="_x0000_i1069" DrawAspect="Content" ObjectID="_1673015352"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70" type="#_x0000_t75" style="width:211.5pt;height:18pt" o:ole="">
                  <v:imagedata r:id="rId65" o:title=""/>
                  <o:lock v:ext="edit" aspectratio="f"/>
                </v:shape>
                <o:OLEObject Type="Embed" ProgID="Equation.3" ShapeID="_x0000_i1070" DrawAspect="Content" ObjectID="_1673015353"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71" type="#_x0000_t75" style="width:24pt;height:15pt" o:ole="">
                  <v:imagedata r:id="rId61" o:title=""/>
                </v:shape>
                <o:OLEObject Type="Embed" ProgID="Equation.3" ShapeID="_x0000_i1071" DrawAspect="Content" ObjectID="_1673015354"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72" type="#_x0000_t75" style="width:132.75pt;height:18.75pt" o:ole="">
                  <v:imagedata r:id="rId26" o:title=""/>
                </v:shape>
                <o:OLEObject Type="Embed" ProgID="Equation.3" ShapeID="_x0000_i1072" DrawAspect="Content" ObjectID="_1673015355"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73" type="#_x0000_t75" style="width:31.5pt;height:16.5pt" o:ole="">
                  <v:imagedata r:id="rId30" o:title=""/>
                </v:shape>
                <o:OLEObject Type="Embed" ProgID="Equation.3" ShapeID="_x0000_i1073" DrawAspect="Content" ObjectID="_1673015356"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74" type="#_x0000_t75" style="width:45pt;height:16.5pt" o:ole="">
                  <v:imagedata r:id="rId32" o:title=""/>
                </v:shape>
                <o:OLEObject Type="Embed" ProgID="Equation.3" ShapeID="_x0000_i1074" DrawAspect="Content" ObjectID="_1673015357"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SimSun"/>
                <w:position w:val="-10"/>
                <w:lang w:eastAsia="en-US"/>
              </w:rPr>
              <w:object w:dxaOrig="915" w:dyaOrig="315" w14:anchorId="6097DA01">
                <v:shape id="_x0000_i1075" type="#_x0000_t75" style="width:45.75pt;height:16.5pt" o:ole="">
                  <v:imagedata r:id="rId71" o:title=""/>
                </v:shape>
                <o:OLEObject Type="Embed" ProgID="Equation.3" ShapeID="_x0000_i1075" DrawAspect="Content" ObjectID="_1673015358"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2"/>
                <w:lang w:eastAsia="en-US"/>
              </w:rPr>
              <w:object w:dxaOrig="3390" w:dyaOrig="390" w14:anchorId="3C9346D8">
                <v:shape id="_x0000_i1076" type="#_x0000_t75" style="width:169.5pt;height:19.5pt" o:ole="">
                  <v:imagedata r:id="rId36" o:title=""/>
                </v:shape>
                <o:OLEObject Type="Embed" ProgID="Equation.3" ShapeID="_x0000_i1076" DrawAspect="Content" ObjectID="_1673015359" r:id="rId73"/>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lastRenderedPageBreak/>
              <w:t>-</w:t>
            </w:r>
            <w:r w:rsidRPr="0034581F">
              <w:rPr>
                <w:lang w:eastAsia="zh-CN"/>
              </w:rPr>
              <w:tab/>
              <w:t>For non-PUSCH hopping with resource allocation type 1:</w:t>
            </w:r>
          </w:p>
          <w:p w14:paraId="677B1EEF" w14:textId="77777777" w:rsidR="00F65FAD" w:rsidRDefault="00F65FAD" w:rsidP="005F49B6">
            <w:pPr>
              <w:pStyle w:val="B5"/>
              <w:rPr>
                <w:ins w:id="46"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77" type="#_x0000_t75" style="width:132pt;height:18.75pt" o:ole="">
                  <v:imagedata r:id="rId74" o:title=""/>
                </v:shape>
                <o:OLEObject Type="Embed" ProgID="Equation.3" ShapeID="_x0000_i1077" DrawAspect="Content" ObjectID="_1673015360" r:id="rId75"/>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795E92AF" w14:textId="77777777" w:rsidR="00F65FAD" w:rsidRPr="001572EB" w:rsidRDefault="00F65FAD" w:rsidP="00BB532D">
            <w:pPr>
              <w:pStyle w:val="B2"/>
              <w:ind w:firstLine="0"/>
              <w:rPr>
                <w:lang w:eastAsia="zh-CN"/>
              </w:rPr>
            </w:pPr>
            <w:ins w:id="47"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48"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49" w:author="Sharp" w:date="2021-01-08T08:54:00Z"/>
                <w:lang w:eastAsia="zh-CN"/>
              </w:rPr>
            </w:pPr>
            <w:del w:id="50"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lastRenderedPageBreak/>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51"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52"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53"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78" type="#_x0000_t75" style="width:132.75pt;height:18.75pt" o:ole="">
            <v:imagedata r:id="rId26" o:title=""/>
          </v:shape>
          <o:OLEObject Type="Embed" ProgID="Equation.3" ShapeID="_x0000_i1078" DrawAspect="Content" ObjectID="_1673015361" r:id="rId76"/>
        </w:object>
      </w:r>
      <w:r w:rsidRPr="00367D9D">
        <w:rPr>
          <w:rFonts w:eastAsia="SimSun"/>
          <w:lang w:eastAsia="zh-CN"/>
        </w:rPr>
        <w:t xml:space="preserve"> bits </w:t>
      </w:r>
      <w:r w:rsidRPr="00367D9D">
        <w:rPr>
          <w:rFonts w:eastAsia="SimSun"/>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79" type="#_x0000_t75" style="width:32.25pt;height:13.5pt" o:ole="">
            <v:imagedata r:id="rId28" o:title=""/>
          </v:shape>
          <o:OLEObject Type="Embed" ProgID="Equation.3" ShapeID="_x0000_i1079" DrawAspect="Content" ObjectID="_1673015362"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80" type="#_x0000_t75" style="width:32.25pt;height:15.75pt" o:ole="">
            <v:imagedata r:id="rId30" o:title=""/>
          </v:shape>
          <o:OLEObject Type="Embed" ProgID="Equation.3" ShapeID="_x0000_i1080" DrawAspect="Content" ObjectID="_1673015363"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81" type="#_x0000_t75" style="width:45pt;height:15.75pt" o:ole="">
            <v:imagedata r:id="rId32" o:title=""/>
          </v:shape>
          <o:OLEObject Type="Embed" ProgID="Equation.3" ShapeID="_x0000_i1081" DrawAspect="Content" ObjectID="_1673015364" r:id="rId79"/>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82" type="#_x0000_t75" style="width:45.75pt;height:15.75pt" o:ole="">
            <v:imagedata r:id="rId34" o:title=""/>
          </v:shape>
          <o:OLEObject Type="Embed" ProgID="Equation.3" ShapeID="_x0000_i1082" DrawAspect="Content" ObjectID="_1673015365" r:id="rId80"/>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83" type="#_x0000_t75" style="width:168.75pt;height:19.5pt" o:ole="">
            <v:imagedata r:id="rId36" o:title=""/>
          </v:shape>
          <o:OLEObject Type="Embed" ProgID="Equation.3" ShapeID="_x0000_i1083" DrawAspect="Content" ObjectID="_1673015366" r:id="rId81"/>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4D3B07B0">
          <v:shape id="_x0000_i1084" type="#_x0000_t75" style="width:132pt;height:18.75pt" o:ole="">
            <v:imagedata r:id="rId38" o:title=""/>
          </v:shape>
          <o:OLEObject Type="Embed" ProgID="Equation.3" ShapeID="_x0000_i1084" DrawAspect="Content" ObjectID="_1673015367" r:id="rId82"/>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85" type="#_x0000_t75" style="width:132.75pt;height:18.75pt" o:ole="">
            <v:imagedata r:id="rId26" o:title=""/>
          </v:shape>
          <o:OLEObject Type="Embed" ProgID="Equation.3" ShapeID="_x0000_i1085" DrawAspect="Content" ObjectID="_1673015368" r:id="rId83"/>
        </w:object>
      </w:r>
      <w:r w:rsidRPr="00367D9D">
        <w:rPr>
          <w:rFonts w:eastAsia="SimSun"/>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86" type="#_x0000_t75" style="width:32.25pt;height:13.5pt" o:ole="">
            <v:imagedata r:id="rId28" o:title=""/>
          </v:shape>
          <o:OLEObject Type="Embed" ProgID="Equation.3" ShapeID="_x0000_i1086" DrawAspect="Content" ObjectID="_1673015369"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87" type="#_x0000_t75" style="width:32.25pt;height:15.75pt" o:ole="">
            <v:imagedata r:id="rId30" o:title=""/>
          </v:shape>
          <o:OLEObject Type="Embed" ProgID="Equation.3" ShapeID="_x0000_i1087" DrawAspect="Content" ObjectID="_1673015370"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88" type="#_x0000_t75" style="width:45pt;height:15.75pt" o:ole="">
            <v:imagedata r:id="rId32" o:title=""/>
          </v:shape>
          <o:OLEObject Type="Embed" ProgID="Equation.3" ShapeID="_x0000_i1088" DrawAspect="Content" ObjectID="_1673015371"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89" type="#_x0000_t75" style="width:54.75pt;height:15pt" o:ole="">
            <v:imagedata r:id="rId44" o:title=""/>
          </v:shape>
          <o:OLEObject Type="Embed" ProgID="Equation.3" ShapeID="_x0000_i1089" DrawAspect="Content" ObjectID="_1673015372"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90" type="#_x0000_t75" style="width:47.25pt;height:15.75pt" o:ole="">
            <v:imagedata r:id="rId46" o:title=""/>
          </v:shape>
          <o:OLEObject Type="Embed" ProgID="Equation.3" ShapeID="_x0000_i1090" DrawAspect="Content" ObjectID="_1673015373"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91" type="#_x0000_t75" style="width:168.75pt;height:19.5pt" o:ole="">
            <v:imagedata r:id="rId36" o:title=""/>
          </v:shape>
          <o:OLEObject Type="Embed" ProgID="Equation.3" ShapeID="_x0000_i1091" DrawAspect="Content" ObjectID="_1673015374" r:id="rId89"/>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92" type="#_x0000_t75" style="width:132pt;height:18.75pt" o:ole="">
            <v:imagedata r:id="rId38" o:title=""/>
          </v:shape>
          <o:OLEObject Type="Embed" ProgID="Equation.3" ShapeID="_x0000_i1092" DrawAspect="Content" ObjectID="_1673015375" r:id="rId90"/>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bits provide the frequency domain resource allocation according to Clause 6.1.2.2.3 of [6, TS 38.214] if the </w:t>
      </w:r>
      <w:r w:rsidRPr="00367D9D">
        <w:rPr>
          <w:rFonts w:eastAsia="SimSun"/>
          <w:lang w:eastAsia="zh-CN"/>
        </w:rPr>
        <w:lastRenderedPageBreak/>
        <w:t>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is executed if interlaced PUSCH/PUCCH is configured. However, this procedure should be executed only if interlaced PUSCH/PUCCH is NOT configured, since '</w:t>
      </w:r>
      <w:proofErr w:type="spellStart"/>
      <w:r w:rsidRPr="00367D9D">
        <w:rPr>
          <w:rFonts w:eastAsia="Calibri"/>
          <w:i/>
          <w:iCs/>
        </w:rPr>
        <w:t>dynamicSwitch</w:t>
      </w:r>
      <w:proofErr w:type="spellEnd"/>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93" type="#_x0000_t75" style="width:32.25pt;height:17.25pt" o:ole="">
            <v:imagedata r:id="rId50" o:title=""/>
          </v:shape>
          <o:OLEObject Type="Embed" ProgID="Equation.DSMT4" ShapeID="_x0000_i1093" DrawAspect="Content" ObjectID="_1673015376" r:id="rId91"/>
        </w:object>
      </w:r>
      <w:r w:rsidRPr="00367D9D">
        <w:rPr>
          <w:rFonts w:eastAsia="SimSun"/>
          <w:lang w:eastAsia="zh-CN"/>
        </w:rPr>
        <w:t xml:space="preserve"> configured by higher layers, excluding the initial UL bandwidth part. The </w:t>
      </w:r>
      <w:proofErr w:type="spellStart"/>
      <w:r w:rsidRPr="00367D9D">
        <w:rPr>
          <w:rFonts w:eastAsia="SimSun"/>
          <w:lang w:eastAsia="zh-CN"/>
        </w:rPr>
        <w:t>bitwidth</w:t>
      </w:r>
      <w:proofErr w:type="spellEnd"/>
      <w:r w:rsidRPr="00367D9D">
        <w:rPr>
          <w:rFonts w:eastAsia="SimSun"/>
          <w:lang w:eastAsia="zh-CN"/>
        </w:rPr>
        <w:t xml:space="preserve"> for this field is determined as </w:t>
      </w:r>
      <w:r w:rsidRPr="00367D9D">
        <w:rPr>
          <w:rFonts w:eastAsia="SimSun"/>
          <w:position w:val="-12"/>
          <w:lang w:eastAsia="en-US"/>
        </w:rPr>
        <w:object w:dxaOrig="1125" w:dyaOrig="345" w14:anchorId="06970241">
          <v:shape id="_x0000_i1094" type="#_x0000_t75" style="width:56.25pt;height:17.25pt" o:ole="">
            <v:imagedata r:id="rId52" o:title=""/>
          </v:shape>
          <o:OLEObject Type="Embed" ProgID="Equation.3" ShapeID="_x0000_i1094" DrawAspect="Content" ObjectID="_1673015377"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1545" w:dyaOrig="315" w14:anchorId="6A3E3521">
          <v:shape id="_x0000_i1095" type="#_x0000_t75" style="width:77.25pt;height:15.75pt" o:ole="">
            <v:imagedata r:id="rId54" o:title=""/>
          </v:shape>
          <o:OLEObject Type="Embed" ProgID="Equation.3" ShapeID="_x0000_i1095" DrawAspect="Content" ObjectID="_1673015378" r:id="rId93"/>
        </w:object>
      </w:r>
      <w:r w:rsidRPr="00367D9D">
        <w:rPr>
          <w:rFonts w:eastAsia="SimSun"/>
          <w:lang w:eastAsia="zh-CN"/>
        </w:rPr>
        <w:t xml:space="preserve"> if </w:t>
      </w:r>
      <w:r w:rsidRPr="00367D9D">
        <w:rPr>
          <w:rFonts w:eastAsia="SimSun"/>
          <w:position w:val="-14"/>
          <w:lang w:eastAsia="en-US"/>
        </w:rPr>
        <w:object w:dxaOrig="975" w:dyaOrig="345" w14:anchorId="6F8911B2">
          <v:shape id="_x0000_i1096" type="#_x0000_t75" style="width:48.75pt;height:17.25pt" o:ole="">
            <v:imagedata r:id="rId56" o:title=""/>
          </v:shape>
          <o:OLEObject Type="Embed" ProgID="Equation.DSMT4" ShapeID="_x0000_i1096" DrawAspect="Content" ObjectID="_1673015379"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7878CA47">
          <v:shape id="_x0000_i1097" type="#_x0000_t75" style="width:62.25pt;height:15.75pt" o:ole="">
            <v:imagedata r:id="rId58" o:title=""/>
          </v:shape>
          <o:OLEObject Type="Embed" ProgID="Equation.3" ShapeID="_x0000_i1097" DrawAspect="Content" ObjectID="_1673015380"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98" type="#_x0000_t75" style="width:32.25pt;height:13.5pt" o:ole="">
            <v:imagedata r:id="rId28" o:title=""/>
          </v:shape>
          <o:OLEObject Type="Embed" ProgID="Equation.3" ShapeID="_x0000_i1098" DrawAspect="Content" ObjectID="_1673015381"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99" type="#_x0000_t75" style="width:24.75pt;height:15pt" o:ole="">
            <v:imagedata r:id="rId61" o:title=""/>
          </v:shape>
          <o:OLEObject Type="Embed" ProgID="Equation.3" ShapeID="_x0000_i1099" DrawAspect="Content" ObjectID="_1673015382"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100" type="#_x0000_t75" style="width:24.75pt;height:15pt" o:ole="">
            <v:imagedata r:id="rId61" o:title=""/>
          </v:shape>
          <o:OLEObject Type="Embed" ProgID="Equation.3" ShapeID="_x0000_i1100" DrawAspect="Content" ObjectID="_1673015383" r:id="rId98"/>
        </w:object>
      </w:r>
      <w:r w:rsidRPr="00367D9D">
        <w:rPr>
          <w:rFonts w:eastAsia="SimSun"/>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101" type="#_x0000_t75" style="width:132.75pt;height:18.75pt" o:ole="">
            <v:imagedata r:id="rId26" o:title=""/>
          </v:shape>
          <o:OLEObject Type="Embed" ProgID="Equation.3" ShapeID="_x0000_i1101" DrawAspect="Content" ObjectID="_1673015384"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102" type="#_x0000_t75" style="width:210.75pt;height:17.25pt" o:ole="">
            <v:imagedata r:id="rId65" o:title=""/>
            <o:lock v:ext="edit" aspectratio="f"/>
          </v:shape>
          <o:OLEObject Type="Embed" ProgID="Equation.3" ShapeID="_x0000_i1102" DrawAspect="Content" ObjectID="_1673015385" r:id="rId100"/>
        </w:object>
      </w:r>
      <w:r w:rsidRPr="00367D9D">
        <w:rPr>
          <w:rFonts w:eastAsia="SimSun"/>
          <w:lang w:eastAsia="zh-CN"/>
        </w:rPr>
        <w:t xml:space="preserve"> bits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103" type="#_x0000_t75" style="width:24.75pt;height:15pt" o:ole="">
            <v:imagedata r:id="rId61" o:title=""/>
          </v:shape>
          <o:OLEObject Type="Embed" ProgID="Equation.3" ShapeID="_x0000_i1103" DrawAspect="Content" ObjectID="_1673015386" r:id="rId101"/>
        </w:object>
      </w:r>
      <w:r w:rsidRPr="00367D9D">
        <w:rPr>
          <w:rFonts w:eastAsia="SimSun"/>
          <w:lang w:eastAsia="zh-CN"/>
        </w:rPr>
        <w:t xml:space="preserve"> LSBs provide the resource allocation as defined in Clause 6.1.2.2.1 </w:t>
      </w:r>
      <w:r w:rsidRPr="00367D9D">
        <w:rPr>
          <w:rFonts w:eastAsia="SimSun"/>
          <w:lang w:eastAsia="zh-CN"/>
        </w:rPr>
        <w:lastRenderedPageBreak/>
        <w:t>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104" type="#_x0000_t75" style="width:132.75pt;height:18.75pt" o:ole="">
            <v:imagedata r:id="rId26" o:title=""/>
          </v:shape>
          <o:OLEObject Type="Embed" ProgID="Equation.3" ShapeID="_x0000_i1104" DrawAspect="Content" ObjectID="_1673015387"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105" type="#_x0000_t75" style="width:32.25pt;height:15.75pt" o:ole="">
            <v:imagedata r:id="rId30" o:title=""/>
          </v:shape>
          <o:OLEObject Type="Embed" ProgID="Equation.3" ShapeID="_x0000_i1105" DrawAspect="Content" ObjectID="_1673015388"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106" type="#_x0000_t75" style="width:45pt;height:15.75pt" o:ole="">
            <v:imagedata r:id="rId32" o:title=""/>
          </v:shape>
          <o:OLEObject Type="Embed" ProgID="Equation.3" ShapeID="_x0000_i1106" DrawAspect="Content" ObjectID="_1673015389" r:id="rId104"/>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107" type="#_x0000_t75" style="width:45.75pt;height:15.75pt" o:ole="">
            <v:imagedata r:id="rId71" o:title=""/>
          </v:shape>
          <o:OLEObject Type="Embed" ProgID="Equation.3" ShapeID="_x0000_i1107" DrawAspect="Content" ObjectID="_1673015390" r:id="rId105"/>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108" type="#_x0000_t75" style="width:168.75pt;height:19.5pt" o:ole="">
            <v:imagedata r:id="rId36" o:title=""/>
          </v:shape>
          <o:OLEObject Type="Embed" ProgID="Equation.3" ShapeID="_x0000_i1108" DrawAspect="Content" ObjectID="_1673015391" r:id="rId106"/>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109" type="#_x0000_t75" style="width:132pt;height:18.75pt" o:ole="">
            <v:imagedata r:id="rId74" o:title=""/>
          </v:shape>
          <o:OLEObject Type="Embed" ProgID="Equation.3" ShapeID="_x0000_i1109" DrawAspect="Content" ObjectID="_1673015392" r:id="rId107"/>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SimSun"/>
          <w:lang w:eastAsia="zh-CN"/>
        </w:rPr>
      </w:pPr>
      <w:moveToRangeStart w:id="54" w:author="Ericsson" w:date="2021-01-15T09:23:00Z" w:name="move61595011"/>
      <w:moveTo w:id="55" w:author="Ericsson" w:date="2021-01-15T09:23:00Z">
        <w:r w:rsidRPr="00367D9D">
          <w:rPr>
            <w:rFonts w:eastAsia="SimSun"/>
            <w:lang w:eastAsia="zh-CN"/>
          </w:rPr>
          <w:t xml:space="preserve">If "Bandwidth part indicator" field indicates a bandwidth part other than the active bandwidth part and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proofErr w:type="spellStart"/>
        <w:r w:rsidRPr="00367D9D">
          <w:rPr>
            <w:rFonts w:eastAsia="SimSun"/>
            <w:i/>
            <w:lang w:eastAsia="zh-CN"/>
          </w:rPr>
          <w:t>dynamicSwitch</w:t>
        </w:r>
        <w:proofErr w:type="spellEnd"/>
        <w:r w:rsidRPr="00367D9D">
          <w:rPr>
            <w:rFonts w:eastAsia="SimSun"/>
            <w:i/>
            <w:lang w:eastAsia="zh-CN"/>
          </w:rPr>
          <w:t>'</w:t>
        </w:r>
        <w:r w:rsidRPr="00367D9D">
          <w:rPr>
            <w:rFonts w:eastAsia="SimSun"/>
            <w:lang w:eastAsia="zh-CN"/>
          </w:rPr>
          <w:t xml:space="preserve"> for the indicated bandwidth part, the UE assumes resource allocation type 0 for the indicated bandwidth part if the </w:t>
        </w:r>
        <w:proofErr w:type="spellStart"/>
        <w:r w:rsidRPr="00367D9D">
          <w:rPr>
            <w:rFonts w:eastAsia="SimSun"/>
            <w:lang w:eastAsia="zh-CN"/>
          </w:rPr>
          <w:t>bitwidth</w:t>
        </w:r>
        <w:proofErr w:type="spellEnd"/>
        <w:r w:rsidRPr="00367D9D">
          <w:rPr>
            <w:rFonts w:eastAsia="SimSun"/>
            <w:lang w:eastAsia="zh-CN"/>
          </w:rPr>
          <w:t xml:space="preserve"> of the "Frequency domain resource assignment" field of the active bandwidth part is smaller than the </w:t>
        </w:r>
        <w:proofErr w:type="spellStart"/>
        <w:r w:rsidRPr="00367D9D">
          <w:rPr>
            <w:rFonts w:eastAsia="SimSun"/>
            <w:lang w:eastAsia="zh-CN"/>
          </w:rPr>
          <w:t>bitwidth</w:t>
        </w:r>
        <w:proofErr w:type="spellEnd"/>
        <w:r w:rsidRPr="00367D9D">
          <w:rPr>
            <w:rFonts w:eastAsia="SimSun"/>
            <w:lang w:eastAsia="zh-CN"/>
          </w:rPr>
          <w:t xml:space="preserve"> of the "Frequency domain resource assignment"  field of the indicated bandwidth part.</w:t>
        </w:r>
      </w:moveTo>
    </w:p>
    <w:moveToRangeEnd w:id="54"/>
    <w:p w14:paraId="6C8ADC05" w14:textId="77777777" w:rsidR="00F65FAD" w:rsidRPr="00367D9D" w:rsidRDefault="00F65FAD" w:rsidP="00F65FAD">
      <w:pPr>
        <w:overflowPunct/>
        <w:autoSpaceDE/>
        <w:autoSpaceDN/>
        <w:adjustRightInd/>
        <w:ind w:left="851" w:right="-603" w:hanging="284"/>
        <w:textAlignment w:val="auto"/>
        <w:rPr>
          <w:ins w:id="56"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77777777" w:rsidR="00F65FAD" w:rsidRPr="00367D9D" w:rsidRDefault="00F65FAD" w:rsidP="00F65FAD">
      <w:pPr>
        <w:overflowPunct/>
        <w:autoSpaceDE/>
        <w:autoSpaceDN/>
        <w:adjustRightInd/>
        <w:ind w:left="851" w:right="-603"/>
        <w:textAlignment w:val="auto"/>
        <w:rPr>
          <w:rFonts w:eastAsia="SimSun"/>
          <w:lang w:eastAsia="zh-CN"/>
        </w:rPr>
      </w:pPr>
      <w:moveFromRangeStart w:id="57" w:author="Ericsson" w:date="2021-01-15T09:23:00Z" w:name="move61595011"/>
      <w:moveFrom w:id="58" w:author="Ericsson" w:date="2021-01-15T09:23:00Z">
        <w:r w:rsidRPr="00367D9D">
          <w:rPr>
            <w:rFonts w:eastAsia="SimSun"/>
            <w:lang w:eastAsia="zh-CN"/>
          </w:rPr>
          <w:t xml:space="preserve">If "Bandwidth part indicator"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r w:rsidRPr="00367D9D">
          <w:rPr>
            <w:rFonts w:eastAsia="SimSun"/>
            <w:i/>
            <w:lang w:eastAsia="zh-CN"/>
          </w:rPr>
          <w:t>dynamicSwitch'</w:t>
        </w:r>
        <w:r w:rsidRPr="00367D9D">
          <w:rPr>
            <w:rFonts w:eastAsia="SimSun"/>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57"/>
    <w:p w14:paraId="4885AABB" w14:textId="77777777" w:rsidR="00F65FAD" w:rsidRPr="00367D9D" w:rsidRDefault="00F65FAD" w:rsidP="00F65FAD">
      <w:pPr>
        <w:overflowPunct/>
        <w:autoSpaceDE/>
        <w:autoSpaceDN/>
        <w:adjustRightInd/>
        <w:ind w:left="568" w:right="-603" w:hanging="284"/>
        <w:textAlignment w:val="auto"/>
        <w:rPr>
          <w:del w:id="59"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7B2CCD">
        <w:tc>
          <w:tcPr>
            <w:tcW w:w="2972" w:type="dxa"/>
          </w:tcPr>
          <w:p w14:paraId="60EAC79F" w14:textId="77777777" w:rsidR="00F35397" w:rsidRDefault="00F35397" w:rsidP="007B2CC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7B2CCD">
            <w:pPr>
              <w:spacing w:after="180"/>
              <w:rPr>
                <w:rFonts w:eastAsia="SimSun"/>
                <w:szCs w:val="20"/>
                <w:lang w:eastAsia="zh-CN"/>
              </w:rPr>
            </w:pPr>
            <w:r>
              <w:rPr>
                <w:rFonts w:eastAsia="SimSun" w:hint="eastAsia"/>
                <w:szCs w:val="20"/>
                <w:lang w:eastAsia="zh-CN"/>
              </w:rPr>
              <w:t>comments</w:t>
            </w:r>
          </w:p>
        </w:tc>
      </w:tr>
      <w:tr w:rsidR="00F35397" w14:paraId="795093FC" w14:textId="77777777" w:rsidTr="007B2CCD">
        <w:tc>
          <w:tcPr>
            <w:tcW w:w="2972" w:type="dxa"/>
          </w:tcPr>
          <w:p w14:paraId="7F12F345" w14:textId="77777777" w:rsidR="00F35397" w:rsidRDefault="00F35397" w:rsidP="007B2CCD">
            <w:pPr>
              <w:spacing w:after="180"/>
              <w:rPr>
                <w:rFonts w:eastAsia="SimSun"/>
                <w:szCs w:val="20"/>
                <w:lang w:eastAsia="zh-CN"/>
              </w:rPr>
            </w:pPr>
          </w:p>
        </w:tc>
        <w:tc>
          <w:tcPr>
            <w:tcW w:w="6088" w:type="dxa"/>
          </w:tcPr>
          <w:p w14:paraId="150B9B46" w14:textId="77777777" w:rsidR="00F35397" w:rsidRDefault="00F35397" w:rsidP="007B2CCD">
            <w:pPr>
              <w:spacing w:after="180"/>
              <w:rPr>
                <w:rFonts w:eastAsia="SimSun"/>
                <w:szCs w:val="20"/>
                <w:lang w:eastAsia="zh-CN"/>
              </w:rPr>
            </w:pPr>
          </w:p>
        </w:tc>
      </w:tr>
      <w:tr w:rsidR="00F35397" w14:paraId="58CEB137" w14:textId="77777777" w:rsidTr="007B2CCD">
        <w:tc>
          <w:tcPr>
            <w:tcW w:w="2972" w:type="dxa"/>
          </w:tcPr>
          <w:p w14:paraId="234A164C" w14:textId="77777777" w:rsidR="00F35397" w:rsidRDefault="00F35397" w:rsidP="007B2CCD">
            <w:pPr>
              <w:spacing w:after="180"/>
              <w:rPr>
                <w:rFonts w:eastAsia="SimSun"/>
                <w:szCs w:val="20"/>
                <w:lang w:eastAsia="zh-CN"/>
              </w:rPr>
            </w:pPr>
          </w:p>
        </w:tc>
        <w:tc>
          <w:tcPr>
            <w:tcW w:w="6088" w:type="dxa"/>
          </w:tcPr>
          <w:p w14:paraId="6C461CE0" w14:textId="77777777" w:rsidR="00F35397" w:rsidRDefault="00F35397" w:rsidP="007B2CCD">
            <w:pPr>
              <w:spacing w:after="180"/>
              <w:rPr>
                <w:rFonts w:eastAsia="SimSun"/>
                <w:szCs w:val="20"/>
                <w:lang w:eastAsia="zh-CN"/>
              </w:rPr>
            </w:pP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Heading2"/>
        <w:rPr>
          <w:rFonts w:eastAsia="SimSun"/>
          <w:lang w:eastAsia="zh-CN"/>
        </w:rPr>
      </w:pPr>
      <w:r>
        <w:t>2.3 Issue CG-TP2: RRC parameter name alignment in 38.213</w:t>
      </w:r>
    </w:p>
    <w:p w14:paraId="4ED4FC68" w14:textId="42B5A4BE" w:rsidR="00BB532D" w:rsidRPr="00192E23" w:rsidRDefault="00192E23" w:rsidP="00192E23">
      <w:pPr>
        <w:rPr>
          <w:rFonts w:eastAsia="DengXian"/>
          <w:lang w:eastAsia="zh-CN"/>
        </w:rPr>
      </w:pPr>
      <w:r w:rsidRPr="00192E23">
        <w:rPr>
          <w:rFonts w:eastAsia="DengXian"/>
          <w:lang w:eastAsia="zh-CN"/>
        </w:rPr>
        <w:t xml:space="preserve">============Start of TP for 38.213================ </w:t>
      </w:r>
    </w:p>
    <w:p w14:paraId="5BE3F254" w14:textId="77777777" w:rsidR="00BB532D" w:rsidRPr="00993022" w:rsidRDefault="00BB532D" w:rsidP="00BB532D">
      <w:pPr>
        <w:rPr>
          <w:rFonts w:eastAsia="DengXian"/>
          <w:sz w:val="28"/>
          <w:lang w:eastAsia="zh-CN"/>
        </w:rPr>
      </w:pPr>
      <w:r w:rsidRPr="00993022">
        <w:rPr>
          <w:rFonts w:eastAsia="DengXian"/>
          <w:sz w:val="28"/>
          <w:lang w:eastAsia="zh-CN"/>
        </w:rPr>
        <w:lastRenderedPageBreak/>
        <w:t>10</w:t>
      </w:r>
      <w:r w:rsidRPr="00993022">
        <w:rPr>
          <w:rFonts w:eastAsia="DengXian" w:hint="eastAsia"/>
          <w:sz w:val="28"/>
          <w:lang w:eastAsia="zh-CN"/>
        </w:rPr>
        <w:t>.</w:t>
      </w:r>
      <w:r w:rsidRPr="00993022">
        <w:rPr>
          <w:rFonts w:eastAsia="DengXian"/>
          <w:sz w:val="28"/>
          <w:lang w:eastAsia="zh-CN"/>
        </w:rPr>
        <w:t>5</w:t>
      </w:r>
      <w:r w:rsidRPr="00993022">
        <w:rPr>
          <w:rFonts w:eastAsia="DengXian" w:hint="eastAsia"/>
          <w:sz w:val="28"/>
          <w:lang w:eastAsia="zh-CN"/>
        </w:rPr>
        <w:tab/>
      </w:r>
      <w:r w:rsidRPr="00993022">
        <w:rPr>
          <w:rFonts w:eastAsia="DengXian"/>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DengXian"/>
          <w:lang w:eastAsia="zh-CN"/>
        </w:rPr>
        <w:t xml:space="preserve">A UE can be configured </w:t>
      </w:r>
      <w:proofErr w:type="gramStart"/>
      <w:r w:rsidRPr="00207688">
        <w:rPr>
          <w:rFonts w:eastAsia="DengXian"/>
          <w:lang w:eastAsia="zh-CN"/>
        </w:rPr>
        <w:t>a number of</w:t>
      </w:r>
      <w:proofErr w:type="gramEnd"/>
      <w:r w:rsidRPr="00207688">
        <w:rPr>
          <w:rFonts w:eastAsia="DengXian"/>
          <w:lang w:eastAsia="zh-CN"/>
        </w:rPr>
        <w:t xml:space="preserve"> search space sets to monitor PDCCH for detecting a DCI format 0_1 with a DFI flag field and CRC scrambled with a CS-RNTI provided by </w:t>
      </w:r>
      <w:r w:rsidRPr="00207688">
        <w:rPr>
          <w:rFonts w:eastAsia="SimSun"/>
          <w:i/>
        </w:rPr>
        <w:t>cs-RNTI</w:t>
      </w:r>
      <w:r w:rsidRPr="00207688">
        <w:rPr>
          <w:rFonts w:eastAsia="DengXian"/>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proofErr w:type="spellStart"/>
      <w:r w:rsidRPr="00207688">
        <w:rPr>
          <w:rFonts w:eastAsia="SimSun"/>
          <w:i/>
          <w:iCs/>
        </w:rPr>
        <w:t>ConfiguredGrantConfig</w:t>
      </w:r>
      <w:proofErr w:type="spellEnd"/>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 xml:space="preserve">configured by </w:t>
      </w:r>
      <w:proofErr w:type="spellStart"/>
      <w:r w:rsidRPr="00207688">
        <w:rPr>
          <w:rFonts w:eastAsia="SimSun"/>
          <w:i/>
          <w:iCs/>
        </w:rPr>
        <w:t>ConfiguredGrantConfig</w:t>
      </w:r>
      <w:proofErr w:type="spellEnd"/>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60"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1"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Malgun Gothic"/>
          <w:iCs/>
        </w:rPr>
      </w:pPr>
      <w:r w:rsidRPr="00207688">
        <w:rPr>
          <w:rFonts w:eastAsia="SimSun"/>
        </w:rPr>
        <w:t xml:space="preserve">For an initial transmission by a UE of a transport block in a PUSCH configured by </w:t>
      </w:r>
      <w:proofErr w:type="spellStart"/>
      <w:r w:rsidRPr="00207688">
        <w:rPr>
          <w:rFonts w:eastAsia="SimSun"/>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62"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3"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or, if the PUSCH transmission is over 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64"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5"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66"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7"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68"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69" w:author="ASUSTeK" w:date="2021-01-07T15:29:00Z">
        <w:r w:rsidRPr="00207688" w:rsidDel="00A0058A">
          <w:rPr>
            <w:rFonts w:eastAsia="SimSun"/>
            <w:i/>
          </w:rPr>
          <w:delText>cg-minDFIDelay-r16</w:delText>
        </w:r>
      </w:del>
      <w:r w:rsidRPr="00207688">
        <w:rPr>
          <w:rFonts w:eastAsia="SimSun"/>
        </w:rPr>
        <w:t xml:space="preserve"> among multiple </w:t>
      </w:r>
      <w:proofErr w:type="spellStart"/>
      <w:r w:rsidRPr="00207688">
        <w:rPr>
          <w:rFonts w:eastAsia="SimSun"/>
          <w:i/>
          <w:iCs/>
        </w:rPr>
        <w:t>ConfiguredGrantConfig</w:t>
      </w:r>
      <w:proofErr w:type="spellEnd"/>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w:t>
      </w:r>
      <w:proofErr w:type="spellStart"/>
      <w:r>
        <w:rPr>
          <w:rFonts w:eastAsia="SimSun"/>
          <w:szCs w:val="20"/>
          <w:lang w:eastAsia="zh-CN"/>
        </w:rPr>
        <w:t>tP</w:t>
      </w:r>
      <w:proofErr w:type="spellEnd"/>
      <w:r>
        <w:rPr>
          <w:rFonts w:eastAsia="SimSun"/>
          <w:szCs w:val="20"/>
          <w:lang w:eastAsia="zh-CN"/>
        </w:rPr>
        <w:t xml:space="preserve">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074F6BC1" w14:textId="77777777" w:rsidTr="005F49B6">
        <w:tc>
          <w:tcPr>
            <w:tcW w:w="2972" w:type="dxa"/>
          </w:tcPr>
          <w:p w14:paraId="7E756E74" w14:textId="77777777" w:rsidR="00BB532D" w:rsidRDefault="00BB532D" w:rsidP="005F49B6">
            <w:pPr>
              <w:spacing w:after="180"/>
              <w:rPr>
                <w:rFonts w:eastAsia="SimSun"/>
                <w:szCs w:val="20"/>
                <w:lang w:eastAsia="zh-CN"/>
              </w:rPr>
            </w:pPr>
          </w:p>
        </w:tc>
        <w:tc>
          <w:tcPr>
            <w:tcW w:w="6088" w:type="dxa"/>
          </w:tcPr>
          <w:p w14:paraId="7A1B606F" w14:textId="77777777" w:rsidR="00BB532D" w:rsidRDefault="00BB532D" w:rsidP="005F49B6">
            <w:pPr>
              <w:spacing w:after="180"/>
              <w:rPr>
                <w:rFonts w:eastAsia="SimSun"/>
                <w:szCs w:val="20"/>
                <w:lang w:eastAsia="zh-CN"/>
              </w:rPr>
            </w:pPr>
          </w:p>
        </w:tc>
      </w:tr>
      <w:tr w:rsidR="00BB532D" w14:paraId="05A06C7E" w14:textId="77777777" w:rsidTr="005F49B6">
        <w:tc>
          <w:tcPr>
            <w:tcW w:w="2972" w:type="dxa"/>
          </w:tcPr>
          <w:p w14:paraId="0CE56E1C" w14:textId="77777777" w:rsidR="00BB532D" w:rsidRDefault="00BB532D" w:rsidP="005F49B6">
            <w:pPr>
              <w:spacing w:after="180"/>
              <w:rPr>
                <w:rFonts w:eastAsia="SimSun"/>
                <w:szCs w:val="20"/>
                <w:lang w:eastAsia="zh-CN"/>
              </w:rPr>
            </w:pPr>
          </w:p>
        </w:tc>
        <w:tc>
          <w:tcPr>
            <w:tcW w:w="6088" w:type="dxa"/>
          </w:tcPr>
          <w:p w14:paraId="58BDD4FA" w14:textId="77777777" w:rsidR="00BB532D" w:rsidRDefault="00BB532D" w:rsidP="005F49B6">
            <w:pPr>
              <w:spacing w:after="180"/>
              <w:rPr>
                <w:rFonts w:eastAsia="SimSun"/>
                <w:szCs w:val="20"/>
                <w:lang w:eastAsia="zh-CN"/>
              </w:rPr>
            </w:pP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lastRenderedPageBreak/>
        <w:t>TP for TS 37.213</w:t>
      </w:r>
    </w:p>
    <w:p w14:paraId="5DA68299" w14:textId="4DEA79B1" w:rsidR="001021E6" w:rsidRDefault="001021E6" w:rsidP="001021E6">
      <w:r>
        <w:t xml:space="preserve">==============Start of TP 1===================== </w:t>
      </w:r>
    </w:p>
    <w:p w14:paraId="57ED2084" w14:textId="77777777" w:rsidR="001021E6" w:rsidRDefault="001021E6" w:rsidP="001021E6">
      <w:bookmarkStart w:id="70" w:name="_Toc28873168"/>
      <w:bookmarkStart w:id="71" w:name="_Toc35593626"/>
      <w:bookmarkStart w:id="72" w:name="_Toc44669034"/>
      <w:bookmarkStart w:id="73" w:name="_Toc51607183"/>
      <w:bookmarkStart w:id="74" w:name="_Toc57990393"/>
      <w:bookmarkStart w:id="75" w:name="_Hlk26519519"/>
      <w:r>
        <w:t>4.3</w:t>
      </w:r>
      <w:r>
        <w:tab/>
        <w:t>Channel access procedures for semi-static channel occupancy</w:t>
      </w:r>
      <w:bookmarkEnd w:id="70"/>
      <w:bookmarkEnd w:id="71"/>
      <w:bookmarkEnd w:id="72"/>
      <w:bookmarkEnd w:id="73"/>
      <w:bookmarkEnd w:id="74"/>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6"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75"/>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2972"/>
        <w:gridCol w:w="6088"/>
      </w:tblGrid>
      <w:tr w:rsidR="005F49B6" w14:paraId="657506AD" w14:textId="77777777" w:rsidTr="005F49B6">
        <w:trPr>
          <w:trHeight w:val="107"/>
        </w:trPr>
        <w:tc>
          <w:tcPr>
            <w:tcW w:w="2972" w:type="dxa"/>
          </w:tcPr>
          <w:p w14:paraId="65652AF1" w14:textId="77777777" w:rsidR="005F49B6" w:rsidRDefault="005F49B6"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5F49B6" w14:paraId="54B60D0A" w14:textId="77777777" w:rsidTr="005F49B6">
        <w:tc>
          <w:tcPr>
            <w:tcW w:w="2972" w:type="dxa"/>
          </w:tcPr>
          <w:p w14:paraId="558E0685" w14:textId="77777777" w:rsidR="005F49B6" w:rsidRDefault="005F49B6" w:rsidP="005F49B6">
            <w:pPr>
              <w:spacing w:after="180"/>
              <w:rPr>
                <w:rFonts w:eastAsia="SimSun"/>
                <w:szCs w:val="20"/>
                <w:lang w:eastAsia="zh-CN"/>
              </w:rPr>
            </w:pPr>
          </w:p>
        </w:tc>
        <w:tc>
          <w:tcPr>
            <w:tcW w:w="6088" w:type="dxa"/>
          </w:tcPr>
          <w:p w14:paraId="449CF6D4" w14:textId="77777777" w:rsidR="005F49B6" w:rsidRDefault="005F49B6" w:rsidP="005F49B6">
            <w:pPr>
              <w:spacing w:after="180"/>
              <w:rPr>
                <w:rFonts w:eastAsia="SimSun"/>
                <w:szCs w:val="20"/>
                <w:lang w:eastAsia="zh-CN"/>
              </w:rPr>
            </w:pPr>
          </w:p>
        </w:tc>
      </w:tr>
      <w:tr w:rsidR="005F49B6" w14:paraId="202AEFAD" w14:textId="77777777" w:rsidTr="005F49B6">
        <w:tc>
          <w:tcPr>
            <w:tcW w:w="2972" w:type="dxa"/>
          </w:tcPr>
          <w:p w14:paraId="671F134B" w14:textId="77777777" w:rsidR="005F49B6" w:rsidRDefault="005F49B6" w:rsidP="005F49B6">
            <w:pPr>
              <w:spacing w:after="180"/>
              <w:rPr>
                <w:rFonts w:eastAsia="SimSun"/>
                <w:szCs w:val="20"/>
                <w:lang w:eastAsia="zh-CN"/>
              </w:rPr>
            </w:pPr>
          </w:p>
        </w:tc>
        <w:tc>
          <w:tcPr>
            <w:tcW w:w="6088" w:type="dxa"/>
          </w:tcPr>
          <w:p w14:paraId="2E341C35" w14:textId="77777777" w:rsidR="005F49B6" w:rsidRDefault="005F49B6" w:rsidP="005F49B6">
            <w:pPr>
              <w:spacing w:after="180"/>
              <w:rPr>
                <w:rFonts w:eastAsia="SimSun"/>
                <w:szCs w:val="20"/>
                <w:lang w:eastAsia="zh-CN"/>
              </w:rPr>
            </w:pPr>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lastRenderedPageBreak/>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617" type="#_x0000_t75" style="width:180.75pt;height:36.75pt" o:ole="">
            <v:imagedata r:id="rId108" o:title=""/>
          </v:shape>
          <o:OLEObject Type="Embed" ProgID="Equation.DSMT4" ShapeID="_x0000_i1617" DrawAspect="Content" ObjectID="_1673015393" r:id="rId109"/>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proofErr w:type="spellStart"/>
      <w:r w:rsidRPr="0040198B">
        <w:rPr>
          <w:i/>
          <w:color w:val="000000"/>
          <w:szCs w:val="20"/>
        </w:rPr>
        <w:t>i</w:t>
      </w:r>
      <w:proofErr w:type="spellEnd"/>
      <w:r w:rsidRPr="0040198B">
        <w:rPr>
          <w:color w:val="000000"/>
          <w:szCs w:val="20"/>
        </w:rPr>
        <w:t xml:space="preserve">=0 and </w:t>
      </w:r>
      <w:proofErr w:type="spellStart"/>
      <w:r w:rsidRPr="0040198B">
        <w:rPr>
          <w:i/>
          <w:color w:val="000000"/>
          <w:szCs w:val="20"/>
        </w:rPr>
        <w:t>i</w:t>
      </w:r>
      <w:proofErr w:type="spellEnd"/>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618" type="#_x0000_t75" style="width:28.5pt;height:14.25pt" o:ole="">
            <v:imagedata r:id="rId110" o:title=""/>
          </v:shape>
          <o:OLEObject Type="Embed" ProgID="Equation.3" ShapeID="_x0000_i1618" DrawAspect="Content" ObjectID="_1673015394" r:id="rId111"/>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619" type="#_x0000_t75" style="width:36.75pt;height:14.25pt" o:ole="">
            <v:imagedata r:id="rId112" o:title=""/>
          </v:shape>
          <o:OLEObject Type="Embed" ProgID="Equation.3" ShapeID="_x0000_i1619" DrawAspect="Content" ObjectID="_1673015395" r:id="rId113"/>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620" type="#_x0000_t75" style="width:57.75pt;height:21.75pt" o:ole="">
            <v:imagedata r:id="rId114" o:title=""/>
          </v:shape>
          <o:OLEObject Type="Embed" ProgID="Equation.3" ShapeID="_x0000_i1620" DrawAspect="Content" ObjectID="_1673015396" r:id="rId115"/>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621" type="#_x0000_t75" style="width:107.25pt;height:21.75pt" o:ole="">
            <v:imagedata r:id="rId116" o:title=""/>
          </v:shape>
          <o:OLEObject Type="Embed" ProgID="Equation.3" ShapeID="_x0000_i1621" DrawAspect="Content" ObjectID="_1673015397" r:id="rId117"/>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622" type="#_x0000_t75" style="width:14.25pt;height:14.25pt" o:ole="">
            <v:imagedata r:id="rId118" o:title=""/>
          </v:shape>
          <o:OLEObject Type="Embed" ProgID="Equation.3" ShapeID="_x0000_i1622" DrawAspect="Content" ObjectID="_1673015398" r:id="rId119"/>
        </w:object>
      </w:r>
      <w:r w:rsidRPr="0040198B">
        <w:rPr>
          <w:color w:val="000000"/>
          <w:szCs w:val="20"/>
        </w:rPr>
        <w:t xml:space="preserve"> is given by:</w:t>
      </w:r>
    </w:p>
    <w:p w14:paraId="6D1EB6E7" w14:textId="77777777" w:rsidR="00BB532D" w:rsidRPr="0040198B" w:rsidRDefault="00BB532D" w:rsidP="00BB532D">
      <w:pPr>
        <w:pStyle w:val="EQ"/>
      </w:pPr>
      <w:r w:rsidRPr="0040198B">
        <w:lastRenderedPageBreak/>
        <w:tab/>
      </w:r>
      <w:r w:rsidRPr="0040198B">
        <w:rPr>
          <w:position w:val="-30"/>
        </w:rPr>
        <w:object w:dxaOrig="4819" w:dyaOrig="700" w14:anchorId="3F0AD398">
          <v:shape id="_x0000_i1623" type="#_x0000_t75" style="width:245.25pt;height:36.75pt" o:ole="">
            <v:imagedata r:id="rId120" o:title=""/>
          </v:shape>
          <o:OLEObject Type="Embed" ProgID="Equation.3" ShapeID="_x0000_i1623" DrawAspect="Content" ObjectID="_1673015399" r:id="rId121"/>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624" type="#_x0000_t75" style="width:14.25pt;height:14.25pt" o:ole="">
            <v:imagedata r:id="rId122" o:title=""/>
          </v:shape>
          <o:OLEObject Type="Embed" ProgID="Equation.3" ShapeID="_x0000_i1624" DrawAspect="Content" ObjectID="_1673015400" r:id="rId123"/>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625" type="#_x0000_t75" style="width:28.5pt;height:14.25pt" o:ole="">
            <v:imagedata r:id="rId124" o:title=""/>
          </v:shape>
          <o:OLEObject Type="Embed" ProgID="Equation.3" ShapeID="_x0000_i1625" DrawAspect="Content" ObjectID="_1673015401" r:id="rId125"/>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626" type="#_x0000_t75" style="width:36.75pt;height:14.25pt" o:ole="">
            <v:imagedata r:id="rId126" o:title=""/>
          </v:shape>
          <o:OLEObject Type="Embed" ProgID="Equation.3" ShapeID="_x0000_i1626" DrawAspect="Content" ObjectID="_1673015402" r:id="rId127"/>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TableGrid"/>
        <w:tblW w:w="0" w:type="auto"/>
        <w:tblLook w:val="04A0" w:firstRow="1" w:lastRow="0" w:firstColumn="1" w:lastColumn="0" w:noHBand="0" w:noVBand="1"/>
      </w:tblPr>
      <w:tblGrid>
        <w:gridCol w:w="2972"/>
        <w:gridCol w:w="6088"/>
      </w:tblGrid>
      <w:tr w:rsidR="00BB532D" w14:paraId="2D7A2362" w14:textId="77777777" w:rsidTr="005F49B6">
        <w:tc>
          <w:tcPr>
            <w:tcW w:w="2972"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5F49B6">
        <w:tc>
          <w:tcPr>
            <w:tcW w:w="2972" w:type="dxa"/>
          </w:tcPr>
          <w:p w14:paraId="41AC3534" w14:textId="77777777" w:rsidR="00BB532D" w:rsidRDefault="00BB532D" w:rsidP="005F49B6">
            <w:pPr>
              <w:spacing w:after="180"/>
              <w:rPr>
                <w:rFonts w:eastAsia="SimSun"/>
                <w:szCs w:val="20"/>
                <w:lang w:eastAsia="zh-CN"/>
              </w:rPr>
            </w:pPr>
          </w:p>
        </w:tc>
        <w:tc>
          <w:tcPr>
            <w:tcW w:w="6088" w:type="dxa"/>
          </w:tcPr>
          <w:p w14:paraId="0681D420" w14:textId="77777777" w:rsidR="00BB532D" w:rsidRDefault="00BB532D" w:rsidP="005F49B6">
            <w:pPr>
              <w:spacing w:after="180"/>
              <w:rPr>
                <w:rFonts w:eastAsia="SimSun"/>
                <w:szCs w:val="20"/>
                <w:lang w:eastAsia="zh-CN"/>
              </w:rPr>
            </w:pPr>
          </w:p>
        </w:tc>
      </w:tr>
      <w:tr w:rsidR="00BB532D" w14:paraId="3B0965A7" w14:textId="77777777" w:rsidTr="005F49B6">
        <w:tc>
          <w:tcPr>
            <w:tcW w:w="2972" w:type="dxa"/>
          </w:tcPr>
          <w:p w14:paraId="2B4EC765" w14:textId="77777777" w:rsidR="00BB532D" w:rsidRDefault="00BB532D" w:rsidP="005F49B6">
            <w:pPr>
              <w:spacing w:after="180"/>
              <w:rPr>
                <w:rFonts w:eastAsia="SimSun"/>
                <w:szCs w:val="20"/>
                <w:lang w:eastAsia="zh-CN"/>
              </w:rPr>
            </w:pPr>
          </w:p>
        </w:tc>
        <w:tc>
          <w:tcPr>
            <w:tcW w:w="6088" w:type="dxa"/>
          </w:tcPr>
          <w:p w14:paraId="0844309B" w14:textId="77777777" w:rsidR="00BB532D" w:rsidRDefault="00BB532D" w:rsidP="005F49B6">
            <w:pPr>
              <w:spacing w:after="180"/>
              <w:rPr>
                <w:rFonts w:eastAsia="SimSun"/>
                <w:szCs w:val="20"/>
                <w:lang w:eastAsia="zh-CN"/>
              </w:rPr>
            </w:pPr>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Option1:</w:t>
      </w:r>
    </w:p>
    <w:p w14:paraId="161C23E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77" w:author="ASUSTeK" w:date="2021-01-07T17:11:00Z">
        <w:r w:rsidRPr="00BE025D">
          <w:rPr>
            <w:rFonts w:eastAsia="SimSun"/>
          </w:rPr>
          <w:t xml:space="preserve">For both Type 1 and Type 2 PUSCH transmissions with a configured grant, when K = 1 and the UE is provided with higher layer parameters </w:t>
        </w:r>
        <w:r w:rsidRPr="00BE025D">
          <w:rPr>
            <w:rFonts w:eastAsia="SimSun"/>
            <w:i/>
          </w:rPr>
          <w:t>cg-</w:t>
        </w:r>
        <w:proofErr w:type="spellStart"/>
        <w:r w:rsidRPr="00BE025D">
          <w:rPr>
            <w:rFonts w:eastAsia="SimSun"/>
            <w:i/>
          </w:rPr>
          <w:t>nrofSlots</w:t>
        </w:r>
        <w:proofErr w:type="spellEnd"/>
        <w:r w:rsidRPr="00BE025D">
          <w:rPr>
            <w:rFonts w:eastAsia="SimSun"/>
          </w:rPr>
          <w:t xml:space="preserve"> and </w:t>
        </w:r>
        <w:r w:rsidRPr="00BE025D">
          <w:rPr>
            <w:rFonts w:eastAsia="SimSun"/>
            <w:i/>
          </w:rPr>
          <w:t>cg-</w:t>
        </w:r>
        <w:proofErr w:type="spellStart"/>
        <w:r w:rsidRPr="00BE025D">
          <w:rPr>
            <w:rFonts w:eastAsia="SimSun"/>
            <w:i/>
          </w:rPr>
          <w:t>nrofPUSCH</w:t>
        </w:r>
        <w:proofErr w:type="spellEnd"/>
        <w:r w:rsidRPr="00BE025D">
          <w:rPr>
            <w:rFonts w:eastAsia="SimSun"/>
            <w:i/>
          </w:rPr>
          <w:t>-</w:t>
        </w:r>
        <w:proofErr w:type="spellStart"/>
        <w:r w:rsidRPr="00BE025D">
          <w:rPr>
            <w:rFonts w:eastAsia="SimSun"/>
            <w:i/>
          </w:rPr>
          <w:t>InSlot</w:t>
        </w:r>
        <w:proofErr w:type="spellEnd"/>
        <w:r w:rsidRPr="00BE025D">
          <w:rPr>
            <w:rFonts w:eastAsia="SimSun"/>
          </w:rPr>
          <w:t xml:space="preserve">, the UE </w:t>
        </w:r>
      </w:ins>
      <w:ins w:id="78" w:author="ASUSTeK" w:date="2021-01-07T17:15:00Z">
        <w:r>
          <w:rPr>
            <w:rFonts w:eastAsia="SimSun"/>
          </w:rPr>
          <w:t>transmit</w:t>
        </w:r>
      </w:ins>
      <w:ins w:id="79" w:author="ASUSTeK" w:date="2021-01-07T17:11:00Z">
        <w:r w:rsidRPr="00BE025D">
          <w:rPr>
            <w:rFonts w:eastAsia="SimSun"/>
          </w:rPr>
          <w:t xml:space="preserve">s the TB in the </w:t>
        </w:r>
        <w:proofErr w:type="spellStart"/>
        <w:r w:rsidRPr="00BE025D">
          <w:rPr>
            <w:rFonts w:eastAsia="SimSun"/>
            <w:i/>
          </w:rPr>
          <w:t>repK</w:t>
        </w:r>
        <w:proofErr w:type="spellEnd"/>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80" w:author="ASUSTeK" w:date="2021-01-08T10:36:00Z">
        <w:r w:rsidRPr="00063496" w:rsidDel="006821B5">
          <w:rPr>
            <w:rFonts w:eastAsia="SimSun"/>
            <w:i/>
            <w:iCs/>
          </w:rPr>
          <w:delText>&gt;</w:delText>
        </w:r>
      </w:del>
      <m:oMath>
        <m:r>
          <w:ins w:id="81"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82" w:author="ASUSTeK" w:date="2021-01-08T10:35:00Z">
        <w:r>
          <w:rPr>
            <w:rFonts w:eastAsia="SimSun"/>
          </w:rPr>
          <w:t>(</w:t>
        </w:r>
      </w:ins>
      <w:r w:rsidRPr="00063496">
        <w:rPr>
          <w:rFonts w:eastAsia="SimSun"/>
        </w:rPr>
        <w:t>s</w:t>
      </w:r>
      <w:ins w:id="83"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84" w:author="ASUSTeK" w:date="2021-01-08T10:37:00Z">
        <w:r w:rsidRPr="00063496" w:rsidDel="006821B5">
          <w:rPr>
            <w:rFonts w:eastAsia="SimSun"/>
            <w:i/>
            <w:iCs/>
          </w:rPr>
          <w:delText>&gt;</w:delText>
        </w:r>
      </w:del>
      <m:oMath>
        <m:r>
          <w:ins w:id="85"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86" w:author="ASUSTeK" w:date="2021-01-08T10:37:00Z">
        <w:r>
          <w:rPr>
            <w:rFonts w:eastAsia="SimSun"/>
          </w:rPr>
          <w:t xml:space="preserve">earliest </w:t>
        </w:r>
      </w:ins>
      <w:r w:rsidRPr="00063496">
        <w:rPr>
          <w:rFonts w:eastAsia="SimSun"/>
        </w:rPr>
        <w:t>consecutive slot</w:t>
      </w:r>
      <w:ins w:id="87" w:author="ASUSTeK" w:date="2021-01-08T10:37:00Z">
        <w:r>
          <w:rPr>
            <w:rFonts w:eastAsia="SimSun"/>
          </w:rPr>
          <w:t>(</w:t>
        </w:r>
      </w:ins>
      <w:r w:rsidRPr="00063496">
        <w:rPr>
          <w:rFonts w:eastAsia="SimSun"/>
        </w:rPr>
        <w:t>s</w:t>
      </w:r>
      <w:ins w:id="88" w:author="ASUSTeK" w:date="2021-01-08T10:37:00Z">
        <w:r>
          <w:rPr>
            <w:rFonts w:eastAsia="SimSun"/>
          </w:rPr>
          <w:t>)</w:t>
        </w:r>
      </w:ins>
      <w:r w:rsidRPr="00063496">
        <w:rPr>
          <w:rFonts w:eastAsia="SimSun"/>
        </w:rPr>
        <w:t xml:space="preserve"> applying the same symbol allocation in each slot</w:t>
      </w:r>
      <w:del w:id="89"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ListParagraph"/>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SimSun"/>
          <w:color w:val="000000"/>
        </w:rPr>
      </w:pPr>
      <w:r>
        <w:rPr>
          <w:rFonts w:eastAsia="SimSun"/>
          <w:color w:val="000000"/>
        </w:rPr>
        <w:t>Option 1</w:t>
      </w:r>
    </w:p>
    <w:p w14:paraId="67390E09" w14:textId="208453F7" w:rsidR="00B91941" w:rsidRDefault="00B91941" w:rsidP="00B91941">
      <w:pPr>
        <w:pStyle w:val="ListParagraph"/>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ListParagraph"/>
        <w:numPr>
          <w:ilvl w:val="0"/>
          <w:numId w:val="20"/>
        </w:numPr>
        <w:spacing w:after="180"/>
        <w:rPr>
          <w:rFonts w:eastAsia="SimSun"/>
          <w:color w:val="000000"/>
        </w:rPr>
      </w:pPr>
      <w:r>
        <w:rPr>
          <w:rFonts w:eastAsia="SimSun"/>
          <w:color w:val="000000"/>
        </w:rPr>
        <w:t>Option 3</w:t>
      </w:r>
    </w:p>
    <w:tbl>
      <w:tblPr>
        <w:tblStyle w:val="TableGrid"/>
        <w:tblW w:w="0" w:type="auto"/>
        <w:tblLook w:val="04A0" w:firstRow="1" w:lastRow="0" w:firstColumn="1" w:lastColumn="0" w:noHBand="0" w:noVBand="1"/>
      </w:tblPr>
      <w:tblGrid>
        <w:gridCol w:w="2972"/>
        <w:gridCol w:w="6088"/>
      </w:tblGrid>
      <w:tr w:rsidR="00BB532D" w14:paraId="2E8680CD" w14:textId="77777777" w:rsidTr="005F49B6">
        <w:tc>
          <w:tcPr>
            <w:tcW w:w="2972"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532B78AD" w14:textId="77777777" w:rsidTr="005F49B6">
        <w:tc>
          <w:tcPr>
            <w:tcW w:w="2972" w:type="dxa"/>
          </w:tcPr>
          <w:p w14:paraId="79081645" w14:textId="77777777" w:rsidR="00BB532D" w:rsidRDefault="00BB532D" w:rsidP="005F49B6">
            <w:pPr>
              <w:spacing w:after="180"/>
              <w:rPr>
                <w:rFonts w:eastAsia="SimSun"/>
                <w:szCs w:val="20"/>
                <w:lang w:eastAsia="zh-CN"/>
              </w:rPr>
            </w:pPr>
          </w:p>
        </w:tc>
        <w:tc>
          <w:tcPr>
            <w:tcW w:w="6088" w:type="dxa"/>
          </w:tcPr>
          <w:p w14:paraId="464B55E8" w14:textId="77777777" w:rsidR="00BB532D" w:rsidRDefault="00BB532D" w:rsidP="005F49B6">
            <w:pPr>
              <w:spacing w:after="180"/>
              <w:rPr>
                <w:rFonts w:eastAsia="SimSun"/>
                <w:szCs w:val="20"/>
                <w:lang w:eastAsia="zh-CN"/>
              </w:rPr>
            </w:pPr>
          </w:p>
        </w:tc>
      </w:tr>
      <w:tr w:rsidR="00BB532D" w14:paraId="1040FDC5" w14:textId="77777777" w:rsidTr="005F49B6">
        <w:tc>
          <w:tcPr>
            <w:tcW w:w="2972" w:type="dxa"/>
          </w:tcPr>
          <w:p w14:paraId="45C1650E" w14:textId="77777777" w:rsidR="00BB532D" w:rsidRDefault="00BB532D" w:rsidP="005F49B6">
            <w:pPr>
              <w:spacing w:after="180"/>
              <w:rPr>
                <w:rFonts w:eastAsia="SimSun"/>
                <w:szCs w:val="20"/>
                <w:lang w:eastAsia="zh-CN"/>
              </w:rPr>
            </w:pPr>
          </w:p>
        </w:tc>
        <w:tc>
          <w:tcPr>
            <w:tcW w:w="6088" w:type="dxa"/>
          </w:tcPr>
          <w:p w14:paraId="274EAC9E" w14:textId="77777777" w:rsidR="00BB532D" w:rsidRDefault="00BB532D" w:rsidP="005F49B6">
            <w:pPr>
              <w:spacing w:after="180"/>
              <w:rPr>
                <w:rFonts w:eastAsia="SimSun"/>
                <w:szCs w:val="20"/>
                <w:lang w:eastAsia="zh-CN"/>
              </w:rPr>
            </w:pP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headerReference w:type="even" r:id="rId128"/>
      <w:headerReference w:type="default" r:id="rId129"/>
      <w:footerReference w:type="even" r:id="rId130"/>
      <w:footerReference w:type="default" r:id="rId131"/>
      <w:headerReference w:type="first" r:id="rId132"/>
      <w:footerReference w:type="first" r:id="rId13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99426" w14:textId="77777777" w:rsidR="00A95F1E" w:rsidRDefault="00A95F1E" w:rsidP="00C418D9">
      <w:r>
        <w:separator/>
      </w:r>
    </w:p>
    <w:p w14:paraId="2B25630D" w14:textId="77777777" w:rsidR="00A95F1E" w:rsidRDefault="00A95F1E"/>
    <w:p w14:paraId="5455BD1E" w14:textId="77777777" w:rsidR="00A95F1E" w:rsidRDefault="00A95F1E" w:rsidP="00A73185"/>
  </w:endnote>
  <w:endnote w:type="continuationSeparator" w:id="0">
    <w:p w14:paraId="0B54D658" w14:textId="77777777" w:rsidR="00A95F1E" w:rsidRDefault="00A95F1E" w:rsidP="00C418D9">
      <w:r>
        <w:continuationSeparator/>
      </w:r>
    </w:p>
    <w:p w14:paraId="50AF9C0D" w14:textId="77777777" w:rsidR="00A95F1E" w:rsidRDefault="00A95F1E"/>
    <w:p w14:paraId="7C026D65" w14:textId="77777777" w:rsidR="00A95F1E" w:rsidRDefault="00A95F1E" w:rsidP="00A73185"/>
  </w:endnote>
  <w:endnote w:type="continuationNotice" w:id="1">
    <w:p w14:paraId="1B3BE44E" w14:textId="77777777" w:rsidR="00A95F1E" w:rsidRDefault="00A95F1E" w:rsidP="00C418D9"/>
    <w:p w14:paraId="63B24812" w14:textId="77777777" w:rsidR="00A95F1E" w:rsidRDefault="00A95F1E"/>
    <w:p w14:paraId="4983BC2C" w14:textId="77777777" w:rsidR="00A95F1E" w:rsidRDefault="00A95F1E"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F49B6" w:rsidRDefault="005F49B6"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F49B6" w:rsidRDefault="005F49B6" w:rsidP="00C418D9">
    <w:pPr>
      <w:pStyle w:val="Footer"/>
    </w:pPr>
  </w:p>
  <w:p w14:paraId="7265A418" w14:textId="77777777" w:rsidR="005F49B6" w:rsidRDefault="005F49B6"/>
  <w:p w14:paraId="48825022" w14:textId="77777777" w:rsidR="005F49B6" w:rsidRDefault="005F49B6"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5F49B6" w:rsidRDefault="005F49B6"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5F49B6" w:rsidRDefault="005F49B6" w:rsidP="00C418D9">
    <w:pPr>
      <w:pStyle w:val="Footer"/>
    </w:pPr>
  </w:p>
  <w:p w14:paraId="062CBF9A" w14:textId="77777777" w:rsidR="005F49B6" w:rsidRDefault="005F49B6"/>
  <w:p w14:paraId="1543B3B4" w14:textId="77777777" w:rsidR="005F49B6" w:rsidRDefault="005F49B6"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5F49B6" w:rsidRDefault="005F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B9588" w14:textId="77777777" w:rsidR="00A95F1E" w:rsidRDefault="00A95F1E" w:rsidP="00C418D9">
      <w:r>
        <w:separator/>
      </w:r>
    </w:p>
    <w:p w14:paraId="4F745F64" w14:textId="77777777" w:rsidR="00A95F1E" w:rsidRDefault="00A95F1E"/>
    <w:p w14:paraId="3E7C6921" w14:textId="77777777" w:rsidR="00A95F1E" w:rsidRDefault="00A95F1E" w:rsidP="00A73185"/>
  </w:footnote>
  <w:footnote w:type="continuationSeparator" w:id="0">
    <w:p w14:paraId="51F66959" w14:textId="77777777" w:rsidR="00A95F1E" w:rsidRDefault="00A95F1E" w:rsidP="00C418D9">
      <w:r>
        <w:continuationSeparator/>
      </w:r>
    </w:p>
    <w:p w14:paraId="75344CA0" w14:textId="77777777" w:rsidR="00A95F1E" w:rsidRDefault="00A95F1E"/>
    <w:p w14:paraId="726C9966" w14:textId="77777777" w:rsidR="00A95F1E" w:rsidRDefault="00A95F1E" w:rsidP="00A73185"/>
  </w:footnote>
  <w:footnote w:type="continuationNotice" w:id="1">
    <w:p w14:paraId="4E058E6B" w14:textId="77777777" w:rsidR="00A95F1E" w:rsidRDefault="00A95F1E" w:rsidP="00C418D9"/>
    <w:p w14:paraId="4635836D" w14:textId="77777777" w:rsidR="00A95F1E" w:rsidRDefault="00A95F1E"/>
    <w:p w14:paraId="0DFFBD4C" w14:textId="77777777" w:rsidR="00A95F1E" w:rsidRDefault="00A95F1E"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5F49B6" w:rsidRDefault="005F4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5F49B6" w:rsidRDefault="005F4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5F49B6" w:rsidRDefault="005F4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lvlOverride w:ilvl="2"/>
    <w:lvlOverride w:ilvl="3"/>
    <w:lvlOverride w:ilvl="4"/>
    <w:lvlOverride w:ilvl="5"/>
    <w:lvlOverride w:ilvl="6"/>
    <w:lvlOverride w:ilvl="7"/>
    <w:lvlOverride w:ilvl="8"/>
  </w:num>
  <w:num w:numId="24">
    <w:abstractNumId w:val="22"/>
    <w:lvlOverride w:ilvl="0"/>
    <w:lvlOverride w:ilvl="1"/>
    <w:lvlOverride w:ilvl="2"/>
    <w:lvlOverride w:ilvl="3"/>
    <w:lvlOverride w:ilvl="4"/>
    <w:lvlOverride w:ilvl="5"/>
    <w:lvlOverride w:ilvl="6"/>
    <w:lvlOverride w:ilvl="7"/>
    <w:lvlOverride w:ilvl="8"/>
  </w:num>
  <w:num w:numId="25">
    <w:abstractNumId w:val="23"/>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numPr>
        <w:numId w:val="26"/>
      </w:numPr>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6.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openxmlformats.org/officeDocument/2006/relationships/footer" Target="footer3.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9.bin"/><Relationship Id="rId128"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4.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8.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w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3.bin"/><Relationship Id="rId13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7.bin"/><Relationship Id="rId127" Type="http://schemas.openxmlformats.org/officeDocument/2006/relationships/oleObject" Target="embeddings/oleObject81.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footer" Target="footer1.xml"/><Relationship Id="rId13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oleObject" Target="embeddings/oleObject72.bin"/><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80.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5.bin"/><Relationship Id="rId131" Type="http://schemas.openxmlformats.org/officeDocument/2006/relationships/footer" Target="footer2.xml"/><Relationship Id="rId136" Type="http://schemas.openxmlformats.org/officeDocument/2006/relationships/theme" Target="theme/theme1.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9E432B46-9BB4-425C-912E-11326C00ABBC}">
  <ds:schemaRefs>
    <ds:schemaRef ds:uri="http://schemas.openxmlformats.org/officeDocument/2006/bibliography"/>
  </ds:schemaRefs>
</ds:datastoreItem>
</file>

<file path=customXml/itemProps6.xml><?xml version="1.0" encoding="utf-8"?>
<ds:datastoreItem xmlns:ds="http://schemas.openxmlformats.org/officeDocument/2006/customXml" ds:itemID="{FBEEBA15-164B-4F35-B01E-D6DF5E14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26265</TotalTime>
  <Pages>14</Pages>
  <Words>6516</Words>
  <Characters>37143</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2805</cp:revision>
  <cp:lastPrinted>2019-01-10T09:30:00Z</cp:lastPrinted>
  <dcterms:created xsi:type="dcterms:W3CDTF">2018-09-23T23:23:00Z</dcterms:created>
  <dcterms:modified xsi:type="dcterms:W3CDTF">2021-01-25T01:24:00Z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