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7.2.2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Email discussion/approval [104-e-NR-NRU-05] on reply LS to R1-2100008</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rPr>
          <w:lang w:val="en-GB" w:eastAsia="zh-CN"/>
        </w:rPr>
      </w:pPr>
    </w:p>
    <w:p>
      <w:pPr>
        <w:pStyle w:val="2"/>
        <w:numPr>
          <w:ilvl w:val="0"/>
          <w:numId w:val="0"/>
        </w:numPr>
        <w:ind w:left="709" w:hanging="709"/>
      </w:pPr>
    </w:p>
    <w:p>
      <w:pPr>
        <w:rPr>
          <w:lang w:val="en-GB" w:eastAsia="zh-CN"/>
        </w:rPr>
      </w:pPr>
      <w:r>
        <w:rPr>
          <w:lang w:val="en-GB" w:eastAsia="zh-CN"/>
        </w:rPr>
        <w:t>This document summarises the discussion on the following topics:</w:t>
      </w:r>
    </w:p>
    <w:p>
      <w:r>
        <w:rPr>
          <w:highlight w:val="cyan"/>
        </w:rPr>
        <w:t xml:space="preserve">[104-e-NR-NRU-05] Email discussion/approval of the reply LS to R1-2100008 </w:t>
      </w:r>
      <w:r>
        <w:rPr>
          <w:b/>
          <w:bCs/>
          <w:highlight w:val="cyan"/>
        </w:rPr>
        <w:t>until Jan-29</w:t>
      </w:r>
      <w:r>
        <w:rPr>
          <w:highlight w:val="cyan"/>
        </w:rPr>
        <w:t xml:space="preserve"> – Alex (Lenovo)</w:t>
      </w:r>
    </w:p>
    <w:p>
      <w:pPr>
        <w:rPr>
          <w:rFonts w:ascii="Times" w:hAnsi="Times" w:cs="Times"/>
          <w:sz w:val="20"/>
          <w:szCs w:val="20"/>
          <w:lang w:eastAsia="ja-JP"/>
        </w:rPr>
      </w:pPr>
      <w:r>
        <w:t>First, the corresponding behaviour should be clarified within RAN1. The detailed reply LS will be discussed as a second step.</w:t>
      </w:r>
    </w:p>
    <w:p>
      <w:pPr>
        <w:pStyle w:val="2"/>
      </w:pPr>
      <w:r>
        <w:t>Incoming LS from RAN4 (R1-2100008)</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pPr>
              <w:widowControl w:val="0"/>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pPr>
              <w:widowControl w:val="0"/>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pPr>
              <w:widowControl w:val="0"/>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pPr>
              <w:widowControl w:val="0"/>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pPr>
              <w:widowControl w:val="0"/>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pPr>
              <w:widowControl w:val="0"/>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pPr>
              <w:widowControl w:val="0"/>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pPr>
              <w:widowControl w:val="0"/>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pPr>
              <w:widowControl w:val="0"/>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pPr>
              <w:widowControl w:val="0"/>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pPr>
              <w:widowControl w:val="0"/>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pPr>
              <w:widowControl w:val="0"/>
              <w:spacing w:before="240"/>
              <w:rPr>
                <w:rFonts w:ascii="Arial" w:hAnsi="Arial" w:cs="Arial"/>
                <w:b/>
              </w:rPr>
            </w:pPr>
            <w:r>
              <w:rPr>
                <w:rFonts w:ascii="Arial" w:hAnsi="Arial" w:cs="Arial"/>
                <w:b/>
              </w:rPr>
              <w:t>2. Actions:</w:t>
            </w:r>
          </w:p>
          <w:p>
            <w:pPr>
              <w:widowControl w:val="0"/>
              <w:ind w:left="1985" w:hanging="1985"/>
              <w:rPr>
                <w:rFonts w:ascii="Arial" w:hAnsi="Arial" w:cs="Arial"/>
                <w:b/>
                <w:color w:val="000000"/>
              </w:rPr>
            </w:pPr>
            <w:r>
              <w:rPr>
                <w:rFonts w:ascii="Arial" w:hAnsi="Arial" w:cs="Arial"/>
                <w:b/>
                <w:color w:val="000000"/>
              </w:rPr>
              <w:t>To RAN1 group:</w:t>
            </w:r>
          </w:p>
          <w:p>
            <w:pPr>
              <w:widowControl w:val="0"/>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pPr>
              <w:widowControl w:val="0"/>
              <w:rPr>
                <w:lang w:eastAsia="zh-CN"/>
              </w:rPr>
            </w:pPr>
          </w:p>
        </w:tc>
      </w:tr>
    </w:tbl>
    <w:p>
      <w:pPr>
        <w:rPr>
          <w:lang w:eastAsia="zh-CN"/>
        </w:rPr>
      </w:pPr>
    </w:p>
    <w:p>
      <w:pPr>
        <w:pStyle w:val="2"/>
      </w:pPr>
      <w:r>
        <w:t>Discussion for cases identified by RAN4</w:t>
      </w:r>
    </w:p>
    <w:p>
      <w:pPr>
        <w:pStyle w:val="3"/>
      </w:pPr>
      <w:r>
        <w:t>Case (1)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pPr>
              <w:widowControl w:val="0"/>
              <w:rPr>
                <w:lang w:eastAsia="zh-CN"/>
              </w:rPr>
            </w:pPr>
            <w:r>
              <w:rPr>
                <w:rFonts w:ascii="Arial" w:hAnsi="Arial" w:cs="Arial"/>
                <w:color w:val="000000"/>
              </w:rPr>
              <w:t>a.      What is the expected UE behavior for this P/SP CSI-RS measurement and report on the being-activated SCell?</w:t>
            </w:r>
          </w:p>
        </w:tc>
      </w:tr>
    </w:tbl>
    <w:p>
      <w:pPr>
        <w:rPr>
          <w:lang w:val="en-GB" w:eastAsia="zh-CN"/>
        </w:rPr>
      </w:pPr>
    </w:p>
    <w:p>
      <w:pPr>
        <w:rPr>
          <w:lang w:val="en-GB" w:eastAsia="zh-CN"/>
        </w:rPr>
      </w:pPr>
      <w:r>
        <w:rPr>
          <w:lang w:val="en-GB" w:eastAsia="zh-CN"/>
        </w:rPr>
        <w:t>Ericsson (R1-2001305):</w:t>
      </w:r>
    </w:p>
    <w:p>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pPr>
        <w:rPr>
          <w:lang w:val="en-GB" w:eastAsia="zh-CN"/>
        </w:rPr>
      </w:pPr>
      <w:r>
        <w:rPr>
          <w:lang w:val="en-GB" w:eastAsia="zh-CN"/>
        </w:rPr>
        <w:t>LG (R1-2100888):</w:t>
      </w:r>
    </w:p>
    <w:p>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pPr>
        <w:rPr>
          <w:lang w:val="en-GB" w:eastAsia="zh-CN"/>
        </w:rPr>
      </w:pPr>
      <w:bookmarkStart w:id="1" w:name="_Hlk62478769"/>
      <w:bookmarkStart w:id="2" w:name="_Hlk62478438"/>
      <w:r>
        <w:rPr>
          <w:lang w:val="en-GB" w:eastAsia="zh-CN"/>
        </w:rPr>
        <w:t>vivo (R1-2101156):</w:t>
      </w:r>
    </w:p>
    <w:p>
      <w:pPr>
        <w:ind w:left="425"/>
        <w:rPr>
          <w:lang w:eastAsia="zh-CN"/>
        </w:rPr>
      </w:pPr>
      <w:r>
        <w:rPr>
          <w:lang w:eastAsia="zh-CN"/>
        </w:rPr>
        <w:t>UE will proceed with the P/SP CSI-RS measurement and report on the being-activated SCell.</w:t>
      </w:r>
    </w:p>
    <w:bookmarkEnd w:id="1"/>
    <w:p>
      <w:pPr>
        <w:rPr>
          <w:lang w:val="en-GB" w:eastAsia="zh-CN"/>
        </w:rPr>
      </w:pPr>
      <w:r>
        <w:rPr>
          <w:lang w:val="en-GB" w:eastAsia="zh-CN"/>
        </w:rPr>
        <w:t>Samsung (R1-2101164):</w:t>
      </w:r>
    </w:p>
    <w:p>
      <w:pPr>
        <w:ind w:left="425"/>
        <w:rPr>
          <w:lang w:eastAsia="zh-CN"/>
        </w:rPr>
      </w:pPr>
      <w:r>
        <w:rPr>
          <w:rFonts w:hint="eastAsia"/>
          <w:lang w:eastAsia="zh-CN"/>
        </w:rPr>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pPr>
        <w:rPr>
          <w:lang w:val="en-GB" w:eastAsia="zh-CN"/>
        </w:rPr>
      </w:pPr>
      <w:r>
        <w:rPr>
          <w:lang w:val="en-GB" w:eastAsia="zh-CN"/>
        </w:rPr>
        <w:t>Nokia (R1-2101287):</w:t>
      </w:r>
    </w:p>
    <w:p>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pPr>
        <w:rPr>
          <w:lang w:val="en-GB" w:eastAsia="zh-CN"/>
        </w:rPr>
      </w:pPr>
      <w:r>
        <w:rPr>
          <w:lang w:val="en-GB" w:eastAsia="zh-CN"/>
        </w:rPr>
        <w:t>Apple (R1-2101336):</w:t>
      </w:r>
    </w:p>
    <w:p>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pPr>
        <w:rPr>
          <w:lang w:val="en-GB" w:eastAsia="zh-CN"/>
        </w:rPr>
      </w:pPr>
      <w:r>
        <w:rPr>
          <w:lang w:val="en-GB" w:eastAsia="zh-CN"/>
        </w:rPr>
        <w:t>Huawei (R1-2101747):</w:t>
      </w:r>
    </w:p>
    <w:p>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pPr>
        <w:rPr>
          <w:lang w:eastAsia="zh-CN"/>
        </w:rPr>
      </w:pPr>
    </w:p>
    <w:p>
      <w:pPr>
        <w:rPr>
          <w:b/>
          <w:bCs/>
          <w:highlight w:val="yellow"/>
          <w:lang w:val="en-GB" w:eastAsia="zh-CN"/>
        </w:rPr>
      </w:pPr>
      <w:r>
        <w:rPr>
          <w:b/>
          <w:bCs/>
          <w:highlight w:val="yellow"/>
          <w:lang w:val="en-GB" w:eastAsia="zh-CN"/>
        </w:rPr>
        <w:t>Q1: Can we agree on the following for Case (1)?</w:t>
      </w:r>
    </w:p>
    <w:p>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8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805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widowControl w:val="0"/>
              <w:spacing w:after="0"/>
              <w:rPr>
                <w:rFonts w:eastAsia="宋体"/>
                <w:szCs w:val="20"/>
                <w:lang w:eastAsia="zh-CN"/>
              </w:rPr>
            </w:pPr>
            <w:r>
              <w:rPr>
                <w:rFonts w:eastAsia="宋体"/>
                <w:szCs w:val="20"/>
                <w:lang w:eastAsia="zh-CN"/>
              </w:rPr>
              <w:t>Apple</w:t>
            </w:r>
          </w:p>
        </w:tc>
        <w:tc>
          <w:tcPr>
            <w:tcW w:w="8055" w:type="dxa"/>
            <w:vAlign w:val="center"/>
          </w:tcPr>
          <w:p>
            <w:pPr>
              <w:widowControl w:val="0"/>
              <w:spacing w:after="0"/>
              <w:rPr>
                <w:rFonts w:eastAsia="宋体"/>
                <w:szCs w:val="20"/>
                <w:lang w:eastAsia="zh-CN"/>
              </w:rPr>
            </w:pPr>
            <w:r>
              <w:rPr>
                <w:rFonts w:eastAsia="宋体"/>
                <w:szCs w:val="20"/>
                <w:lang w:eastAsia="zh-CN"/>
              </w:rPr>
              <w:t>As pointed out in our paper [R1-2101336], Rel-15/16 UE is not required to monitor DCI ‘</w:t>
            </w:r>
            <w:r>
              <w:rPr>
                <w:rFonts w:eastAsia="宋体"/>
                <w:b/>
                <w:bCs/>
                <w:szCs w:val="20"/>
                <w:lang w:eastAsia="zh-CN"/>
              </w:rPr>
              <w:t>for’</w:t>
            </w:r>
            <w:r>
              <w:rPr>
                <w:rFonts w:eastAsia="宋体"/>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pPr>
              <w:widowControl w:val="0"/>
              <w:spacing w:after="0"/>
              <w:rPr>
                <w:rFonts w:eastAsia="宋体"/>
                <w:szCs w:val="20"/>
                <w:lang w:eastAsia="zh-CN"/>
              </w:rPr>
            </w:pPr>
          </w:p>
          <w:p>
            <w:pPr>
              <w:widowControl w:val="0"/>
              <w:spacing w:after="0"/>
              <w:rPr>
                <w:rFonts w:eastAsia="宋体"/>
                <w:szCs w:val="20"/>
                <w:lang w:eastAsia="zh-CN"/>
              </w:rPr>
            </w:pPr>
            <w:r>
              <w:rPr>
                <w:rFonts w:eastAsia="宋体"/>
                <w:szCs w:val="20"/>
                <w:lang w:eastAsia="zh-CN"/>
              </w:rPr>
              <w:t xml:space="preserve">Assuming the Rel-15/16 specification is maintained, and UE does not require to monitor DCI ‘for’ the SCell being activated, we suggest to rephase the proposal as follows: </w:t>
            </w:r>
          </w:p>
          <w:p>
            <w:pPr>
              <w:widowControl w:val="0"/>
              <w:spacing w:after="0"/>
              <w:rPr>
                <w:highlight w:val="yellow"/>
                <w:lang w:val="en-GB" w:eastAsia="ja-JP"/>
              </w:rPr>
            </w:pPr>
          </w:p>
          <w:p>
            <w:pPr>
              <w:widowControl w:val="0"/>
              <w:spacing w:after="0"/>
              <w:rPr>
                <w:rFonts w:eastAsia="宋体"/>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widowControl w:val="0"/>
              <w:spacing w:after="0"/>
              <w:rPr>
                <w:rFonts w:eastAsia="宋体"/>
                <w:szCs w:val="20"/>
                <w:lang w:eastAsia="zh-CN"/>
              </w:rPr>
            </w:pPr>
            <w:r>
              <w:rPr>
                <w:rFonts w:eastAsia="宋体"/>
                <w:szCs w:val="20"/>
                <w:lang w:eastAsia="zh-CN"/>
              </w:rPr>
              <w:t>Ericsson</w:t>
            </w:r>
          </w:p>
        </w:tc>
        <w:tc>
          <w:tcPr>
            <w:tcW w:w="8055" w:type="dxa"/>
            <w:vAlign w:val="center"/>
          </w:tcPr>
          <w:p>
            <w:pPr>
              <w:widowControl w:val="0"/>
              <w:spacing w:after="0"/>
              <w:rPr>
                <w:rFonts w:eastAsia="宋体"/>
                <w:szCs w:val="20"/>
                <w:lang w:eastAsia="zh-CN"/>
              </w:rPr>
            </w:pPr>
            <w:r>
              <w:rPr>
                <w:rFonts w:eastAsia="宋体"/>
                <w:szCs w:val="20"/>
                <w:lang w:eastAsia="zh-CN"/>
              </w:rPr>
              <w:t xml:space="preserve">Our view is that the answer to Q1 is "Yes," and </w:t>
            </w:r>
            <w:r>
              <w:rPr>
                <w:rFonts w:eastAsia="宋体"/>
                <w:szCs w:val="20"/>
                <w:u w:val="single"/>
                <w:lang w:eastAsia="zh-CN"/>
              </w:rPr>
              <w:t>no change to 38.213</w:t>
            </w:r>
            <w:r>
              <w:rPr>
                <w:rFonts w:eastAsia="宋体"/>
                <w:szCs w:val="20"/>
                <w:lang w:eastAsia="zh-CN"/>
              </w:rPr>
              <w:t xml:space="preserve"> is needed.</w:t>
            </w:r>
          </w:p>
          <w:p>
            <w:pPr>
              <w:widowControl w:val="0"/>
              <w:spacing w:after="0"/>
              <w:rPr>
                <w:rFonts w:eastAsia="宋体"/>
                <w:szCs w:val="20"/>
                <w:lang w:eastAsia="zh-CN"/>
              </w:rPr>
            </w:pPr>
          </w:p>
          <w:p>
            <w:pPr>
              <w:widowControl w:val="0"/>
              <w:spacing w:after="0"/>
              <w:rPr>
                <w:rFonts w:eastAsia="宋体"/>
                <w:szCs w:val="20"/>
                <w:lang w:eastAsia="zh-CN"/>
              </w:rPr>
            </w:pPr>
            <w:r>
              <w:rPr>
                <w:rFonts w:eastAsia="宋体"/>
                <w:szCs w:val="20"/>
                <w:lang w:eastAsia="zh-CN"/>
              </w:rPr>
              <w:t xml:space="preserve">There is no reason to modify the existing specification text in 38.213 Section 11.1, as there is no contradiction for the SCell activation case. According to currently specified behavior, the UE is expected to receive the p/sp-CSI-RS if it does not receive a DCI scheduling/triggering an UL signal/channel. Clearly, if the UE is not monitoring for the DCI, then it will </w:t>
            </w:r>
            <w:r>
              <w:rPr>
                <w:rFonts w:eastAsia="宋体"/>
                <w:szCs w:val="20"/>
                <w:u w:val="single"/>
                <w:lang w:eastAsia="zh-CN"/>
              </w:rPr>
              <w:t>not</w:t>
            </w:r>
            <w:r>
              <w:rPr>
                <w:rFonts w:eastAsia="宋体"/>
                <w:szCs w:val="20"/>
                <w:lang w:eastAsia="zh-CN"/>
              </w:rPr>
              <w:t xml:space="preserve"> detect it and thus will </w:t>
            </w:r>
            <w:r>
              <w:rPr>
                <w:rFonts w:eastAsia="宋体"/>
                <w:szCs w:val="20"/>
                <w:u w:val="single"/>
                <w:lang w:eastAsia="zh-CN"/>
              </w:rPr>
              <w:t>not</w:t>
            </w:r>
            <w:r>
              <w:rPr>
                <w:rFonts w:eastAsia="宋体"/>
                <w:szCs w:val="20"/>
                <w:lang w:eastAsia="zh-CN"/>
              </w:rPr>
              <w:t xml:space="preserve"> cancel the p/sp-CSI-RS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widowControl w:val="0"/>
              <w:spacing w:after="0"/>
              <w:rPr>
                <w:rFonts w:eastAsia="Malgun Gothic"/>
                <w:szCs w:val="20"/>
                <w:lang w:eastAsia="ko-KR"/>
              </w:rPr>
            </w:pPr>
            <w:r>
              <w:rPr>
                <w:rFonts w:hint="eastAsia" w:eastAsia="Malgun Gothic"/>
                <w:szCs w:val="20"/>
                <w:lang w:eastAsia="ko-KR"/>
              </w:rPr>
              <w:t>LG Electronics</w:t>
            </w:r>
          </w:p>
        </w:tc>
        <w:tc>
          <w:tcPr>
            <w:tcW w:w="8055" w:type="dxa"/>
            <w:vAlign w:val="center"/>
          </w:tcPr>
          <w:p>
            <w:pPr>
              <w:widowControl w:val="0"/>
              <w:spacing w:after="0"/>
              <w:rPr>
                <w:rFonts w:eastAsia="Malgun Gothic"/>
                <w:szCs w:val="20"/>
                <w:lang w:eastAsia="ko-KR"/>
              </w:rPr>
            </w:pPr>
            <w:r>
              <w:rPr>
                <w:rFonts w:hint="eastAsia" w:eastAsia="Malgun Gothic"/>
                <w:szCs w:val="20"/>
                <w:lang w:eastAsia="ko-KR"/>
              </w:rPr>
              <w:t>Agree with Apple</w:t>
            </w:r>
            <w:r>
              <w:rPr>
                <w:rFonts w:eastAsia="Malgun Gothic"/>
                <w:szCs w:val="20"/>
                <w:lang w:eastAsia="ko-KR"/>
              </w:rPr>
              <w:t>’s modification</w:t>
            </w:r>
            <w:r>
              <w:rPr>
                <w:rFonts w:hint="eastAsia" w:eastAsia="Malgun Gothic"/>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vAlign w:val="center"/>
          </w:tcPr>
          <w:p>
            <w:pPr>
              <w:widowControl w:val="0"/>
              <w:spacing w:after="0"/>
              <w:rPr>
                <w:rFonts w:hint="eastAsia" w:eastAsia="Malgun Gothic"/>
                <w:szCs w:val="20"/>
                <w:lang w:eastAsia="ko-KR"/>
              </w:rPr>
            </w:pPr>
            <w:r>
              <w:rPr>
                <w:rFonts w:eastAsia="Malgun Gothic"/>
                <w:szCs w:val="20"/>
                <w:lang w:eastAsia="ko-KR"/>
              </w:rPr>
              <w:t>Qualcomm</w:t>
            </w:r>
          </w:p>
        </w:tc>
        <w:tc>
          <w:tcPr>
            <w:tcW w:w="8055" w:type="dxa"/>
            <w:vAlign w:val="center"/>
          </w:tcPr>
          <w:p>
            <w:pPr>
              <w:widowControl w:val="0"/>
              <w:spacing w:after="0"/>
              <w:rPr>
                <w:rFonts w:hint="eastAsia" w:eastAsia="Malgun Gothic"/>
                <w:szCs w:val="20"/>
                <w:lang w:eastAsia="ko-KR"/>
              </w:rPr>
            </w:pPr>
            <w:r>
              <w:rPr>
                <w:rFonts w:eastAsia="Malgun Gothic"/>
                <w:szCs w:val="20"/>
                <w:lang w:eastAsia="ko-KR"/>
              </w:rPr>
              <w:t>Agree with Apple’s modification. UE will receive p/sp-CSI-RS as is and gNB is responsible to make sure the p/sp-CSI-RS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widowControl w:val="0"/>
              <w:spacing w:after="0"/>
              <w:rPr>
                <w:rFonts w:hint="default" w:eastAsia="宋体"/>
                <w:szCs w:val="20"/>
                <w:lang w:val="en-US" w:eastAsia="zh-CN"/>
              </w:rPr>
            </w:pPr>
            <w:r>
              <w:rPr>
                <w:rFonts w:hint="eastAsia" w:eastAsia="宋体"/>
                <w:szCs w:val="20"/>
                <w:lang w:val="en-US" w:eastAsia="zh-CN"/>
              </w:rPr>
              <w:t>ZTE, Sanechips</w:t>
            </w:r>
          </w:p>
        </w:tc>
        <w:tc>
          <w:tcPr>
            <w:tcW w:w="8055" w:type="dxa"/>
            <w:vAlign w:val="center"/>
          </w:tcPr>
          <w:p>
            <w:pPr>
              <w:widowControl w:val="0"/>
              <w:spacing w:after="0"/>
              <w:rPr>
                <w:rFonts w:hint="default" w:eastAsia="宋体"/>
                <w:szCs w:val="20"/>
                <w:lang w:val="en-US" w:eastAsia="zh-CN"/>
              </w:rPr>
            </w:pPr>
            <w:r>
              <w:rPr>
                <w:rFonts w:hint="eastAsia" w:eastAsia="宋体"/>
                <w:szCs w:val="20"/>
                <w:lang w:val="en-US" w:eastAsia="zh-CN"/>
              </w:rPr>
              <w:t>Agree with Apple</w:t>
            </w:r>
            <w:r>
              <w:rPr>
                <w:rFonts w:hint="default" w:eastAsia="宋体"/>
                <w:szCs w:val="20"/>
                <w:lang w:val="en-US" w:eastAsia="zh-CN"/>
              </w:rPr>
              <w:t>’</w:t>
            </w:r>
            <w:r>
              <w:rPr>
                <w:rFonts w:hint="eastAsia" w:eastAsia="宋体"/>
                <w:szCs w:val="20"/>
                <w:lang w:val="en-US" w:eastAsia="zh-CN"/>
              </w:rPr>
              <w:t>s modification. During the SCell activation, we think that UE does not require to monitor DCI, so it just needs to follow same rule as specified in Rel-15, that is, the UE is expected to receive the p/sp-CSI-RS.</w:t>
            </w:r>
          </w:p>
        </w:tc>
      </w:tr>
    </w:tbl>
    <w:p>
      <w:pPr>
        <w:rPr>
          <w:lang w:val="en-GB" w:eastAsia="zh-CN"/>
        </w:rPr>
      </w:pPr>
    </w:p>
    <w:p>
      <w:pPr>
        <w:pStyle w:val="3"/>
      </w:pPr>
      <w:r>
        <w:t>Case (2)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pPr>
              <w:widowControl w:val="0"/>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pPr>
              <w:widowControl w:val="0"/>
              <w:rPr>
                <w:lang w:eastAsia="zh-CN"/>
              </w:rPr>
            </w:pPr>
          </w:p>
        </w:tc>
      </w:tr>
    </w:tbl>
    <w:p>
      <w:pPr>
        <w:rPr>
          <w:lang w:val="en-GB" w:eastAsia="zh-CN"/>
        </w:rPr>
      </w:pPr>
    </w:p>
    <w:p>
      <w:pPr>
        <w:rPr>
          <w:lang w:val="en-GB" w:eastAsia="zh-CN"/>
        </w:rPr>
      </w:pPr>
      <w:r>
        <w:rPr>
          <w:lang w:val="en-GB" w:eastAsia="zh-CN"/>
        </w:rPr>
        <w:t>Ericsson (R1-2001305):</w:t>
      </w:r>
    </w:p>
    <w:p>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pPr>
        <w:rPr>
          <w:lang w:val="en-GB" w:eastAsia="zh-CN"/>
        </w:rPr>
      </w:pPr>
      <w:r>
        <w:rPr>
          <w:lang w:val="en-GB" w:eastAsia="zh-CN"/>
        </w:rPr>
        <w:t>LG (R1-2100888):</w:t>
      </w:r>
    </w:p>
    <w:p>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SCell</w:t>
      </w:r>
      <w:r>
        <w:rPr>
          <w:bCs/>
          <w:lang w:val="en-GB" w:eastAsia="zh-CN"/>
        </w:rPr>
        <w:t>, adopt one of the following two alternatives.</w:t>
      </w:r>
    </w:p>
    <w:p>
      <w:pPr>
        <w:numPr>
          <w:ilvl w:val="0"/>
          <w:numId w:val="17"/>
        </w:numPr>
        <w:ind w:left="792"/>
        <w:rPr>
          <w:bCs/>
          <w:lang w:val="en-GB" w:eastAsia="zh-CN"/>
        </w:rPr>
      </w:pPr>
      <w:r>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pPr>
        <w:rPr>
          <w:lang w:val="en-GB" w:eastAsia="zh-CN"/>
        </w:rPr>
      </w:pPr>
      <w:r>
        <w:rPr>
          <w:lang w:val="en-GB" w:eastAsia="zh-CN"/>
        </w:rPr>
        <w:t>vivo (R1-2101156):</w:t>
      </w:r>
    </w:p>
    <w:p>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pPr>
        <w:rPr>
          <w:lang w:val="en-GB" w:eastAsia="zh-CN"/>
        </w:rPr>
      </w:pPr>
      <w:r>
        <w:rPr>
          <w:lang w:val="en-GB" w:eastAsia="zh-CN"/>
        </w:rPr>
        <w:t>Samsung (R1-2101164):</w:t>
      </w:r>
    </w:p>
    <w:p>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pPr>
        <w:rPr>
          <w:lang w:val="en-GB" w:eastAsia="zh-CN"/>
        </w:rPr>
      </w:pPr>
      <w:r>
        <w:rPr>
          <w:lang w:val="en-GB" w:eastAsia="zh-CN"/>
        </w:rPr>
        <w:t>Nokia (R1-2101287):</w:t>
      </w:r>
    </w:p>
    <w:p>
      <w:pPr>
        <w:ind w:left="425"/>
        <w:rPr>
          <w:lang w:eastAsia="zh-CN"/>
        </w:rPr>
      </w:pPr>
      <w:r>
        <w:rPr>
          <w:lang w:eastAsia="zh-CN"/>
        </w:rPr>
        <w:t>Since the UE is not expected to monitor PDCCH during SCell activation, the UE behavior is the same as in case (1), i.e. the UE may omit CSI reporting until the SCell has been activated.</w:t>
      </w:r>
    </w:p>
    <w:p>
      <w:pPr>
        <w:rPr>
          <w:lang w:val="en-GB" w:eastAsia="zh-CN"/>
        </w:rPr>
      </w:pPr>
      <w:r>
        <w:rPr>
          <w:lang w:val="en-GB" w:eastAsia="zh-CN"/>
        </w:rPr>
        <w:t>Apple (R1-2101336):</w:t>
      </w:r>
    </w:p>
    <w:p>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pPr>
        <w:rPr>
          <w:lang w:val="en-GB" w:eastAsia="zh-CN"/>
        </w:rPr>
      </w:pPr>
      <w:r>
        <w:rPr>
          <w:lang w:val="en-GB" w:eastAsia="zh-CN"/>
        </w:rPr>
        <w:t>Huawei (R1-2101747):</w:t>
      </w:r>
    </w:p>
    <w:p>
      <w:pPr>
        <w:ind w:left="425"/>
        <w:rPr>
          <w:lang w:eastAsia="zh-CN"/>
        </w:rPr>
      </w:pPr>
      <w:r>
        <w:rPr>
          <w:lang w:eastAsia="zh-CN"/>
        </w:rPr>
        <w:t xml:space="preserve">The motivation to introduce the feature of </w:t>
      </w:r>
      <w:r>
        <w:rPr>
          <w:i/>
          <w:lang w:eastAsia="zh-CN"/>
        </w:rPr>
        <w:t xml:space="preserve">CSI-RS-ValidationWith-DCI </w:t>
      </w:r>
      <w:r>
        <w:rPr>
          <w:lang w:eastAsia="zh-CN"/>
        </w:rPr>
        <w:t xml:space="preserve">is to help UE determine whether gNB transmit the P/SP-CSI-RS after LBT. Considering there is no differentiation between serving cell or being-activated SCell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SCell in the set of symbols of the slot overlapping with the configured P/SP-CSI-RS, UE should receive and measure on the P/SP-CSI-RS. Otherwise, UE should cancel the P/SP-CSI-RS reception.</w:t>
      </w:r>
    </w:p>
    <w:p>
      <w:pPr>
        <w:rPr>
          <w:lang w:eastAsia="zh-CN"/>
        </w:rPr>
      </w:pPr>
    </w:p>
    <w:p>
      <w:pPr>
        <w:rPr>
          <w:b/>
          <w:bCs/>
          <w:highlight w:val="yellow"/>
          <w:lang w:val="en-GB" w:eastAsia="zh-CN"/>
        </w:rPr>
      </w:pPr>
      <w:r>
        <w:rPr>
          <w:b/>
          <w:bCs/>
          <w:highlight w:val="yellow"/>
          <w:lang w:val="en-GB" w:eastAsia="zh-CN"/>
        </w:rPr>
        <w:t>Q2: Can we agree on the following for Case (2)?</w:t>
      </w:r>
    </w:p>
    <w:p>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63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 xml:space="preserve">Apple </w:t>
            </w:r>
          </w:p>
        </w:tc>
        <w:tc>
          <w:tcPr>
            <w:tcW w:w="6305" w:type="dxa"/>
            <w:vAlign w:val="center"/>
          </w:tcPr>
          <w:p>
            <w:pPr>
              <w:widowControl w:val="0"/>
              <w:spacing w:after="0"/>
              <w:rPr>
                <w:rFonts w:eastAsia="宋体"/>
                <w:szCs w:val="20"/>
                <w:lang w:eastAsia="zh-CN"/>
              </w:rPr>
            </w:pPr>
            <w:r>
              <w:rPr>
                <w:rFonts w:eastAsia="宋体"/>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pPr>
              <w:widowControl w:val="0"/>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Ericsson</w:t>
            </w:r>
          </w:p>
        </w:tc>
        <w:tc>
          <w:tcPr>
            <w:tcW w:w="6305" w:type="dxa"/>
            <w:vAlign w:val="center"/>
          </w:tcPr>
          <w:p>
            <w:pPr>
              <w:widowControl w:val="0"/>
              <w:spacing w:after="0"/>
              <w:rPr>
                <w:rFonts w:eastAsia="宋体"/>
                <w:szCs w:val="20"/>
                <w:lang w:eastAsia="zh-CN"/>
              </w:rPr>
            </w:pPr>
            <w:r>
              <w:rPr>
                <w:rFonts w:eastAsia="宋体"/>
                <w:szCs w:val="20"/>
                <w:lang w:eastAsia="zh-CN"/>
              </w:rPr>
              <w:t xml:space="preserve">Our view is that the answer to Q2 is "Yes", and </w:t>
            </w:r>
            <w:r>
              <w:rPr>
                <w:rFonts w:eastAsia="宋体"/>
                <w:szCs w:val="20"/>
                <w:u w:val="single"/>
                <w:lang w:eastAsia="zh-CN"/>
              </w:rPr>
              <w:t xml:space="preserve">no change to 38.213 </w:t>
            </w:r>
            <w:r>
              <w:rPr>
                <w:rFonts w:eastAsia="宋体"/>
                <w:szCs w:val="20"/>
                <w:lang w:eastAsia="zh-CN"/>
              </w:rPr>
              <w:t>is needed.</w:t>
            </w:r>
          </w:p>
          <w:p>
            <w:pPr>
              <w:widowControl w:val="0"/>
              <w:spacing w:after="0"/>
              <w:rPr>
                <w:rFonts w:eastAsia="宋体"/>
                <w:szCs w:val="20"/>
                <w:lang w:eastAsia="zh-CN"/>
              </w:rPr>
            </w:pPr>
          </w:p>
          <w:p>
            <w:pPr>
              <w:widowControl w:val="0"/>
              <w:spacing w:after="0"/>
              <w:rPr>
                <w:rFonts w:eastAsia="宋体"/>
                <w:szCs w:val="20"/>
                <w:lang w:eastAsia="zh-CN"/>
              </w:rPr>
            </w:pPr>
            <w:r>
              <w:rPr>
                <w:rFonts w:eastAsia="宋体"/>
                <w:szCs w:val="20"/>
                <w:lang w:eastAsia="zh-CN"/>
              </w:rPr>
              <w:t xml:space="preserve">There is no reason to modify the existing specification text in 38.213 Section 11.1, as there is no contradiction for the SCell activation case. According to currently specified behavior, the UE will cancel the p/sp-CSI-RS reception if it does not receive a DCI scheduling/triggering a PDSCH/ap-CSI-RS. Clearly, if the UE is not monitoring for the DCI, then it will </w:t>
            </w:r>
            <w:r>
              <w:rPr>
                <w:rFonts w:eastAsia="宋体"/>
                <w:szCs w:val="20"/>
                <w:u w:val="single"/>
                <w:lang w:eastAsia="zh-CN"/>
              </w:rPr>
              <w:t>not</w:t>
            </w:r>
            <w:r>
              <w:rPr>
                <w:rFonts w:eastAsia="宋体"/>
                <w:szCs w:val="20"/>
                <w:lang w:eastAsia="zh-CN"/>
              </w:rPr>
              <w:t xml:space="preserve"> detect it, and thus it will cancel the p/sp-CSI-RS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Malgun Gothic"/>
                <w:szCs w:val="20"/>
                <w:lang w:eastAsia="ko-KR"/>
              </w:rPr>
            </w:pPr>
            <w:r>
              <w:rPr>
                <w:rFonts w:hint="eastAsia" w:eastAsia="Malgun Gothic"/>
                <w:szCs w:val="20"/>
                <w:lang w:eastAsia="ko-KR"/>
              </w:rPr>
              <w:t>LG Electronics</w:t>
            </w:r>
          </w:p>
        </w:tc>
        <w:tc>
          <w:tcPr>
            <w:tcW w:w="6305" w:type="dxa"/>
            <w:vAlign w:val="center"/>
          </w:tcPr>
          <w:p>
            <w:pPr>
              <w:widowControl w:val="0"/>
              <w:spacing w:after="0"/>
              <w:rPr>
                <w:rFonts w:eastAsia="Malgun Gothic"/>
                <w:szCs w:val="20"/>
                <w:lang w:eastAsia="ko-KR"/>
              </w:rPr>
            </w:pPr>
            <w:r>
              <w:rPr>
                <w:rFonts w:hint="eastAsia" w:eastAsia="Malgun Gothic"/>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hint="eastAsia" w:eastAsia="Malgun Gothic"/>
                <w:szCs w:val="20"/>
                <w:lang w:eastAsia="ko-KR"/>
              </w:rPr>
            </w:pPr>
            <w:r>
              <w:rPr>
                <w:rFonts w:eastAsia="Malgun Gothic"/>
                <w:szCs w:val="20"/>
                <w:lang w:eastAsia="ko-KR"/>
              </w:rPr>
              <w:t>Qualcomm</w:t>
            </w:r>
          </w:p>
        </w:tc>
        <w:tc>
          <w:tcPr>
            <w:tcW w:w="6305" w:type="dxa"/>
            <w:vAlign w:val="center"/>
          </w:tcPr>
          <w:p>
            <w:pPr>
              <w:widowControl w:val="0"/>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SCell before it is activated. May want to clarify that point. Recommend to say:</w:t>
            </w:r>
          </w:p>
          <w:p>
            <w:pPr>
              <w:widowControl w:val="0"/>
              <w:rPr>
                <w:rFonts w:hint="eastAsia"/>
                <w:b/>
                <w:bCs/>
                <w:lang w:val="en-GB" w:eastAsia="zh-CN"/>
              </w:rPr>
            </w:pPr>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SCell is activated, the UE is not monitoring any DCI carries aperiodic CSI-RS trigger or PDSCH grant that can be used to validate the p/sp-CSI-RS transmitted in the same set of symbols of the slot.</w:t>
            </w:r>
            <w:r>
              <w:rPr>
                <w:highlight w:val="yellow"/>
                <w:lang w:eastAsia="zh-CN"/>
              </w:rPr>
              <w:t xml:space="preserve"> </w:t>
            </w:r>
            <w:r>
              <w:rPr>
                <w:strike/>
                <w:color w:val="FF0000"/>
                <w:highlight w:val="yellow"/>
                <w:lang w:eastAsia="zh-CN"/>
              </w:rPr>
              <w:t>if the UE detects a DCI format indicating an aperiodic CSI-RS reception or scheduling a PDSCH reception in the set of symbols of the slot; otherwise, UE cancels the CSI-RS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hint="default" w:eastAsia="宋体"/>
                <w:szCs w:val="20"/>
                <w:lang w:val="en-US" w:eastAsia="zh-CN"/>
              </w:rPr>
            </w:pPr>
            <w:r>
              <w:rPr>
                <w:rFonts w:hint="eastAsia" w:eastAsia="宋体"/>
                <w:szCs w:val="20"/>
                <w:lang w:val="en-US" w:eastAsia="zh-CN"/>
              </w:rPr>
              <w:t>ZTE, Sanechips</w:t>
            </w:r>
          </w:p>
        </w:tc>
        <w:tc>
          <w:tcPr>
            <w:tcW w:w="6305" w:type="dxa"/>
            <w:vAlign w:val="center"/>
          </w:tcPr>
          <w:p>
            <w:pPr>
              <w:widowControl w:val="0"/>
              <w:rPr>
                <w:rFonts w:hint="eastAsia" w:eastAsia="宋体"/>
                <w:szCs w:val="20"/>
                <w:lang w:val="en-US" w:eastAsia="zh-CN"/>
              </w:rPr>
            </w:pPr>
            <w:r>
              <w:rPr>
                <w:rFonts w:hint="eastAsia" w:eastAsia="宋体"/>
                <w:szCs w:val="20"/>
                <w:lang w:val="en-US" w:eastAsia="zh-CN"/>
              </w:rPr>
              <w:t xml:space="preserve">During the SCell activation, we think that UE does not require to monitor DCI, so it seems the current proposal is not feasible. Specifically, we think it is fine that </w:t>
            </w:r>
            <w:r>
              <w:rPr>
                <w:rFonts w:hint="default" w:eastAsia="宋体"/>
                <w:szCs w:val="20"/>
                <w:lang w:val="en-US" w:eastAsia="zh-CN"/>
              </w:rPr>
              <w:t>“</w:t>
            </w:r>
            <w:r>
              <w:rPr>
                <w:rFonts w:hint="eastAsia" w:eastAsia="宋体"/>
                <w:szCs w:val="20"/>
                <w:lang w:val="en-US" w:eastAsia="zh-CN"/>
              </w:rPr>
              <w:t>UE proceeds with the P/SP CSI-RS measurement in the set of symbols of the slot</w:t>
            </w:r>
            <w:r>
              <w:rPr>
                <w:rFonts w:hint="default" w:eastAsia="宋体"/>
                <w:szCs w:val="20"/>
                <w:lang w:val="en-US" w:eastAsia="zh-CN"/>
              </w:rPr>
              <w:t>”</w:t>
            </w:r>
            <w:r>
              <w:rPr>
                <w:rFonts w:hint="eastAsia" w:eastAsia="宋体"/>
                <w:szCs w:val="20"/>
                <w:lang w:val="en-US" w:eastAsia="zh-CN"/>
              </w:rPr>
              <w:t>.</w:t>
            </w:r>
          </w:p>
          <w:p>
            <w:pPr>
              <w:widowControl w:val="0"/>
              <w:rPr>
                <w:highlight w:val="yellow"/>
                <w:lang w:eastAsia="zh-CN"/>
              </w:rPr>
            </w:pPr>
            <w:r>
              <w:rPr>
                <w:rFonts w:hint="eastAsia" w:eastAsia="宋体"/>
                <w:szCs w:val="20"/>
                <w:lang w:val="en-US" w:eastAsia="zh-CN"/>
              </w:rPr>
              <w:t xml:space="preserve">But for the UE behavior after the SCell is activated, we think </w:t>
            </w:r>
            <w:r>
              <w:rPr>
                <w:rFonts w:hint="eastAsia"/>
                <w:highlight w:val="none"/>
                <w:lang w:val="en-US" w:eastAsia="zh-CN"/>
              </w:rPr>
              <w:t>the same rule that had been specified in 38.213 can be supported for activated SCell.</w:t>
            </w:r>
          </w:p>
        </w:tc>
      </w:tr>
    </w:tbl>
    <w:p>
      <w:pPr>
        <w:rPr>
          <w:lang w:eastAsia="zh-CN"/>
        </w:rPr>
      </w:pPr>
    </w:p>
    <w:p>
      <w:pPr>
        <w:pStyle w:val="3"/>
      </w:pPr>
      <w:r>
        <w:t>Case (3)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pPr>
              <w:widowControl w:val="0"/>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pPr>
        <w:rPr>
          <w:lang w:val="en-GB" w:eastAsia="zh-CN"/>
        </w:rPr>
      </w:pPr>
    </w:p>
    <w:p>
      <w:pPr>
        <w:rPr>
          <w:lang w:val="en-GB" w:eastAsia="zh-CN"/>
        </w:rPr>
      </w:pPr>
      <w:r>
        <w:rPr>
          <w:lang w:val="en-GB" w:eastAsia="zh-CN"/>
        </w:rPr>
        <w:t>Ericsson (R1-2001305):</w:t>
      </w:r>
    </w:p>
    <w:p>
      <w:pPr>
        <w:ind w:left="425"/>
        <w:rPr>
          <w:lang w:val="en-GB" w:eastAsia="ja-JP"/>
        </w:rPr>
      </w:pPr>
      <w:r>
        <w:rPr>
          <w:lang w:val="en-GB" w:eastAsia="ja-JP"/>
        </w:rPr>
        <w:t>The UE behaviour is slightly different depending on whether or not the DCI 2_0 indicating the remaing CO duration is detected</w:t>
      </w:r>
    </w:p>
    <w:p>
      <w:pPr>
        <w:ind w:left="425"/>
        <w:rPr>
          <w:lang w:val="en-GB" w:eastAsia="ja-JP"/>
        </w:rPr>
      </w:pPr>
      <w:r>
        <w:rPr>
          <w:u w:val="single"/>
          <w:lang w:val="en-GB" w:eastAsia="ja-JP"/>
        </w:rPr>
        <w:t>Case 1</w:t>
      </w:r>
      <w:r>
        <w:rPr>
          <w:lang w:val="en-GB" w:eastAsia="ja-JP"/>
        </w:rPr>
        <w:t>: (DCI 2_0 detected)</w:t>
      </w:r>
    </w:p>
    <w:p>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pPr>
        <w:ind w:left="425"/>
        <w:rPr>
          <w:lang w:val="en-GB" w:eastAsia="ja-JP"/>
        </w:rPr>
      </w:pPr>
      <w:r>
        <w:rPr>
          <w:u w:val="single"/>
          <w:lang w:val="en-GB" w:eastAsia="ja-JP"/>
        </w:rPr>
        <w:t>Case 2</w:t>
      </w:r>
      <w:r>
        <w:rPr>
          <w:lang w:val="en-GB" w:eastAsia="ja-JP"/>
        </w:rPr>
        <w:t>: (DCI 2_0 not detected):</w:t>
      </w:r>
    </w:p>
    <w:p>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pPr>
        <w:rPr>
          <w:lang w:val="en-GB" w:eastAsia="zh-CN"/>
        </w:rPr>
      </w:pPr>
      <w:r>
        <w:rPr>
          <w:lang w:val="en-GB" w:eastAsia="zh-CN"/>
        </w:rPr>
        <w:t>LG (R1-2100888):</w:t>
      </w:r>
    </w:p>
    <w:p>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pPr>
        <w:rPr>
          <w:lang w:val="en-GB" w:eastAsia="zh-CN"/>
        </w:rPr>
      </w:pPr>
      <w:r>
        <w:rPr>
          <w:lang w:val="en-GB" w:eastAsia="zh-CN"/>
        </w:rPr>
        <w:t>vivo (R1-2101156):</w:t>
      </w:r>
    </w:p>
    <w:p>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pPr>
        <w:rPr>
          <w:lang w:val="en-GB" w:eastAsia="zh-CN"/>
        </w:rPr>
      </w:pPr>
      <w:r>
        <w:rPr>
          <w:lang w:val="en-GB" w:eastAsia="zh-CN"/>
        </w:rPr>
        <w:t>Samsung (R1-2101164):</w:t>
      </w:r>
    </w:p>
    <w:p>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SCell, the UE needs to decode a DCI format 2_0 from other active serving cell for this being-activated SCell to validate the CSI-RS.</w:t>
      </w:r>
    </w:p>
    <w:p>
      <w:pPr>
        <w:rPr>
          <w:lang w:val="en-GB" w:eastAsia="zh-CN"/>
        </w:rPr>
      </w:pPr>
      <w:r>
        <w:rPr>
          <w:lang w:val="en-GB" w:eastAsia="zh-CN"/>
        </w:rPr>
        <w:t>Nokia (R1-2101287):</w:t>
      </w:r>
    </w:p>
    <w:p>
      <w:pPr>
        <w:ind w:left="425"/>
        <w:rPr>
          <w:lang w:eastAsia="zh-CN"/>
        </w:rPr>
      </w:pPr>
      <w:r>
        <w:rPr>
          <w:lang w:eastAsia="zh-CN"/>
        </w:rPr>
        <w:t>Similarly as above, since the UE is not expected to monitor PDCCH during SCell activation, the UE behavior is the same as in case (1), i.e. the UE may omit CSI reporting until the SCell has been activated.</w:t>
      </w:r>
    </w:p>
    <w:p>
      <w:pPr>
        <w:rPr>
          <w:lang w:val="en-GB" w:eastAsia="zh-CN"/>
        </w:rPr>
      </w:pPr>
      <w:r>
        <w:rPr>
          <w:lang w:val="en-GB" w:eastAsia="zh-CN"/>
        </w:rPr>
        <w:t>Apple (R1-2101336):</w:t>
      </w:r>
    </w:p>
    <w:p>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pPr>
        <w:rPr>
          <w:lang w:val="en-GB" w:eastAsia="zh-CN"/>
        </w:rPr>
      </w:pPr>
      <w:r>
        <w:rPr>
          <w:lang w:val="en-GB" w:eastAsia="zh-CN"/>
        </w:rPr>
        <w:t>Huawei (R1-2101747):</w:t>
      </w:r>
    </w:p>
    <w:p>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SCell to validate the CSI-RS</w:t>
      </w:r>
    </w:p>
    <w:p>
      <w:pPr>
        <w:rPr>
          <w:lang w:eastAsia="zh-CN"/>
        </w:rPr>
      </w:pPr>
    </w:p>
    <w:p>
      <w:pPr>
        <w:rPr>
          <w:b/>
          <w:bCs/>
          <w:highlight w:val="yellow"/>
          <w:lang w:val="en-GB" w:eastAsia="zh-CN"/>
        </w:rPr>
      </w:pPr>
      <w:r>
        <w:rPr>
          <w:b/>
          <w:bCs/>
          <w:highlight w:val="yellow"/>
          <w:lang w:val="en-GB" w:eastAsia="zh-CN"/>
        </w:rPr>
        <w:t>Q3: Can we agree on the following for Case (3)?</w:t>
      </w:r>
    </w:p>
    <w:p>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63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 xml:space="preserve">Apple </w:t>
            </w:r>
          </w:p>
        </w:tc>
        <w:tc>
          <w:tcPr>
            <w:tcW w:w="6305" w:type="dxa"/>
            <w:vAlign w:val="center"/>
          </w:tcPr>
          <w:p>
            <w:pPr>
              <w:widowControl w:val="0"/>
              <w:spacing w:after="0"/>
              <w:rPr>
                <w:rFonts w:eastAsia="宋体"/>
                <w:szCs w:val="20"/>
                <w:lang w:eastAsia="zh-CN"/>
              </w:rPr>
            </w:pPr>
            <w:r>
              <w:rPr>
                <w:rFonts w:eastAsia="宋体"/>
                <w:szCs w:val="20"/>
                <w:lang w:eastAsia="zh-CN"/>
              </w:rPr>
              <w:t xml:space="preserve">Same comments as for Q1, the following modification is suggested to avoid changes on current specification and UE behaviors: </w:t>
            </w:r>
          </w:p>
          <w:p>
            <w:pPr>
              <w:widowControl w:val="0"/>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within remaining channel occupancy duration; otherwise, UE cancels the CSI-RS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Ericsson</w:t>
            </w:r>
          </w:p>
        </w:tc>
        <w:tc>
          <w:tcPr>
            <w:tcW w:w="6305" w:type="dxa"/>
            <w:vAlign w:val="center"/>
          </w:tcPr>
          <w:p>
            <w:pPr>
              <w:widowControl w:val="0"/>
              <w:spacing w:after="0"/>
              <w:rPr>
                <w:rFonts w:eastAsia="宋体"/>
                <w:szCs w:val="20"/>
                <w:lang w:eastAsia="zh-CN"/>
              </w:rPr>
            </w:pPr>
            <w:r>
              <w:rPr>
                <w:rFonts w:eastAsia="宋体"/>
                <w:szCs w:val="20"/>
                <w:lang w:eastAsia="zh-CN"/>
              </w:rPr>
              <w:t xml:space="preserve">Our view is that the answer to Q3 is "Yes," with the understanding that "otherwise" applies to the case when DCI 2_0 is not detected. </w:t>
            </w:r>
            <w:r>
              <w:rPr>
                <w:rFonts w:eastAsia="宋体"/>
                <w:szCs w:val="20"/>
                <w:u w:val="single"/>
                <w:lang w:eastAsia="zh-CN"/>
              </w:rPr>
              <w:t xml:space="preserve">No change to 38.213 </w:t>
            </w:r>
            <w:r>
              <w:rPr>
                <w:rFonts w:eastAsia="宋体"/>
                <w:szCs w:val="20"/>
                <w:lang w:eastAsia="zh-CN"/>
              </w:rPr>
              <w:t>is needed.</w:t>
            </w:r>
          </w:p>
          <w:p>
            <w:pPr>
              <w:widowControl w:val="0"/>
              <w:spacing w:after="0"/>
              <w:rPr>
                <w:rFonts w:eastAsia="宋体"/>
                <w:szCs w:val="20"/>
                <w:lang w:eastAsia="zh-CN"/>
              </w:rPr>
            </w:pPr>
          </w:p>
          <w:p>
            <w:pPr>
              <w:widowControl w:val="0"/>
              <w:spacing w:after="0"/>
              <w:rPr>
                <w:rFonts w:eastAsia="宋体"/>
                <w:szCs w:val="20"/>
                <w:lang w:eastAsia="zh-CN"/>
              </w:rPr>
            </w:pPr>
            <w:r>
              <w:rPr>
                <w:rFonts w:eastAsia="宋体"/>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Malgun Gothic"/>
                <w:szCs w:val="20"/>
                <w:lang w:eastAsia="ko-KR"/>
              </w:rPr>
            </w:pPr>
            <w:r>
              <w:rPr>
                <w:rFonts w:hint="eastAsia" w:eastAsia="Malgun Gothic"/>
                <w:szCs w:val="20"/>
                <w:lang w:eastAsia="ko-KR"/>
              </w:rPr>
              <w:t>LG Electronics</w:t>
            </w:r>
          </w:p>
        </w:tc>
        <w:tc>
          <w:tcPr>
            <w:tcW w:w="6305" w:type="dxa"/>
            <w:vAlign w:val="center"/>
          </w:tcPr>
          <w:p>
            <w:pPr>
              <w:widowControl w:val="0"/>
              <w:spacing w:after="0"/>
              <w:rPr>
                <w:rFonts w:eastAsia="宋体"/>
                <w:szCs w:val="20"/>
                <w:lang w:eastAsia="zh-CN"/>
              </w:rPr>
            </w:pPr>
            <w:r>
              <w:rPr>
                <w:rFonts w:hint="eastAsia" w:eastAsia="Malgun Gothic"/>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hint="eastAsia" w:eastAsia="Malgun Gothic"/>
                <w:szCs w:val="20"/>
                <w:lang w:eastAsia="ko-KR"/>
              </w:rPr>
            </w:pPr>
            <w:r>
              <w:rPr>
                <w:rFonts w:eastAsia="Malgun Gothic"/>
                <w:szCs w:val="20"/>
                <w:lang w:eastAsia="ko-KR"/>
              </w:rPr>
              <w:t>Qualcomm</w:t>
            </w:r>
          </w:p>
        </w:tc>
        <w:tc>
          <w:tcPr>
            <w:tcW w:w="6305" w:type="dxa"/>
            <w:vAlign w:val="center"/>
          </w:tcPr>
          <w:p>
            <w:pPr>
              <w:widowControl w:val="0"/>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pPr>
              <w:widowControl w:val="0"/>
              <w:rPr>
                <w:rFonts w:hint="eastAsia" w:eastAsia="Malgun Gothic"/>
                <w:szCs w:val="20"/>
                <w:lang w:val="en-GB" w:eastAsia="ko-KR"/>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within remaining channel occupancy duration; otherwise, UE cancels the CSI-RS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hint="default" w:eastAsia="宋体"/>
                <w:szCs w:val="20"/>
                <w:lang w:val="en-US" w:eastAsia="zh-CN"/>
              </w:rPr>
            </w:pPr>
            <w:r>
              <w:rPr>
                <w:rFonts w:hint="eastAsia" w:eastAsia="宋体"/>
                <w:szCs w:val="20"/>
                <w:lang w:val="en-US" w:eastAsia="zh-CN"/>
              </w:rPr>
              <w:t>ZTE, Sanechips</w:t>
            </w:r>
          </w:p>
        </w:tc>
        <w:tc>
          <w:tcPr>
            <w:tcW w:w="6305" w:type="dxa"/>
            <w:vAlign w:val="center"/>
          </w:tcPr>
          <w:p>
            <w:pPr>
              <w:widowControl w:val="0"/>
              <w:rPr>
                <w:rFonts w:hint="eastAsia" w:eastAsia="宋体"/>
                <w:szCs w:val="20"/>
                <w:lang w:val="en-US" w:eastAsia="zh-CN"/>
              </w:rPr>
            </w:pPr>
            <w:r>
              <w:rPr>
                <w:rFonts w:hint="eastAsia" w:eastAsia="宋体"/>
                <w:szCs w:val="20"/>
                <w:lang w:val="en-US" w:eastAsia="zh-CN"/>
              </w:rPr>
              <w:t xml:space="preserve">During the SCell activation, we think that UE does not require to monitor DCI, so from this point of view, the current proposal seems unreasonable. But we think it is fine that </w:t>
            </w:r>
            <w:r>
              <w:rPr>
                <w:rFonts w:hint="default" w:eastAsia="宋体"/>
                <w:szCs w:val="20"/>
                <w:lang w:val="en-US" w:eastAsia="zh-CN"/>
              </w:rPr>
              <w:t>“</w:t>
            </w:r>
            <w:r>
              <w:rPr>
                <w:highlight w:val="none"/>
                <w:lang w:eastAsia="zh-CN"/>
              </w:rPr>
              <w:t>UE proceeds with the P/SP CSI-RS measurement in the set of symbols of the slot</w:t>
            </w:r>
            <w:r>
              <w:rPr>
                <w:rFonts w:hint="default" w:eastAsia="宋体"/>
                <w:szCs w:val="20"/>
                <w:highlight w:val="none"/>
                <w:lang w:val="en-US" w:eastAsia="zh-CN"/>
              </w:rPr>
              <w:t>”</w:t>
            </w:r>
            <w:r>
              <w:rPr>
                <w:rFonts w:hint="eastAsia" w:eastAsia="宋体"/>
                <w:szCs w:val="20"/>
                <w:lang w:val="en-US" w:eastAsia="zh-CN"/>
              </w:rPr>
              <w:t>.</w:t>
            </w:r>
          </w:p>
          <w:p>
            <w:pPr>
              <w:widowControl w:val="0"/>
              <w:rPr>
                <w:highlight w:val="yellow"/>
                <w:lang w:eastAsia="zh-CN"/>
              </w:rPr>
            </w:pPr>
            <w:r>
              <w:rPr>
                <w:rFonts w:hint="eastAsia" w:eastAsia="宋体"/>
                <w:szCs w:val="20"/>
                <w:lang w:val="en-US" w:eastAsia="zh-CN"/>
              </w:rPr>
              <w:t xml:space="preserve">But for the UE behavior after the SCell is activated, we think </w:t>
            </w:r>
            <w:r>
              <w:rPr>
                <w:rFonts w:hint="eastAsia"/>
                <w:highlight w:val="none"/>
                <w:lang w:val="en-US" w:eastAsia="zh-CN"/>
              </w:rPr>
              <w:t>the same rule that had been specified in 38.213 can be supported for activated SCell.</w:t>
            </w:r>
          </w:p>
        </w:tc>
      </w:tr>
    </w:tbl>
    <w:p>
      <w:pPr>
        <w:rPr>
          <w:lang w:val="en-GB" w:eastAsia="zh-CN"/>
        </w:rPr>
      </w:pPr>
    </w:p>
    <w:p>
      <w:pPr>
        <w:pStyle w:val="3"/>
      </w:pPr>
      <w:r>
        <w:t>Case (4)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pPr>
              <w:widowControl w:val="0"/>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pPr>
        <w:rPr>
          <w:lang w:val="en-GB" w:eastAsia="zh-CN"/>
        </w:rPr>
      </w:pPr>
    </w:p>
    <w:p>
      <w:pPr>
        <w:rPr>
          <w:lang w:val="en-GB" w:eastAsia="zh-CN"/>
        </w:rPr>
      </w:pPr>
      <w:r>
        <w:rPr>
          <w:lang w:val="en-GB" w:eastAsia="zh-CN"/>
        </w:rPr>
        <w:t>Ericsson (R1-2001305):</w:t>
      </w:r>
    </w:p>
    <w:p>
      <w:pPr>
        <w:ind w:left="425"/>
        <w:rPr>
          <w:lang w:val="en-GB" w:eastAsia="ja-JP"/>
        </w:rPr>
      </w:pPr>
      <w:r>
        <w:rPr>
          <w:lang w:val="en-GB" w:eastAsia="ja-JP"/>
        </w:rPr>
        <w:t xml:space="preserve">The UE behaviour depends on whether or not the DCI 2_0 containing the SFI is detected.  </w:t>
      </w:r>
    </w:p>
    <w:p>
      <w:pPr>
        <w:ind w:left="425"/>
        <w:rPr>
          <w:lang w:val="en-GB" w:eastAsia="ja-JP"/>
        </w:rPr>
      </w:pPr>
      <w:r>
        <w:rPr>
          <w:u w:val="single"/>
          <w:lang w:val="en-GB" w:eastAsia="ja-JP"/>
        </w:rPr>
        <w:t>Case 1</w:t>
      </w:r>
      <w:r>
        <w:rPr>
          <w:lang w:val="en-GB" w:eastAsia="ja-JP"/>
        </w:rPr>
        <w:t>: (DCI 2_0 detected):</w:t>
      </w:r>
    </w:p>
    <w:p>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pPr>
        <w:ind w:left="425"/>
        <w:rPr>
          <w:lang w:val="en-GB" w:eastAsia="ja-JP"/>
        </w:rPr>
      </w:pPr>
      <w:r>
        <w:rPr>
          <w:u w:val="single"/>
          <w:lang w:val="en-GB" w:eastAsia="ja-JP"/>
        </w:rPr>
        <w:t>Case 2</w:t>
      </w:r>
      <w:r>
        <w:rPr>
          <w:lang w:val="en-GB" w:eastAsia="ja-JP"/>
        </w:rPr>
        <w:t>: (DCI 2_0 not detected):</w:t>
      </w:r>
    </w:p>
    <w:p>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pPr>
        <w:rPr>
          <w:lang w:val="en-GB" w:eastAsia="zh-CN"/>
        </w:rPr>
      </w:pPr>
      <w:r>
        <w:rPr>
          <w:lang w:val="en-GB" w:eastAsia="zh-CN"/>
        </w:rPr>
        <w:t>LG (R1-2100888):</w:t>
      </w:r>
    </w:p>
    <w:p>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pPr>
        <w:rPr>
          <w:lang w:val="en-GB" w:eastAsia="zh-CN"/>
        </w:rPr>
      </w:pPr>
      <w:r>
        <w:rPr>
          <w:lang w:val="en-GB" w:eastAsia="zh-CN"/>
        </w:rPr>
        <w:t>vivo (R1-2101156):</w:t>
      </w:r>
    </w:p>
    <w:p>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pPr>
        <w:rPr>
          <w:lang w:val="en-GB" w:eastAsia="zh-CN"/>
        </w:rPr>
      </w:pPr>
      <w:r>
        <w:rPr>
          <w:lang w:val="en-GB" w:eastAsia="zh-CN"/>
        </w:rPr>
        <w:t>Samsung (R1-2101164):</w:t>
      </w:r>
    </w:p>
    <w:p>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SCell, it is RAN1 understanding that the UE follows existing Rel-15 specification (e.g., Section 11.1.1 of TS38.213).</w:t>
      </w:r>
    </w:p>
    <w:p>
      <w:pPr>
        <w:rPr>
          <w:lang w:val="en-GB" w:eastAsia="zh-CN"/>
        </w:rPr>
      </w:pPr>
      <w:r>
        <w:rPr>
          <w:lang w:val="en-GB" w:eastAsia="zh-CN"/>
        </w:rPr>
        <w:t>Nokia (R1-2101287):</w:t>
      </w:r>
    </w:p>
    <w:p>
      <w:pPr>
        <w:ind w:left="425"/>
        <w:rPr>
          <w:lang w:eastAsia="zh-CN"/>
        </w:rPr>
      </w:pPr>
      <w:r>
        <w:rPr>
          <w:lang w:eastAsia="zh-CN"/>
        </w:rPr>
        <w:t>Again, since the UE is not expected to monitor PDCCH during SCell activation, the UE behavior is the same as in case (1), i.e. the UE may omit CSI reporting until the SCell has been activated.</w:t>
      </w:r>
    </w:p>
    <w:p>
      <w:pPr>
        <w:rPr>
          <w:lang w:val="en-GB" w:eastAsia="zh-CN"/>
        </w:rPr>
      </w:pPr>
      <w:r>
        <w:rPr>
          <w:lang w:val="en-GB" w:eastAsia="zh-CN"/>
        </w:rPr>
        <w:t>Apple (R1-2101336):</w:t>
      </w:r>
    </w:p>
    <w:p>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pPr>
        <w:rPr>
          <w:lang w:val="en-GB" w:eastAsia="zh-CN"/>
        </w:rPr>
      </w:pPr>
      <w:r>
        <w:rPr>
          <w:lang w:val="en-GB" w:eastAsia="zh-CN"/>
        </w:rPr>
        <w:t>Huawei (R1-2101747):</w:t>
      </w:r>
    </w:p>
    <w:p>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pPr>
        <w:rPr>
          <w:lang w:eastAsia="zh-CN"/>
        </w:rPr>
      </w:pPr>
    </w:p>
    <w:p>
      <w:pPr>
        <w:rPr>
          <w:b/>
          <w:bCs/>
          <w:highlight w:val="yellow"/>
          <w:lang w:val="en-GB" w:eastAsia="zh-CN"/>
        </w:rPr>
      </w:pPr>
      <w:r>
        <w:rPr>
          <w:b/>
          <w:bCs/>
          <w:highlight w:val="yellow"/>
          <w:lang w:val="en-GB" w:eastAsia="zh-CN"/>
        </w:rPr>
        <w:t>Q4: Can we agree on the following for Case (4)?</w:t>
      </w:r>
    </w:p>
    <w:p>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63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 xml:space="preserve">Apple </w:t>
            </w:r>
          </w:p>
        </w:tc>
        <w:tc>
          <w:tcPr>
            <w:tcW w:w="6305" w:type="dxa"/>
            <w:vAlign w:val="center"/>
          </w:tcPr>
          <w:p>
            <w:pPr>
              <w:widowControl w:val="0"/>
              <w:spacing w:after="0"/>
              <w:rPr>
                <w:rFonts w:eastAsia="宋体"/>
                <w:szCs w:val="20"/>
                <w:lang w:eastAsia="zh-CN"/>
              </w:rPr>
            </w:pPr>
            <w:r>
              <w:rPr>
                <w:rFonts w:eastAsia="宋体"/>
                <w:szCs w:val="20"/>
                <w:lang w:eastAsia="zh-CN"/>
              </w:rPr>
              <w:t xml:space="preserve">As commented in earlier question, UE is not required to monitor DCI ‘for’ the being activated SCell until now and this should be maintained to avoid change on UE implementation at this late stage. Hence, the following was suggested: </w:t>
            </w:r>
          </w:p>
          <w:p>
            <w:pPr>
              <w:widowControl w:val="0"/>
              <w:spacing w:after="0"/>
              <w:rPr>
                <w:rFonts w:eastAsia="宋体"/>
                <w:szCs w:val="20"/>
                <w:lang w:eastAsia="zh-CN"/>
              </w:rPr>
            </w:pPr>
          </w:p>
          <w:p>
            <w:pPr>
              <w:widowControl w:val="0"/>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pPr>
              <w:widowControl w:val="0"/>
              <w:spacing w:after="0"/>
              <w:rPr>
                <w:rFonts w:eastAsia="宋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Ericsson</w:t>
            </w:r>
          </w:p>
        </w:tc>
        <w:tc>
          <w:tcPr>
            <w:tcW w:w="6305" w:type="dxa"/>
            <w:vAlign w:val="center"/>
          </w:tcPr>
          <w:p>
            <w:pPr>
              <w:widowControl w:val="0"/>
              <w:spacing w:after="0"/>
              <w:rPr>
                <w:rFonts w:eastAsia="宋体"/>
                <w:szCs w:val="20"/>
                <w:lang w:eastAsia="zh-CN"/>
              </w:rPr>
            </w:pPr>
            <w:r>
              <w:rPr>
                <w:rFonts w:eastAsia="宋体"/>
                <w:szCs w:val="20"/>
                <w:lang w:eastAsia="zh-CN"/>
              </w:rPr>
              <w:t xml:space="preserve">Our view is that the answer to Q4 is "Yes," with the understanding that "otherwise" applies to the case when DCI 2_0 is not detected. </w:t>
            </w:r>
            <w:r>
              <w:rPr>
                <w:rFonts w:eastAsia="宋体"/>
                <w:szCs w:val="20"/>
                <w:u w:val="single"/>
                <w:lang w:eastAsia="zh-CN"/>
              </w:rPr>
              <w:t xml:space="preserve">No change to 38.213 </w:t>
            </w:r>
            <w:r>
              <w:rPr>
                <w:rFonts w:eastAsia="宋体"/>
                <w:szCs w:val="20"/>
                <w:lang w:eastAsia="zh-CN"/>
              </w:rPr>
              <w:t>is needed.</w:t>
            </w:r>
          </w:p>
          <w:p>
            <w:pPr>
              <w:widowControl w:val="0"/>
              <w:spacing w:after="0"/>
              <w:rPr>
                <w:rFonts w:eastAsia="宋体"/>
                <w:szCs w:val="20"/>
                <w:lang w:eastAsia="zh-CN"/>
              </w:rPr>
            </w:pPr>
          </w:p>
          <w:p>
            <w:pPr>
              <w:widowControl w:val="0"/>
              <w:spacing w:after="0"/>
              <w:rPr>
                <w:rFonts w:eastAsia="宋体"/>
                <w:szCs w:val="20"/>
                <w:lang w:eastAsia="zh-CN"/>
              </w:rPr>
            </w:pPr>
            <w:r>
              <w:rPr>
                <w:rFonts w:eastAsia="宋体"/>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Malgun Gothic"/>
                <w:szCs w:val="20"/>
                <w:lang w:eastAsia="ko-KR"/>
              </w:rPr>
            </w:pPr>
            <w:r>
              <w:rPr>
                <w:rFonts w:hint="eastAsia" w:eastAsia="Malgun Gothic"/>
                <w:szCs w:val="20"/>
                <w:lang w:eastAsia="ko-KR"/>
              </w:rPr>
              <w:t>LG Electronics</w:t>
            </w:r>
          </w:p>
        </w:tc>
        <w:tc>
          <w:tcPr>
            <w:tcW w:w="6305" w:type="dxa"/>
            <w:vAlign w:val="center"/>
          </w:tcPr>
          <w:p>
            <w:pPr>
              <w:widowControl w:val="0"/>
              <w:spacing w:after="0"/>
              <w:rPr>
                <w:rFonts w:eastAsia="宋体"/>
                <w:szCs w:val="20"/>
                <w:lang w:eastAsia="zh-CN"/>
              </w:rPr>
            </w:pPr>
            <w:r>
              <w:rPr>
                <w:rFonts w:hint="eastAsia" w:eastAsia="Malgun Gothic"/>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hint="eastAsia" w:eastAsia="Malgun Gothic"/>
                <w:szCs w:val="20"/>
                <w:lang w:eastAsia="ko-KR"/>
              </w:rPr>
            </w:pPr>
            <w:r>
              <w:rPr>
                <w:rFonts w:eastAsia="Malgun Gothic"/>
                <w:szCs w:val="20"/>
                <w:lang w:eastAsia="ko-KR"/>
              </w:rPr>
              <w:t>Qualcomm</w:t>
            </w:r>
          </w:p>
        </w:tc>
        <w:tc>
          <w:tcPr>
            <w:tcW w:w="6305" w:type="dxa"/>
            <w:vAlign w:val="center"/>
          </w:tcPr>
          <w:p>
            <w:pPr>
              <w:widowControl w:val="0"/>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pPr>
              <w:widowControl w:val="0"/>
              <w:rPr>
                <w:rFonts w:hint="eastAsia"/>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downlink symbols; otherwise, UE cancels the CSI-RS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hint="default" w:ascii="Times New Roman" w:hAnsi="Times New Roman" w:eastAsia="宋体" w:cs="Times New Roman"/>
                <w:sz w:val="22"/>
                <w:szCs w:val="20"/>
                <w:lang w:val="en-US" w:eastAsia="ko-KR" w:bidi="ar-SA"/>
              </w:rPr>
            </w:pPr>
            <w:r>
              <w:rPr>
                <w:rFonts w:hint="eastAsia" w:eastAsia="宋体"/>
                <w:szCs w:val="20"/>
                <w:lang w:val="en-US" w:eastAsia="zh-CN"/>
              </w:rPr>
              <w:t>ZTE, Sanechips</w:t>
            </w:r>
          </w:p>
        </w:tc>
        <w:tc>
          <w:tcPr>
            <w:tcW w:w="6305" w:type="dxa"/>
            <w:vAlign w:val="center"/>
          </w:tcPr>
          <w:p>
            <w:pPr>
              <w:widowControl w:val="0"/>
              <w:rPr>
                <w:rFonts w:hint="eastAsia" w:eastAsia="宋体"/>
                <w:szCs w:val="20"/>
                <w:lang w:val="en-US" w:eastAsia="zh-CN"/>
              </w:rPr>
            </w:pPr>
            <w:r>
              <w:rPr>
                <w:rFonts w:hint="eastAsia" w:eastAsia="宋体"/>
                <w:szCs w:val="20"/>
                <w:lang w:val="en-US" w:eastAsia="zh-CN"/>
              </w:rPr>
              <w:t xml:space="preserve">During the SCell activation, we think that UE does not require to monitor DCI, so from this point of view, the current proposal seems unreasonable. But we think it is fine that </w:t>
            </w:r>
            <w:r>
              <w:rPr>
                <w:rFonts w:hint="default" w:eastAsia="宋体"/>
                <w:szCs w:val="20"/>
                <w:lang w:val="en-US" w:eastAsia="zh-CN"/>
              </w:rPr>
              <w:t>“UE proceeds with the P/SP CSI-RS measurement in the set of symbo</w:t>
            </w:r>
            <w:bookmarkStart w:id="3" w:name="_GoBack"/>
            <w:bookmarkEnd w:id="3"/>
            <w:r>
              <w:rPr>
                <w:rFonts w:hint="default" w:eastAsia="宋体"/>
                <w:szCs w:val="20"/>
                <w:lang w:val="en-US" w:eastAsia="zh-CN"/>
              </w:rPr>
              <w:t>ls of the slot</w:t>
            </w:r>
            <w:r>
              <w:rPr>
                <w:rFonts w:hint="default" w:eastAsia="宋体"/>
                <w:szCs w:val="20"/>
                <w:highlight w:val="none"/>
                <w:lang w:val="en-US" w:eastAsia="zh-CN"/>
              </w:rPr>
              <w:t>”</w:t>
            </w:r>
            <w:r>
              <w:rPr>
                <w:rFonts w:hint="eastAsia" w:eastAsia="宋体"/>
                <w:szCs w:val="20"/>
                <w:lang w:val="en-US" w:eastAsia="zh-CN"/>
              </w:rPr>
              <w:t>.</w:t>
            </w:r>
          </w:p>
          <w:p>
            <w:pPr>
              <w:widowControl w:val="0"/>
              <w:rPr>
                <w:rFonts w:ascii="Times New Roman" w:hAnsi="Times New Roman" w:cs="Times New Roman" w:eastAsiaTheme="minorEastAsia"/>
                <w:sz w:val="22"/>
                <w:szCs w:val="22"/>
                <w:highlight w:val="yellow"/>
                <w:lang w:val="en-US" w:eastAsia="zh-CN" w:bidi="ar-SA"/>
              </w:rPr>
            </w:pPr>
            <w:r>
              <w:rPr>
                <w:rFonts w:hint="eastAsia" w:eastAsia="宋体"/>
                <w:szCs w:val="20"/>
                <w:lang w:val="en-US" w:eastAsia="zh-CN"/>
              </w:rPr>
              <w:t xml:space="preserve">But for the UE behavior after the SCell is activated, we think </w:t>
            </w:r>
            <w:r>
              <w:rPr>
                <w:rFonts w:hint="eastAsia"/>
                <w:highlight w:val="none"/>
                <w:lang w:val="en-US" w:eastAsia="zh-CN"/>
              </w:rPr>
              <w:t>the same rule that had been specified in 38.213 can be supported for activated SCell.</w:t>
            </w:r>
          </w:p>
        </w:tc>
      </w:tr>
    </w:tbl>
    <w:p>
      <w:pPr>
        <w:rPr>
          <w:lang w:val="en-GB" w:eastAsia="zh-CN"/>
        </w:rPr>
      </w:pPr>
    </w:p>
    <w:p>
      <w:pPr>
        <w:pStyle w:val="3"/>
      </w:pPr>
      <w:r>
        <w:t>General</w:t>
      </w:r>
    </w:p>
    <w:p>
      <w:pPr>
        <w:rPr>
          <w:lang w:val="en-GB" w:eastAsia="zh-CN"/>
        </w:rPr>
      </w:pPr>
    </w:p>
    <w:p>
      <w:pPr>
        <w:rPr>
          <w:b/>
          <w:bCs/>
          <w:lang w:val="en-GB" w:eastAsia="zh-CN"/>
        </w:rPr>
      </w:pPr>
      <w:r>
        <w:rPr>
          <w:b/>
          <w:bCs/>
          <w:highlight w:val="yellow"/>
          <w:lang w:val="en-GB" w:eastAsia="zh-CN"/>
        </w:rPr>
        <w:t>Q5: Is there any additional information RAN1 should provide to RAN4?</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63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Apple</w:t>
            </w:r>
          </w:p>
        </w:tc>
        <w:tc>
          <w:tcPr>
            <w:tcW w:w="6305" w:type="dxa"/>
            <w:vAlign w:val="center"/>
          </w:tcPr>
          <w:p>
            <w:pPr>
              <w:widowControl w:val="0"/>
              <w:spacing w:after="0"/>
              <w:rPr>
                <w:rFonts w:eastAsia="宋体"/>
                <w:szCs w:val="20"/>
                <w:lang w:eastAsia="zh-CN"/>
              </w:rPr>
            </w:pPr>
            <w:r>
              <w:rPr>
                <w:rFonts w:eastAsia="宋体"/>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Ericsson</w:t>
            </w:r>
          </w:p>
        </w:tc>
        <w:tc>
          <w:tcPr>
            <w:tcW w:w="6305" w:type="dxa"/>
            <w:vAlign w:val="center"/>
          </w:tcPr>
          <w:p>
            <w:pPr>
              <w:widowControl w:val="0"/>
              <w:spacing w:after="0"/>
              <w:rPr>
                <w:rFonts w:eastAsia="宋体"/>
                <w:szCs w:val="20"/>
                <w:lang w:eastAsia="zh-CN"/>
              </w:rPr>
            </w:pPr>
            <w:r>
              <w:rPr>
                <w:rFonts w:eastAsia="宋体"/>
                <w:szCs w:val="20"/>
                <w:lang w:eastAsia="zh-CN"/>
              </w:rPr>
              <w:t>No other information is needed.</w:t>
            </w:r>
          </w:p>
          <w:p>
            <w:pPr>
              <w:widowControl w:val="0"/>
              <w:spacing w:after="0"/>
              <w:rPr>
                <w:rFonts w:eastAsia="宋体"/>
                <w:szCs w:val="20"/>
                <w:lang w:eastAsia="zh-CN"/>
              </w:rPr>
            </w:pPr>
            <w:r>
              <w:rPr>
                <w:rFonts w:eastAsia="宋体"/>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pPr>
        <w:rPr>
          <w:lang w:val="en-GB" w:eastAsia="zh-CN"/>
        </w:rPr>
      </w:pPr>
    </w:p>
    <w:bookmarkEnd w:id="0"/>
    <w:p>
      <w:pPr>
        <w:rPr>
          <w:lang w:val="en-GB" w:eastAsia="zh-CN"/>
        </w:rPr>
      </w:pPr>
    </w:p>
    <w:p>
      <w:pPr>
        <w:rPr>
          <w:lang w:val="en-GB" w:eastAsia="zh-CN"/>
        </w:rPr>
      </w:pPr>
    </w:p>
    <w:p>
      <w:pPr>
        <w:rPr>
          <w:lang w:val="en-GB" w:eastAsia="zh-CN"/>
        </w:rPr>
      </w:pP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Malgun Gothic">
    <w:panose1 w:val="020B0503020000020004"/>
    <w:charset w:val="81"/>
    <w:family w:val="modern"/>
    <w:pitch w:val="default"/>
    <w:sig w:usb0="9000002F" w:usb1="29D77CFB" w:usb2="00000012" w:usb3="00000000" w:csb0="00080001" w:csb1="00000000"/>
  </w:font>
  <w:font w:name="MS PMincho">
    <w:altName w:val="Yu Gothic"/>
    <w:panose1 w:val="00000000000000000000"/>
    <w:charset w:val="80"/>
    <w:family w:val="roma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07DA"/>
    <w:multiLevelType w:val="multilevel"/>
    <w:tmpl w:val="0CDF07DA"/>
    <w:lvl w:ilvl="0" w:tentative="0">
      <w:start w:val="1"/>
      <w:numFmt w:val="decimal"/>
      <w:pStyle w:val="206"/>
      <w:suff w:val="space"/>
      <w:lvlText w:val="%1."/>
      <w:lvlJc w:val="left"/>
      <w:pPr>
        <w:ind w:left="425" w:hanging="425"/>
      </w:pPr>
      <w:rPr>
        <w:rFonts w:hint="eastAsia" w:cs="Times New Roman"/>
      </w:rPr>
    </w:lvl>
    <w:lvl w:ilvl="1" w:tentative="0">
      <w:start w:val="1"/>
      <w:numFmt w:val="decimal"/>
      <w:pStyle w:val="207"/>
      <w:suff w:val="space"/>
      <w:lvlText w:val="%1.%2."/>
      <w:lvlJc w:val="left"/>
      <w:pPr>
        <w:ind w:left="567" w:hanging="567"/>
      </w:pPr>
      <w:rPr>
        <w:rFonts w:hint="eastAsia" w:cs="Times New Roman"/>
      </w:rPr>
    </w:lvl>
    <w:lvl w:ilvl="2" w:tentative="0">
      <w:start w:val="1"/>
      <w:numFmt w:val="decimal"/>
      <w:pStyle w:val="208"/>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0D9E234C"/>
    <w:multiLevelType w:val="multilevel"/>
    <w:tmpl w:val="0D9E23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A877D64"/>
    <w:multiLevelType w:val="singleLevel"/>
    <w:tmpl w:val="3A877D64"/>
    <w:lvl w:ilvl="0" w:tentative="0">
      <w:start w:val="1"/>
      <w:numFmt w:val="decimal"/>
      <w:pStyle w:val="62"/>
      <w:lvlText w:val="[%1]"/>
      <w:lvlJc w:val="left"/>
      <w:pPr>
        <w:tabs>
          <w:tab w:val="left" w:pos="360"/>
        </w:tabs>
        <w:ind w:left="360" w:hanging="360"/>
      </w:pPr>
      <w:rPr>
        <w:b w:val="0"/>
      </w:rPr>
    </w:lvl>
  </w:abstractNum>
  <w:abstractNum w:abstractNumId="5">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0DE34BC"/>
    <w:multiLevelType w:val="singleLevel"/>
    <w:tmpl w:val="40DE34BC"/>
    <w:lvl w:ilvl="0" w:tentative="0">
      <w:start w:val="1"/>
      <w:numFmt w:val="decimal"/>
      <w:pStyle w:val="149"/>
      <w:lvlText w:val="%1."/>
      <w:lvlJc w:val="left"/>
      <w:pPr>
        <w:tabs>
          <w:tab w:val="left" w:pos="360"/>
        </w:tabs>
        <w:ind w:left="360" w:hanging="360"/>
      </w:pPr>
    </w:lvl>
  </w:abstractNum>
  <w:abstractNum w:abstractNumId="7">
    <w:nsid w:val="464D3319"/>
    <w:multiLevelType w:val="multilevel"/>
    <w:tmpl w:val="464D3319"/>
    <w:lvl w:ilvl="0" w:tentative="0">
      <w:start w:val="1"/>
      <w:numFmt w:val="decimal"/>
      <w:pStyle w:val="144"/>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4A55685D"/>
    <w:multiLevelType w:val="singleLevel"/>
    <w:tmpl w:val="4A55685D"/>
    <w:lvl w:ilvl="0" w:tentative="0">
      <w:start w:val="1"/>
      <w:numFmt w:val="bullet"/>
      <w:pStyle w:val="145"/>
      <w:lvlText w:val=""/>
      <w:lvlJc w:val="left"/>
      <w:pPr>
        <w:tabs>
          <w:tab w:val="left" w:pos="992"/>
        </w:tabs>
        <w:ind w:left="992" w:hanging="425"/>
      </w:pPr>
      <w:rPr>
        <w:rFonts w:hint="default" w:ascii="Symbol" w:hAnsi="Symbol"/>
      </w:rPr>
    </w:lvl>
  </w:abstractNum>
  <w:abstractNum w:abstractNumId="9">
    <w:nsid w:val="4B1F283C"/>
    <w:multiLevelType w:val="singleLevel"/>
    <w:tmpl w:val="4B1F283C"/>
    <w:lvl w:ilvl="0" w:tentative="0">
      <w:start w:val="1"/>
      <w:numFmt w:val="bullet"/>
      <w:pStyle w:val="147"/>
      <w:lvlText w:val=""/>
      <w:lvlJc w:val="left"/>
      <w:pPr>
        <w:tabs>
          <w:tab w:val="left" w:pos="1843"/>
        </w:tabs>
        <w:ind w:left="1843" w:hanging="425"/>
      </w:pPr>
      <w:rPr>
        <w:rFonts w:hint="default" w:ascii="Symbol" w:hAnsi="Symbol"/>
      </w:rPr>
    </w:lvl>
  </w:abstractNum>
  <w:abstractNum w:abstractNumId="10">
    <w:nsid w:val="500D4EF8"/>
    <w:multiLevelType w:val="multilevel"/>
    <w:tmpl w:val="500D4E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CA544A"/>
    <w:multiLevelType w:val="singleLevel"/>
    <w:tmpl w:val="52CA544A"/>
    <w:lvl w:ilvl="0" w:tentative="0">
      <w:start w:val="1"/>
      <w:numFmt w:val="decimal"/>
      <w:pStyle w:val="9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2">
    <w:nsid w:val="6C473742"/>
    <w:multiLevelType w:val="multilevel"/>
    <w:tmpl w:val="6C473742"/>
    <w:lvl w:ilvl="0" w:tentative="0">
      <w:start w:val="5"/>
      <w:numFmt w:val="bullet"/>
      <w:lvlText w:val="-"/>
      <w:lvlJc w:val="left"/>
      <w:pPr>
        <w:ind w:left="576" w:hanging="360"/>
      </w:pPr>
      <w:rPr>
        <w:rFonts w:hint="default" w:ascii="Times New Roman" w:hAnsi="Times New Roman" w:eastAsia="Batang" w:cs="Times New Roman"/>
      </w:rPr>
    </w:lvl>
    <w:lvl w:ilvl="1" w:tentative="0">
      <w:start w:val="1"/>
      <w:numFmt w:val="bullet"/>
      <w:lvlText w:val=""/>
      <w:lvlJc w:val="left"/>
      <w:pPr>
        <w:ind w:left="1016" w:hanging="400"/>
      </w:pPr>
      <w:rPr>
        <w:rFonts w:hint="default" w:ascii="Wingdings" w:hAnsi="Wingdings"/>
      </w:rPr>
    </w:lvl>
    <w:lvl w:ilvl="2" w:tentative="0">
      <w:start w:val="1"/>
      <w:numFmt w:val="bullet"/>
      <w:lvlText w:val=""/>
      <w:lvlJc w:val="left"/>
      <w:pPr>
        <w:ind w:left="1416" w:hanging="400"/>
      </w:pPr>
      <w:rPr>
        <w:rFonts w:hint="default" w:ascii="Wingdings" w:hAnsi="Wingdings"/>
      </w:rPr>
    </w:lvl>
    <w:lvl w:ilvl="3" w:tentative="0">
      <w:start w:val="1"/>
      <w:numFmt w:val="bullet"/>
      <w:lvlText w:val=""/>
      <w:lvlJc w:val="left"/>
      <w:pPr>
        <w:ind w:left="1816" w:hanging="400"/>
      </w:pPr>
      <w:rPr>
        <w:rFonts w:hint="default" w:ascii="Wingdings" w:hAnsi="Wingdings"/>
      </w:rPr>
    </w:lvl>
    <w:lvl w:ilvl="4" w:tentative="0">
      <w:start w:val="1"/>
      <w:numFmt w:val="bullet"/>
      <w:lvlText w:val=""/>
      <w:lvlJc w:val="left"/>
      <w:pPr>
        <w:ind w:left="2216" w:hanging="400"/>
      </w:pPr>
      <w:rPr>
        <w:rFonts w:hint="default" w:ascii="Wingdings" w:hAnsi="Wingdings"/>
      </w:rPr>
    </w:lvl>
    <w:lvl w:ilvl="5" w:tentative="0">
      <w:start w:val="1"/>
      <w:numFmt w:val="bullet"/>
      <w:lvlText w:val=""/>
      <w:lvlJc w:val="left"/>
      <w:pPr>
        <w:ind w:left="2616" w:hanging="400"/>
      </w:pPr>
      <w:rPr>
        <w:rFonts w:hint="default" w:ascii="Wingdings" w:hAnsi="Wingdings"/>
      </w:rPr>
    </w:lvl>
    <w:lvl w:ilvl="6" w:tentative="0">
      <w:start w:val="1"/>
      <w:numFmt w:val="bullet"/>
      <w:lvlText w:val=""/>
      <w:lvlJc w:val="left"/>
      <w:pPr>
        <w:ind w:left="3016" w:hanging="400"/>
      </w:pPr>
      <w:rPr>
        <w:rFonts w:hint="default" w:ascii="Wingdings" w:hAnsi="Wingdings"/>
      </w:rPr>
    </w:lvl>
    <w:lvl w:ilvl="7" w:tentative="0">
      <w:start w:val="1"/>
      <w:numFmt w:val="bullet"/>
      <w:lvlText w:val=""/>
      <w:lvlJc w:val="left"/>
      <w:pPr>
        <w:ind w:left="3416" w:hanging="400"/>
      </w:pPr>
      <w:rPr>
        <w:rFonts w:hint="default" w:ascii="Wingdings" w:hAnsi="Wingdings"/>
      </w:rPr>
    </w:lvl>
    <w:lvl w:ilvl="8" w:tentative="0">
      <w:start w:val="1"/>
      <w:numFmt w:val="bullet"/>
      <w:lvlText w:val=""/>
      <w:lvlJc w:val="left"/>
      <w:pPr>
        <w:ind w:left="3816" w:hanging="400"/>
      </w:pPr>
      <w:rPr>
        <w:rFonts w:hint="default" w:ascii="Wingdings" w:hAnsi="Wingdings"/>
      </w:rPr>
    </w:lvl>
  </w:abstractNum>
  <w:abstractNum w:abstractNumId="13">
    <w:nsid w:val="73E56F14"/>
    <w:multiLevelType w:val="multilevel"/>
    <w:tmpl w:val="73E56F14"/>
    <w:lvl w:ilvl="0" w:tentative="0">
      <w:start w:val="1"/>
      <w:numFmt w:val="decimal"/>
      <w:pStyle w:val="8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8F76F6F"/>
    <w:multiLevelType w:val="singleLevel"/>
    <w:tmpl w:val="78F76F6F"/>
    <w:lvl w:ilvl="0" w:tentative="0">
      <w:start w:val="1"/>
      <w:numFmt w:val="bullet"/>
      <w:pStyle w:val="148"/>
      <w:lvlText w:val=""/>
      <w:lvlJc w:val="left"/>
      <w:pPr>
        <w:tabs>
          <w:tab w:val="left" w:pos="360"/>
        </w:tabs>
        <w:ind w:left="360" w:hanging="360"/>
      </w:pPr>
      <w:rPr>
        <w:rFonts w:hint="default" w:ascii="Symbol" w:hAnsi="Symbol"/>
      </w:rPr>
    </w:lvl>
  </w:abstractNum>
  <w:abstractNum w:abstractNumId="15">
    <w:nsid w:val="7BC330F5"/>
    <w:multiLevelType w:val="multilevel"/>
    <w:tmpl w:val="7BC330F5"/>
    <w:lvl w:ilvl="0" w:tentative="0">
      <w:start w:val="1"/>
      <w:numFmt w:val="bullet"/>
      <w:pStyle w:val="6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F547DFD"/>
    <w:multiLevelType w:val="singleLevel"/>
    <w:tmpl w:val="7F547DFD"/>
    <w:lvl w:ilvl="0" w:tentative="0">
      <w:start w:val="1"/>
      <w:numFmt w:val="bullet"/>
      <w:pStyle w:val="146"/>
      <w:lvlText w:val=""/>
      <w:lvlJc w:val="left"/>
      <w:pPr>
        <w:tabs>
          <w:tab w:val="left" w:pos="1418"/>
        </w:tabs>
        <w:ind w:left="1418" w:hanging="426"/>
      </w:pPr>
      <w:rPr>
        <w:rFonts w:hint="default" w:ascii="Wingdings" w:hAnsi="Wingdings"/>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92"/>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69"/>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6"/>
    <w:qFormat/>
    <w:uiPriority w:val="0"/>
    <w:pPr>
      <w:keepNext/>
      <w:numPr>
        <w:ilvl w:val="2"/>
        <w:numId w:val="1"/>
      </w:numPr>
      <w:spacing w:before="120"/>
      <w:outlineLvl w:val="2"/>
    </w:pPr>
    <w:rPr>
      <w:b/>
    </w:rPr>
  </w:style>
  <w:style w:type="paragraph" w:styleId="5">
    <w:name w:val="heading 4"/>
    <w:basedOn w:val="1"/>
    <w:next w:val="1"/>
    <w:link w:val="170"/>
    <w:qFormat/>
    <w:uiPriority w:val="0"/>
    <w:pPr>
      <w:keepNext/>
      <w:numPr>
        <w:ilvl w:val="3"/>
        <w:numId w:val="1"/>
      </w:numPr>
      <w:spacing w:before="240" w:after="60"/>
      <w:outlineLvl w:val="3"/>
    </w:pPr>
    <w:rPr>
      <w:b/>
      <w:bCs/>
      <w:sz w:val="28"/>
      <w:szCs w:val="28"/>
    </w:rPr>
  </w:style>
  <w:style w:type="paragraph" w:styleId="6">
    <w:name w:val="heading 5"/>
    <w:basedOn w:val="1"/>
    <w:next w:val="1"/>
    <w:link w:val="171"/>
    <w:qFormat/>
    <w:uiPriority w:val="0"/>
    <w:pPr>
      <w:numPr>
        <w:ilvl w:val="4"/>
        <w:numId w:val="1"/>
      </w:numPr>
      <w:spacing w:before="240" w:after="60"/>
      <w:outlineLvl w:val="4"/>
    </w:pPr>
    <w:rPr>
      <w:b/>
      <w:bCs/>
      <w:i/>
      <w:iCs/>
      <w:sz w:val="26"/>
      <w:szCs w:val="26"/>
    </w:rPr>
  </w:style>
  <w:style w:type="paragraph" w:styleId="7">
    <w:name w:val="heading 6"/>
    <w:basedOn w:val="1"/>
    <w:next w:val="1"/>
    <w:link w:val="172"/>
    <w:qFormat/>
    <w:uiPriority w:val="0"/>
    <w:pPr>
      <w:numPr>
        <w:ilvl w:val="5"/>
        <w:numId w:val="1"/>
      </w:numPr>
      <w:spacing w:before="240" w:after="60"/>
      <w:outlineLvl w:val="5"/>
    </w:pPr>
    <w:rPr>
      <w:b/>
      <w:bCs/>
    </w:rPr>
  </w:style>
  <w:style w:type="paragraph" w:styleId="8">
    <w:name w:val="heading 7"/>
    <w:basedOn w:val="1"/>
    <w:next w:val="1"/>
    <w:link w:val="173"/>
    <w:qFormat/>
    <w:uiPriority w:val="0"/>
    <w:pPr>
      <w:numPr>
        <w:ilvl w:val="6"/>
        <w:numId w:val="1"/>
      </w:numPr>
      <w:spacing w:before="240" w:after="60"/>
      <w:outlineLvl w:val="6"/>
    </w:pPr>
    <w:rPr>
      <w:sz w:val="24"/>
      <w:szCs w:val="24"/>
    </w:rPr>
  </w:style>
  <w:style w:type="paragraph" w:styleId="9">
    <w:name w:val="heading 8"/>
    <w:basedOn w:val="1"/>
    <w:next w:val="1"/>
    <w:link w:val="174"/>
    <w:qFormat/>
    <w:uiPriority w:val="0"/>
    <w:pPr>
      <w:numPr>
        <w:ilvl w:val="7"/>
        <w:numId w:val="1"/>
      </w:numPr>
      <w:spacing w:before="240" w:after="60"/>
      <w:outlineLvl w:val="7"/>
    </w:pPr>
    <w:rPr>
      <w:i/>
      <w:iCs/>
      <w:sz w:val="24"/>
      <w:szCs w:val="24"/>
    </w:rPr>
  </w:style>
  <w:style w:type="paragraph" w:styleId="10">
    <w:name w:val="heading 9"/>
    <w:basedOn w:val="1"/>
    <w:next w:val="1"/>
    <w:link w:val="175"/>
    <w:qFormat/>
    <w:uiPriority w:val="0"/>
    <w:pPr>
      <w:numPr>
        <w:ilvl w:val="8"/>
        <w:numId w:val="1"/>
      </w:numPr>
      <w:spacing w:before="240" w:after="60"/>
      <w:outlineLvl w:val="8"/>
    </w:pPr>
    <w:rPr>
      <w:rFonts w:ascii="Arial" w:hAnsi="Arial"/>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80"/>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79"/>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6"/>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8"/>
    <w:qFormat/>
    <w:uiPriority w:val="99"/>
    <w:pPr>
      <w:jc w:val="center"/>
    </w:pPr>
    <w:rPr>
      <w:b/>
      <w:bCs/>
      <w:sz w:val="20"/>
      <w:szCs w:val="20"/>
    </w:rPr>
  </w:style>
  <w:style w:type="paragraph" w:styleId="28">
    <w:name w:val="Document Map"/>
    <w:basedOn w:val="1"/>
    <w:link w:val="73"/>
    <w:qFormat/>
    <w:uiPriority w:val="99"/>
    <w:rPr>
      <w:rFonts w:ascii="Tahoma" w:hAnsi="Tahoma"/>
      <w:sz w:val="16"/>
      <w:szCs w:val="16"/>
    </w:rPr>
  </w:style>
  <w:style w:type="paragraph" w:styleId="29">
    <w:name w:val="annotation text"/>
    <w:basedOn w:val="1"/>
    <w:link w:val="74"/>
    <w:qFormat/>
    <w:uiPriority w:val="99"/>
    <w:rPr>
      <w:sz w:val="20"/>
      <w:szCs w:val="20"/>
    </w:rPr>
  </w:style>
  <w:style w:type="paragraph" w:styleId="30">
    <w:name w:val="Body Text"/>
    <w:basedOn w:val="1"/>
    <w:link w:val="133"/>
    <w:qFormat/>
    <w:uiPriority w:val="0"/>
    <w:rPr>
      <w:sz w:val="20"/>
      <w:szCs w:val="20"/>
    </w:rPr>
  </w:style>
  <w:style w:type="paragraph" w:styleId="31">
    <w:name w:val="Plain Text"/>
    <w:basedOn w:val="1"/>
    <w:link w:val="89"/>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0"/>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5"/>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183"/>
    <w:semiHidden/>
    <w:qFormat/>
    <w:uiPriority w:val="99"/>
    <w:rPr>
      <w:rFonts w:ascii="Tahoma" w:hAnsi="Tahoma"/>
      <w:sz w:val="16"/>
      <w:szCs w:val="16"/>
    </w:rPr>
  </w:style>
  <w:style w:type="paragraph" w:styleId="37">
    <w:name w:val="footer"/>
    <w:basedOn w:val="1"/>
    <w:link w:val="70"/>
    <w:qFormat/>
    <w:uiPriority w:val="0"/>
    <w:pPr>
      <w:tabs>
        <w:tab w:val="center" w:pos="4680"/>
        <w:tab w:val="right" w:pos="9360"/>
      </w:tabs>
    </w:pPr>
  </w:style>
  <w:style w:type="paragraph" w:styleId="38">
    <w:name w:val="header"/>
    <w:basedOn w:val="1"/>
    <w:link w:val="69"/>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7"/>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6"/>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7"/>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5"/>
    <w:qFormat/>
    <w:uiPriority w:val="99"/>
    <w:rPr>
      <w:b/>
      <w:bCs/>
    </w:rPr>
  </w:style>
  <w:style w:type="table" w:styleId="52">
    <w:name w:val="Table Grid"/>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paragraph" w:customStyle="1" w:styleId="60">
    <w:name w:val="Normal."/>
    <w:qFormat/>
    <w:uiPriority w:val="0"/>
    <w:pPr>
      <w:widowControl w:val="0"/>
      <w:spacing w:after="160" w:line="180" w:lineRule="atLeast"/>
      <w:jc w:val="both"/>
    </w:pPr>
    <w:rPr>
      <w:rFonts w:ascii="Times New Roman" w:hAnsi="Times New Roman" w:eastAsia="Batang" w:cs="Times New Roman"/>
      <w:kern w:val="2"/>
      <w:sz w:val="18"/>
      <w:szCs w:val="18"/>
      <w:lang w:val="en-US" w:eastAsia="en-US" w:bidi="ar-SA"/>
    </w:rPr>
  </w:style>
  <w:style w:type="paragraph" w:customStyle="1" w:styleId="61">
    <w:name w:val="EX"/>
    <w:basedOn w:val="1"/>
    <w:qFormat/>
    <w:uiPriority w:val="0"/>
    <w:pPr>
      <w:keepLines/>
      <w:autoSpaceDE/>
      <w:autoSpaceDN/>
      <w:adjustRightInd/>
      <w:spacing w:after="180"/>
      <w:ind w:left="1702" w:hanging="1418"/>
    </w:pPr>
    <w:rPr>
      <w:sz w:val="20"/>
      <w:szCs w:val="20"/>
      <w:lang w:val="en-GB"/>
    </w:rPr>
  </w:style>
  <w:style w:type="paragraph" w:customStyle="1" w:styleId="62">
    <w:name w:val="References"/>
    <w:basedOn w:val="1"/>
    <w:next w:val="1"/>
    <w:qFormat/>
    <w:uiPriority w:val="0"/>
    <w:pPr>
      <w:numPr>
        <w:ilvl w:val="0"/>
        <w:numId w:val="2"/>
      </w:numPr>
      <w:adjustRightInd/>
      <w:spacing w:after="60"/>
    </w:pPr>
    <w:rPr>
      <w:sz w:val="20"/>
      <w:szCs w:val="16"/>
    </w:rPr>
  </w:style>
  <w:style w:type="paragraph" w:customStyle="1" w:styleId="63">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4">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5">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6">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8">
    <w:name w:val="Caption Char"/>
    <w:link w:val="27"/>
    <w:qFormat/>
    <w:uiPriority w:val="0"/>
    <w:rPr>
      <w:b/>
      <w:bCs/>
      <w:lang w:eastAsia="en-US"/>
    </w:rPr>
  </w:style>
  <w:style w:type="character" w:customStyle="1" w:styleId="69">
    <w:name w:val="Header Char"/>
    <w:link w:val="38"/>
    <w:qFormat/>
    <w:uiPriority w:val="0"/>
    <w:rPr>
      <w:sz w:val="22"/>
      <w:szCs w:val="22"/>
    </w:rPr>
  </w:style>
  <w:style w:type="character" w:customStyle="1" w:styleId="70">
    <w:name w:val="Footer Char"/>
    <w:link w:val="37"/>
    <w:qFormat/>
    <w:uiPriority w:val="0"/>
    <w:rPr>
      <w:sz w:val="22"/>
      <w:szCs w:val="22"/>
    </w:rPr>
  </w:style>
  <w:style w:type="paragraph" w:customStyle="1" w:styleId="71">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2">
    <w:name w:val="List Paragraph"/>
    <w:basedOn w:val="1"/>
    <w:link w:val="187"/>
    <w:qFormat/>
    <w:uiPriority w:val="34"/>
    <w:pPr>
      <w:autoSpaceDE/>
      <w:autoSpaceDN/>
      <w:adjustRightInd/>
      <w:spacing w:after="0"/>
      <w:ind w:left="720"/>
    </w:pPr>
    <w:rPr>
      <w:rFonts w:ascii="Calibri" w:hAnsi="Calibri"/>
    </w:rPr>
  </w:style>
  <w:style w:type="character" w:customStyle="1" w:styleId="73">
    <w:name w:val="Document Map Char"/>
    <w:link w:val="28"/>
    <w:qFormat/>
    <w:uiPriority w:val="99"/>
    <w:rPr>
      <w:rFonts w:ascii="Tahoma" w:hAnsi="Tahoma" w:cs="Tahoma"/>
      <w:sz w:val="16"/>
      <w:szCs w:val="16"/>
    </w:rPr>
  </w:style>
  <w:style w:type="character" w:customStyle="1" w:styleId="74">
    <w:name w:val="Comment Text Char"/>
    <w:basedOn w:val="53"/>
    <w:link w:val="29"/>
    <w:qFormat/>
    <w:uiPriority w:val="99"/>
  </w:style>
  <w:style w:type="character" w:customStyle="1" w:styleId="75">
    <w:name w:val="Comment Subject Char"/>
    <w:link w:val="50"/>
    <w:qFormat/>
    <w:uiPriority w:val="99"/>
    <w:rPr>
      <w:b/>
      <w:bCs/>
    </w:rPr>
  </w:style>
  <w:style w:type="paragraph" w:customStyle="1" w:styleId="76">
    <w:name w:val="Revision1"/>
    <w:hidden/>
    <w:semiHidden/>
    <w:qFormat/>
    <w:uiPriority w:val="99"/>
    <w:pPr>
      <w:spacing w:after="160" w:line="259" w:lineRule="auto"/>
      <w:jc w:val="both"/>
    </w:pPr>
    <w:rPr>
      <w:rFonts w:ascii="Times New Roman" w:hAnsi="Times New Roman" w:cs="Times New Roman" w:eastAsiaTheme="minorEastAsia"/>
      <w:sz w:val="22"/>
      <w:szCs w:val="22"/>
      <w:lang w:val="en-GB" w:eastAsia="en-US" w:bidi="ar-SA"/>
    </w:rPr>
  </w:style>
  <w:style w:type="character" w:customStyle="1" w:styleId="77">
    <w:name w:val="Title Char"/>
    <w:link w:val="49"/>
    <w:qFormat/>
    <w:uiPriority w:val="0"/>
    <w:rPr>
      <w:rFonts w:ascii="Cambria" w:hAnsi="Cambria" w:cs="Times New Roman"/>
      <w:b/>
      <w:bCs/>
      <w:sz w:val="32"/>
      <w:szCs w:val="32"/>
      <w:lang w:eastAsia="en-US"/>
    </w:rPr>
  </w:style>
  <w:style w:type="paragraph" w:customStyle="1" w:styleId="78">
    <w:name w:val="TAL"/>
    <w:basedOn w:val="1"/>
    <w:link w:val="79"/>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79">
    <w:name w:val="TAL Car"/>
    <w:link w:val="78"/>
    <w:qFormat/>
    <w:uiPriority w:val="0"/>
    <w:rPr>
      <w:rFonts w:ascii="Arial" w:hAnsi="Arial" w:eastAsia="Times New Roman" w:cs="Arial"/>
      <w:sz w:val="18"/>
      <w:szCs w:val="18"/>
      <w:lang w:eastAsia="ja-JP"/>
    </w:rPr>
  </w:style>
  <w:style w:type="paragraph" w:customStyle="1" w:styleId="80">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1">
    <w:name w:val="figure"/>
    <w:basedOn w:val="1"/>
    <w:qFormat/>
    <w:uiPriority w:val="0"/>
    <w:pPr>
      <w:keepNext/>
      <w:jc w:val="center"/>
    </w:pPr>
  </w:style>
  <w:style w:type="paragraph" w:customStyle="1" w:styleId="82">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3">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4">
    <w:name w:val="word_other"/>
    <w:basedOn w:val="53"/>
    <w:qFormat/>
    <w:uiPriority w:val="0"/>
  </w:style>
  <w:style w:type="paragraph" w:customStyle="1" w:styleId="85">
    <w:name w:val="Tablecell"/>
    <w:basedOn w:val="1"/>
    <w:qFormat/>
    <w:uiPriority w:val="0"/>
    <w:pPr>
      <w:widowControl w:val="0"/>
      <w:spacing w:before="40" w:after="40"/>
    </w:pPr>
    <w:rPr>
      <w:sz w:val="20"/>
    </w:rPr>
  </w:style>
  <w:style w:type="paragraph" w:customStyle="1" w:styleId="86">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7">
    <w:name w:val="Placeholder Text"/>
    <w:semiHidden/>
    <w:qFormat/>
    <w:uiPriority w:val="99"/>
    <w:rPr>
      <w:color w:val="808080"/>
    </w:rPr>
  </w:style>
  <w:style w:type="character" w:customStyle="1" w:styleId="88">
    <w:name w:val="apple-converted-space"/>
    <w:basedOn w:val="53"/>
    <w:qFormat/>
    <w:uiPriority w:val="0"/>
  </w:style>
  <w:style w:type="character" w:customStyle="1" w:styleId="89">
    <w:name w:val="Plain Text Char"/>
    <w:link w:val="31"/>
    <w:qFormat/>
    <w:uiPriority w:val="0"/>
    <w:rPr>
      <w:rFonts w:ascii="Consolas" w:hAnsi="Consolas" w:eastAsia="Calibri" w:cs="Consolas"/>
      <w:sz w:val="21"/>
      <w:szCs w:val="21"/>
    </w:rPr>
  </w:style>
  <w:style w:type="paragraph" w:customStyle="1" w:styleId="90">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1">
    <w:name w:val="No Spacing"/>
    <w:qFormat/>
    <w:uiPriority w:val="1"/>
    <w:pPr>
      <w:spacing w:after="160" w:line="259" w:lineRule="auto"/>
      <w:jc w:val="both"/>
    </w:pPr>
    <w:rPr>
      <w:rFonts w:ascii="Times New Roman" w:hAnsi="Times New Roman" w:eastAsia="MS Mincho" w:cs="Times New Roman"/>
      <w:lang w:val="en-US" w:eastAsia="en-US" w:bidi="ar-SA"/>
    </w:rPr>
  </w:style>
  <w:style w:type="character" w:customStyle="1" w:styleId="92">
    <w:name w:val="Heading 1 Char"/>
    <w:link w:val="2"/>
    <w:qFormat/>
    <w:uiPriority w:val="0"/>
    <w:rPr>
      <w:rFonts w:ascii="Arial" w:hAnsi="Arial" w:eastAsia="Times New Roman" w:cs="Arial"/>
      <w:sz w:val="36"/>
      <w:szCs w:val="36"/>
      <w:lang w:val="en-GB"/>
    </w:rPr>
  </w:style>
  <w:style w:type="paragraph" w:customStyle="1" w:styleId="93">
    <w:name w:val="B1"/>
    <w:basedOn w:val="22"/>
    <w:link w:val="94"/>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4">
    <w:name w:val="B1 Char1"/>
    <w:link w:val="93"/>
    <w:qFormat/>
    <w:uiPriority w:val="0"/>
    <w:rPr>
      <w:rFonts w:eastAsia="Times New Roman"/>
      <w:lang w:val="en-GB" w:eastAsia="en-GB"/>
    </w:rPr>
  </w:style>
  <w:style w:type="paragraph" w:customStyle="1" w:styleId="95">
    <w:name w:val="B2"/>
    <w:basedOn w:val="12"/>
    <w:link w:val="202"/>
    <w:qFormat/>
    <w:uiPriority w:val="99"/>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6">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7">
    <w:name w:val="ZGSM"/>
    <w:qFormat/>
    <w:uiPriority w:val="0"/>
  </w:style>
  <w:style w:type="paragraph" w:customStyle="1" w:styleId="9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Times New Roman" w:cs="Times New Roman"/>
      <w:sz w:val="32"/>
      <w:lang w:val="en-GB" w:eastAsia="en-GB" w:bidi="ar-SA"/>
    </w:rPr>
  </w:style>
  <w:style w:type="paragraph" w:customStyle="1" w:styleId="99">
    <w:name w:val="TT"/>
    <w:basedOn w:val="2"/>
    <w:next w:val="1"/>
    <w:qFormat/>
    <w:uiPriority w:val="0"/>
    <w:pPr>
      <w:ind w:left="1134" w:hanging="1134"/>
      <w:outlineLvl w:val="9"/>
    </w:pPr>
    <w:rPr>
      <w:b/>
      <w:bCs/>
      <w:szCs w:val="20"/>
      <w:lang w:eastAsia="en-GB"/>
    </w:rPr>
  </w:style>
  <w:style w:type="paragraph" w:customStyle="1" w:styleId="100">
    <w:name w:val="NF"/>
    <w:basedOn w:val="101"/>
    <w:qFormat/>
    <w:uiPriority w:val="0"/>
  </w:style>
  <w:style w:type="paragraph" w:customStyle="1" w:styleId="101">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2">
    <w:name w:val="PL"/>
    <w:link w:val="17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paragraph" w:customStyle="1" w:styleId="103">
    <w:name w:val="TAR"/>
    <w:basedOn w:val="78"/>
    <w:qFormat/>
    <w:uiPriority w:val="0"/>
    <w:pPr>
      <w:jc w:val="right"/>
    </w:pPr>
    <w:rPr>
      <w:szCs w:val="20"/>
      <w:lang w:val="en-GB" w:eastAsia="en-GB"/>
    </w:rPr>
  </w:style>
  <w:style w:type="paragraph" w:customStyle="1" w:styleId="104">
    <w:name w:val="TAC"/>
    <w:basedOn w:val="78"/>
    <w:link w:val="198"/>
    <w:qFormat/>
    <w:uiPriority w:val="0"/>
    <w:pPr>
      <w:jc w:val="center"/>
    </w:pPr>
    <w:rPr>
      <w:szCs w:val="20"/>
      <w:lang w:val="en-GB" w:eastAsia="en-GB"/>
    </w:rPr>
  </w:style>
  <w:style w:type="paragraph" w:customStyle="1" w:styleId="105">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Times New Roman" w:cs="Times New Roman"/>
      <w:lang w:val="en-GB" w:eastAsia="en-GB" w:bidi="ar-SA"/>
    </w:rPr>
  </w:style>
  <w:style w:type="paragraph" w:customStyle="1" w:styleId="106">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7">
    <w:name w:val="NW"/>
    <w:basedOn w:val="101"/>
    <w:qFormat/>
    <w:uiPriority w:val="0"/>
  </w:style>
  <w:style w:type="paragraph" w:customStyle="1" w:styleId="108">
    <w:name w:val="EW"/>
    <w:basedOn w:val="61"/>
    <w:qFormat/>
    <w:uiPriority w:val="0"/>
  </w:style>
  <w:style w:type="paragraph" w:customStyle="1" w:styleId="109">
    <w:name w:val="Editor's Note"/>
    <w:basedOn w:val="101"/>
    <w:qFormat/>
    <w:uiPriority w:val="0"/>
  </w:style>
  <w:style w:type="paragraph" w:customStyle="1" w:styleId="110">
    <w:name w:val="TH"/>
    <w:basedOn w:val="1"/>
    <w:link w:val="111"/>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1">
    <w:name w:val="TH Char"/>
    <w:link w:val="110"/>
    <w:qFormat/>
    <w:uiPriority w:val="0"/>
    <w:rPr>
      <w:rFonts w:ascii="Arial" w:hAnsi="Arial" w:eastAsia="Times New Roman"/>
      <w:b/>
      <w:lang w:val="en-GB" w:eastAsia="en-GB"/>
    </w:rPr>
  </w:style>
  <w:style w:type="paragraph" w:customStyle="1" w:styleId="11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6">
    <w:name w:val="TAN"/>
    <w:basedOn w:val="78"/>
    <w:qFormat/>
    <w:uiPriority w:val="0"/>
    <w:pPr>
      <w:ind w:left="851" w:hanging="851"/>
    </w:pPr>
    <w:rPr>
      <w:szCs w:val="20"/>
      <w:lang w:val="en-GB" w:eastAsia="en-GB"/>
    </w:rPr>
  </w:style>
  <w:style w:type="paragraph" w:customStyle="1" w:styleId="117">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Times New Roman" w:cs="Times New Roman"/>
      <w:lang w:val="en-GB" w:eastAsia="en-GB" w:bidi="ar-SA"/>
    </w:rPr>
  </w:style>
  <w:style w:type="paragraph" w:customStyle="1" w:styleId="118">
    <w:name w:val="TF"/>
    <w:basedOn w:val="110"/>
    <w:qFormat/>
    <w:uiPriority w:val="0"/>
    <w:pPr>
      <w:keepNext w:val="0"/>
      <w:spacing w:before="0" w:after="240"/>
    </w:pPr>
  </w:style>
  <w:style w:type="paragraph" w:customStyle="1" w:styleId="11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0">
    <w:name w:val="B3"/>
    <w:basedOn w:val="11"/>
    <w:link w:val="181"/>
    <w:qFormat/>
    <w:uiPriority w:val="0"/>
  </w:style>
  <w:style w:type="paragraph" w:customStyle="1" w:styleId="121">
    <w:name w:val="B4"/>
    <w:basedOn w:val="42"/>
    <w:uiPriority w:val="0"/>
  </w:style>
  <w:style w:type="paragraph" w:customStyle="1" w:styleId="122">
    <w:name w:val="B5"/>
    <w:basedOn w:val="41"/>
    <w:qFormat/>
    <w:uiPriority w:val="0"/>
  </w:style>
  <w:style w:type="paragraph" w:customStyle="1" w:styleId="123">
    <w:name w:val="ZTD"/>
    <w:basedOn w:val="113"/>
    <w:qFormat/>
    <w:uiPriority w:val="0"/>
  </w:style>
  <w:style w:type="paragraph" w:customStyle="1" w:styleId="124">
    <w:name w:val="ZV"/>
    <w:basedOn w:val="115"/>
    <w:qFormat/>
    <w:uiPriority w:val="0"/>
  </w:style>
  <w:style w:type="paragraph" w:customStyle="1" w:styleId="125">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6">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7">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8">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29">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0">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1">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2">
    <w:name w:val="TAJ"/>
    <w:basedOn w:val="110"/>
    <w:qFormat/>
    <w:uiPriority w:val="0"/>
  </w:style>
  <w:style w:type="character" w:customStyle="1" w:styleId="133">
    <w:name w:val="Body Text Char"/>
    <w:link w:val="30"/>
    <w:qFormat/>
    <w:uiPriority w:val="0"/>
    <w:rPr>
      <w:lang w:eastAsia="en-US"/>
    </w:rPr>
  </w:style>
  <w:style w:type="paragraph" w:customStyle="1" w:styleId="134">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5">
    <w:name w:val="Body Text Indent 2 Char"/>
    <w:basedOn w:val="53"/>
    <w:link w:val="35"/>
    <w:qFormat/>
    <w:uiPriority w:val="0"/>
    <w:rPr>
      <w:rFonts w:eastAsia="Times New Roman"/>
      <w:kern w:val="2"/>
      <w:lang w:eastAsia="ja-JP"/>
    </w:rPr>
  </w:style>
  <w:style w:type="character" w:customStyle="1" w:styleId="136">
    <w:name w:val="Body Text Indent 3 Char"/>
    <w:basedOn w:val="53"/>
    <w:link w:val="43"/>
    <w:qFormat/>
    <w:uiPriority w:val="0"/>
    <w:rPr>
      <w:rFonts w:eastAsia="Times New Roman"/>
      <w:lang w:eastAsia="ja-JP"/>
    </w:rPr>
  </w:style>
  <w:style w:type="paragraph" w:customStyle="1" w:styleId="137">
    <w:name w:val="numbered list"/>
    <w:basedOn w:val="26"/>
    <w:qFormat/>
    <w:uiPriority w:val="0"/>
  </w:style>
  <w:style w:type="paragraph" w:customStyle="1" w:styleId="138">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39">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0">
    <w:name w:val="table text"/>
    <w:basedOn w:val="1"/>
    <w:next w:val="141"/>
    <w:qFormat/>
    <w:uiPriority w:val="0"/>
    <w:pPr>
      <w:overflowPunct w:val="0"/>
      <w:snapToGrid/>
      <w:spacing w:after="0"/>
      <w:textAlignment w:val="baseline"/>
    </w:pPr>
    <w:rPr>
      <w:rFonts w:eastAsia="MS Mincho"/>
      <w:i/>
      <w:sz w:val="20"/>
      <w:szCs w:val="20"/>
      <w:lang w:val="en-GB" w:eastAsia="en-GB"/>
    </w:rPr>
  </w:style>
  <w:style w:type="paragraph" w:customStyle="1" w:styleId="141">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2">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3">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4">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5">
    <w:name w:val="text intend 1"/>
    <w:basedOn w:val="143"/>
    <w:qFormat/>
    <w:uiPriority w:val="0"/>
    <w:pPr>
      <w:widowControl/>
      <w:numPr>
        <w:ilvl w:val="0"/>
        <w:numId w:val="7"/>
      </w:numPr>
      <w:spacing w:after="120"/>
    </w:pPr>
    <w:rPr>
      <w:rFonts w:eastAsia="MS Mincho"/>
      <w:lang w:val="en-US"/>
    </w:rPr>
  </w:style>
  <w:style w:type="paragraph" w:customStyle="1" w:styleId="146">
    <w:name w:val="text intend 2"/>
    <w:basedOn w:val="143"/>
    <w:qFormat/>
    <w:uiPriority w:val="0"/>
    <w:pPr>
      <w:widowControl/>
      <w:numPr>
        <w:ilvl w:val="0"/>
        <w:numId w:val="8"/>
      </w:numPr>
      <w:spacing w:after="120"/>
    </w:pPr>
    <w:rPr>
      <w:rFonts w:eastAsia="MS Mincho"/>
      <w:lang w:val="en-US"/>
    </w:rPr>
  </w:style>
  <w:style w:type="paragraph" w:customStyle="1" w:styleId="147">
    <w:name w:val="text intend 3"/>
    <w:basedOn w:val="143"/>
    <w:qFormat/>
    <w:uiPriority w:val="0"/>
    <w:pPr>
      <w:widowControl/>
      <w:numPr>
        <w:ilvl w:val="0"/>
        <w:numId w:val="9"/>
      </w:numPr>
      <w:spacing w:after="120"/>
    </w:pPr>
    <w:rPr>
      <w:rFonts w:eastAsia="MS Mincho"/>
      <w:lang w:val="en-US"/>
    </w:rPr>
  </w:style>
  <w:style w:type="paragraph" w:customStyle="1" w:styleId="148">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49">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0">
    <w:name w:val="Date Char"/>
    <w:basedOn w:val="53"/>
    <w:link w:val="34"/>
    <w:qFormat/>
    <w:uiPriority w:val="0"/>
    <w:rPr>
      <w:rFonts w:eastAsia="Times New Roman"/>
      <w:lang w:val="en-GB" w:eastAsia="en-GB"/>
    </w:rPr>
  </w:style>
  <w:style w:type="paragraph" w:customStyle="1" w:styleId="151">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2">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3">
    <w:name w:val="CR Cover Page"/>
    <w:qFormat/>
    <w:uiPriority w:val="0"/>
    <w:pPr>
      <w:spacing w:after="120" w:line="259" w:lineRule="auto"/>
      <w:jc w:val="both"/>
    </w:pPr>
    <w:rPr>
      <w:rFonts w:ascii="Arial" w:hAnsi="Arial" w:eastAsia="MS Mincho" w:cs="Times New Roman"/>
      <w:lang w:val="en-GB" w:eastAsia="en-US" w:bidi="ar-SA"/>
    </w:rPr>
  </w:style>
  <w:style w:type="paragraph" w:customStyle="1" w:styleId="154">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5">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6">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8">
    <w:name w:val="Guidance Char"/>
    <w:qFormat/>
    <w:uiPriority w:val="0"/>
    <w:rPr>
      <w:i/>
      <w:color w:val="0000FF"/>
      <w:lang w:val="en-GB" w:eastAsia="ja-JP" w:bidi="ar-SA"/>
    </w:rPr>
  </w:style>
  <w:style w:type="paragraph" w:customStyle="1" w:styleId="159">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0">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1">
    <w:name w:val="h4 Char Char"/>
    <w:qFormat/>
    <w:uiPriority w:val="0"/>
    <w:rPr>
      <w:rFonts w:ascii="Arial" w:hAnsi="Arial"/>
      <w:sz w:val="24"/>
      <w:lang w:val="en-GB" w:eastAsia="ja-JP" w:bidi="ar-SA"/>
    </w:rPr>
  </w:style>
  <w:style w:type="table" w:customStyle="1" w:styleId="162">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4">
    <w:name w:val="B1 Zchn"/>
    <w:qFormat/>
    <w:uiPriority w:val="0"/>
    <w:rPr>
      <w:rFonts w:ascii="Times New Roman" w:hAnsi="Times New Roman" w:eastAsia="Times New Roman" w:cs="Times New Roman"/>
      <w:sz w:val="20"/>
      <w:szCs w:val="20"/>
      <w:lang w:val="en-GB" w:eastAsia="ko-KR"/>
    </w:rPr>
  </w:style>
  <w:style w:type="character" w:customStyle="1" w:styleId="165">
    <w:name w:val="Figure Caption1"/>
    <w:qFormat/>
    <w:uiPriority w:val="0"/>
    <w:rPr>
      <w:rFonts w:ascii="Arial" w:hAnsi="Arial" w:eastAsia="????" w:cs="Arial"/>
      <w:color w:val="0000FF"/>
      <w:kern w:val="2"/>
      <w:lang w:val="en-US" w:eastAsia="en-US" w:bidi="ar-SA"/>
    </w:rPr>
  </w:style>
  <w:style w:type="character" w:customStyle="1" w:styleId="166">
    <w:name w:val="Heading 3 Char"/>
    <w:link w:val="4"/>
    <w:qFormat/>
    <w:uiPriority w:val="0"/>
    <w:rPr>
      <w:b/>
      <w:sz w:val="22"/>
      <w:szCs w:val="22"/>
      <w:lang w:eastAsia="en-US"/>
    </w:rPr>
  </w:style>
  <w:style w:type="character" w:customStyle="1" w:styleId="167">
    <w:name w:val="Char Char5"/>
    <w:semiHidden/>
    <w:qFormat/>
    <w:uiPriority w:val="0"/>
    <w:rPr>
      <w:rFonts w:ascii="Times New Roman" w:hAnsi="Times New Roman"/>
      <w:lang w:eastAsia="en-US"/>
    </w:rPr>
  </w:style>
  <w:style w:type="character" w:customStyle="1" w:styleId="168">
    <w:name w:val="H1 Char1"/>
    <w:qFormat/>
    <w:uiPriority w:val="0"/>
    <w:rPr>
      <w:rFonts w:ascii="Arial" w:hAnsi="Arial" w:eastAsia="Times New Roman"/>
      <w:sz w:val="36"/>
    </w:rPr>
  </w:style>
  <w:style w:type="character" w:customStyle="1" w:styleId="169">
    <w:name w:val="Heading 2 Char"/>
    <w:link w:val="3"/>
    <w:qFormat/>
    <w:uiPriority w:val="0"/>
    <w:rPr>
      <w:rFonts w:ascii="Arial" w:hAnsi="Arial"/>
      <w:b/>
      <w:bCs/>
      <w:sz w:val="24"/>
      <w:szCs w:val="22"/>
      <w:lang w:val="en-GB"/>
    </w:rPr>
  </w:style>
  <w:style w:type="character" w:customStyle="1" w:styleId="170">
    <w:name w:val="Heading 4 Char"/>
    <w:link w:val="5"/>
    <w:qFormat/>
    <w:uiPriority w:val="0"/>
    <w:rPr>
      <w:b/>
      <w:bCs/>
      <w:sz w:val="28"/>
      <w:szCs w:val="28"/>
      <w:lang w:eastAsia="en-US"/>
    </w:rPr>
  </w:style>
  <w:style w:type="character" w:customStyle="1" w:styleId="171">
    <w:name w:val="Heading 5 Char"/>
    <w:link w:val="6"/>
    <w:qFormat/>
    <w:uiPriority w:val="0"/>
    <w:rPr>
      <w:b/>
      <w:bCs/>
      <w:i/>
      <w:iCs/>
      <w:sz w:val="26"/>
      <w:szCs w:val="26"/>
      <w:lang w:eastAsia="en-US"/>
    </w:rPr>
  </w:style>
  <w:style w:type="character" w:customStyle="1" w:styleId="172">
    <w:name w:val="Heading 6 Char"/>
    <w:link w:val="7"/>
    <w:qFormat/>
    <w:uiPriority w:val="0"/>
    <w:rPr>
      <w:b/>
      <w:bCs/>
      <w:sz w:val="22"/>
      <w:szCs w:val="22"/>
      <w:lang w:eastAsia="en-US"/>
    </w:rPr>
  </w:style>
  <w:style w:type="character" w:customStyle="1" w:styleId="173">
    <w:name w:val="Heading 7 Char"/>
    <w:link w:val="8"/>
    <w:qFormat/>
    <w:uiPriority w:val="0"/>
    <w:rPr>
      <w:sz w:val="24"/>
      <w:szCs w:val="24"/>
      <w:lang w:eastAsia="en-US"/>
    </w:rPr>
  </w:style>
  <w:style w:type="character" w:customStyle="1" w:styleId="174">
    <w:name w:val="Heading 8 Char"/>
    <w:link w:val="9"/>
    <w:qFormat/>
    <w:uiPriority w:val="0"/>
    <w:rPr>
      <w:i/>
      <w:iCs/>
      <w:sz w:val="24"/>
      <w:szCs w:val="24"/>
      <w:lang w:eastAsia="en-US"/>
    </w:rPr>
  </w:style>
  <w:style w:type="character" w:customStyle="1" w:styleId="175">
    <w:name w:val="Heading 9 Char"/>
    <w:link w:val="10"/>
    <w:qFormat/>
    <w:uiPriority w:val="0"/>
    <w:rPr>
      <w:rFonts w:ascii="Arial" w:hAnsi="Arial"/>
      <w:sz w:val="22"/>
      <w:szCs w:val="22"/>
      <w:lang w:eastAsia="en-US"/>
    </w:rPr>
  </w:style>
  <w:style w:type="character" w:customStyle="1" w:styleId="176">
    <w:name w:val="List Char"/>
    <w:link w:val="22"/>
    <w:qFormat/>
    <w:uiPriority w:val="0"/>
    <w:rPr>
      <w:sz w:val="22"/>
      <w:szCs w:val="22"/>
      <w:lang w:eastAsia="en-US"/>
    </w:rPr>
  </w:style>
  <w:style w:type="character" w:customStyle="1" w:styleId="177">
    <w:name w:val="Footnote Text Char"/>
    <w:link w:val="40"/>
    <w:qFormat/>
    <w:uiPriority w:val="99"/>
    <w:rPr>
      <w:lang w:eastAsia="en-US"/>
    </w:rPr>
  </w:style>
  <w:style w:type="character" w:customStyle="1" w:styleId="178">
    <w:name w:val="PL Char"/>
    <w:link w:val="102"/>
    <w:qFormat/>
    <w:locked/>
    <w:uiPriority w:val="0"/>
    <w:rPr>
      <w:rFonts w:ascii="Courier New" w:hAnsi="Courier New" w:eastAsia="Times New Roman"/>
      <w:sz w:val="16"/>
      <w:lang w:val="en-GB" w:eastAsia="en-GB" w:bidi="ar-SA"/>
    </w:rPr>
  </w:style>
  <w:style w:type="character" w:customStyle="1" w:styleId="179">
    <w:name w:val="List 2 Char"/>
    <w:link w:val="12"/>
    <w:qFormat/>
    <w:uiPriority w:val="0"/>
    <w:rPr>
      <w:sz w:val="22"/>
      <w:szCs w:val="22"/>
      <w:lang w:eastAsia="en-US"/>
    </w:rPr>
  </w:style>
  <w:style w:type="character" w:customStyle="1" w:styleId="180">
    <w:name w:val="List 3 Char"/>
    <w:link w:val="11"/>
    <w:qFormat/>
    <w:uiPriority w:val="0"/>
    <w:rPr>
      <w:rFonts w:eastAsia="Times New Roman"/>
      <w:lang w:val="en-GB" w:eastAsia="en-GB"/>
    </w:rPr>
  </w:style>
  <w:style w:type="character" w:customStyle="1" w:styleId="181">
    <w:name w:val="B3 Char"/>
    <w:link w:val="120"/>
    <w:qFormat/>
    <w:uiPriority w:val="0"/>
    <w:rPr>
      <w:rFonts w:eastAsia="Times New Roman"/>
      <w:lang w:val="en-GB" w:eastAsia="en-GB"/>
    </w:rPr>
  </w:style>
  <w:style w:type="paragraph" w:customStyle="1" w:styleId="182">
    <w:name w:val="tdoc-header"/>
    <w:qFormat/>
    <w:uiPriority w:val="0"/>
    <w:pPr>
      <w:spacing w:after="160" w:line="259" w:lineRule="auto"/>
      <w:jc w:val="both"/>
    </w:pPr>
    <w:rPr>
      <w:rFonts w:ascii="Arial" w:hAnsi="Arial" w:eastAsia="Times New Roman" w:cs="Times New Roman"/>
      <w:sz w:val="24"/>
      <w:lang w:val="en-GB" w:eastAsia="en-US" w:bidi="ar-SA"/>
    </w:rPr>
  </w:style>
  <w:style w:type="character" w:customStyle="1" w:styleId="183">
    <w:name w:val="Balloon Text Char"/>
    <w:link w:val="36"/>
    <w:semiHidden/>
    <w:qFormat/>
    <w:uiPriority w:val="99"/>
    <w:rPr>
      <w:rFonts w:ascii="Tahoma" w:hAnsi="Tahoma" w:cs="Tahoma"/>
      <w:sz w:val="16"/>
      <w:szCs w:val="16"/>
      <w:lang w:eastAsia="en-US"/>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Body Text 2 Char"/>
    <w:link w:val="45"/>
    <w:qFormat/>
    <w:uiPriority w:val="0"/>
    <w:rPr>
      <w:sz w:val="22"/>
      <w:lang w:eastAsia="en-US"/>
    </w:rPr>
  </w:style>
  <w:style w:type="character" w:customStyle="1" w:styleId="187">
    <w:name w:val="List Paragraph Char"/>
    <w:link w:val="72"/>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2"/>
    <w:link w:val="192"/>
    <w:qFormat/>
    <w:uiPriority w:val="0"/>
    <w:pPr>
      <w:widowControl w:val="0"/>
      <w:numPr>
        <w:ilvl w:val="0"/>
        <w:numId w:val="12"/>
      </w:numPr>
      <w:snapToGrid/>
      <w:spacing w:after="60"/>
      <w:contextualSpacing/>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pPr>
    <w:rPr>
      <w:rFonts w:eastAsia="宋体"/>
      <w:lang w:eastAsia="ja-JP"/>
    </w:rPr>
  </w:style>
  <w:style w:type="character" w:customStyle="1" w:styleId="198">
    <w:name w:val="TAC Char"/>
    <w:link w:val="104"/>
    <w:qFormat/>
    <w:locked/>
    <w:uiPriority w:val="0"/>
    <w:rPr>
      <w:rFonts w:ascii="Arial" w:hAnsi="Arial" w:eastAsia="Times New Roman"/>
      <w:sz w:val="18"/>
      <w:lang w:val="en-GB" w:eastAsia="en-GB"/>
    </w:rPr>
  </w:style>
  <w:style w:type="character" w:customStyle="1" w:styleId="199">
    <w:name w:val="TAH Car"/>
    <w:link w:val="80"/>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5"/>
    <w:qFormat/>
    <w:uiPriority w:val="99"/>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eastAsia="en-US"/>
    </w:rPr>
  </w:style>
  <w:style w:type="paragraph" w:customStyle="1" w:styleId="206">
    <w:name w:val="段落番号1"/>
    <w:basedOn w:val="2"/>
    <w:next w:val="1"/>
    <w:qFormat/>
    <w:uiPriority w:val="0"/>
    <w:pPr>
      <w:keepLines w:val="0"/>
      <w:widowControl w:val="0"/>
      <w:numPr>
        <w:ilvl w:val="0"/>
        <w:numId w:val="14"/>
      </w:numPr>
      <w:pBdr>
        <w:top w:val="none" w:color="auto" w:sz="0" w:space="0"/>
      </w:pBdr>
      <w:tabs>
        <w:tab w:val="clear" w:pos="709"/>
      </w:tabs>
      <w:overflowPunct/>
      <w:autoSpaceDE/>
      <w:autoSpaceDN/>
      <w:adjustRightInd/>
      <w:spacing w:before="0" w:after="0" w:afterLines="50" w:line="320" w:lineRule="exact"/>
      <w:ind w:left="100" w:hanging="100" w:hangingChars="100"/>
      <w:textAlignment w:val="auto"/>
    </w:pPr>
    <w:rPr>
      <w:rFonts w:ascii="Times New Roman" w:hAnsi="Times New Roman" w:eastAsia="MS Mincho" w:cs="Times New Roman"/>
      <w:kern w:val="2"/>
      <w:sz w:val="21"/>
      <w:szCs w:val="24"/>
      <w:lang w:val="en-US" w:eastAsia="ja-JP"/>
    </w:rPr>
  </w:style>
  <w:style w:type="paragraph" w:customStyle="1" w:styleId="207">
    <w:name w:val="段落番号2"/>
    <w:basedOn w:val="206"/>
    <w:next w:val="1"/>
    <w:qFormat/>
    <w:uiPriority w:val="0"/>
    <w:pPr>
      <w:numPr>
        <w:ilvl w:val="1"/>
      </w:numPr>
      <w:ind w:left="200" w:hanging="200" w:hangingChars="200"/>
    </w:pPr>
    <w:rPr>
      <w:rFonts w:eastAsia="MS PMincho"/>
    </w:rPr>
  </w:style>
  <w:style w:type="paragraph" w:customStyle="1" w:styleId="208">
    <w:name w:val="段落番号3"/>
    <w:basedOn w:val="206"/>
    <w:next w:val="1"/>
    <w:qFormat/>
    <w:uiPriority w:val="0"/>
    <w:pPr>
      <w:numPr>
        <w:ilvl w:val="2"/>
      </w:numPr>
      <w:ind w:left="250" w:hanging="250" w:hangingChars="250"/>
    </w:pPr>
  </w:style>
  <w:style w:type="character" w:customStyle="1" w:styleId="209">
    <w:name w:val="B1 (文字)"/>
    <w:qFormat/>
    <w:uiPriority w:val="0"/>
    <w:rPr>
      <w:rFonts w:eastAsia="Times New Roman"/>
      <w:lang w:val="en-GB" w:eastAsia="en-GB"/>
    </w:rPr>
  </w:style>
  <w:style w:type="character" w:customStyle="1" w:styleId="210">
    <w:name w:val="Caption Char3"/>
    <w:qFormat/>
    <w:uiPriority w:val="99"/>
    <w:rPr>
      <w:b/>
      <w:bCs/>
      <w:kern w:val="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FF952-314E-4D60-B208-60BBAECCC99B}">
  <ds:schemaRefs/>
</ds:datastoreItem>
</file>

<file path=customXml/itemProps3.xml><?xml version="1.0" encoding="utf-8"?>
<ds:datastoreItem xmlns:ds="http://schemas.openxmlformats.org/officeDocument/2006/customXml" ds:itemID="{2EA5BB1D-0954-4378-B8FC-A8DD43387491}">
  <ds:schemaRefs/>
</ds:datastoreItem>
</file>

<file path=customXml/itemProps4.xml><?xml version="1.0" encoding="utf-8"?>
<ds:datastoreItem xmlns:ds="http://schemas.openxmlformats.org/officeDocument/2006/customXml" ds:itemID="{24039131-D510-41CA-A1C6-6E8A5F278962}">
  <ds:schemaRefs/>
</ds:datastoreItem>
</file>

<file path=customXml/itemProps5.xml><?xml version="1.0" encoding="utf-8"?>
<ds:datastoreItem xmlns:ds="http://schemas.openxmlformats.org/officeDocument/2006/customXml" ds:itemID="{23CE51E5-DC66-4BC4-80FB-FDABB24DE3FC}">
  <ds:schemaRefs/>
</ds:datastoreItem>
</file>

<file path=customXml/itemProps6.xml><?xml version="1.0" encoding="utf-8"?>
<ds:datastoreItem xmlns:ds="http://schemas.openxmlformats.org/officeDocument/2006/customXml" ds:itemID="{BD9EDB82-E77B-4B24-9D12-866466ADD084}">
  <ds:schemaRefs/>
</ds:datastoreItem>
</file>

<file path=customXml/itemProps7.xml><?xml version="1.0" encoding="utf-8"?>
<ds:datastoreItem xmlns:ds="http://schemas.openxmlformats.org/officeDocument/2006/customXml" ds:itemID="{1E640F1E-C013-4EE6-A15D-DA8A6738DEAC}">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11</Pages>
  <Words>4137</Words>
  <Characters>23587</Characters>
  <Lines>196</Lines>
  <Paragraphs>55</Paragraphs>
  <TotalTime>0</TotalTime>
  <ScaleCrop>false</ScaleCrop>
  <LinksUpToDate>false</LinksUpToDate>
  <CharactersWithSpaces>27669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2021-01-26T01:16:00Z</dcterms:created>
  <dc:creator>lenovo</dc:creator>
  <cp:keywords>CTPClassification=CTP_NT</cp:keywords>
  <cp:lastModifiedBy>ZTE Yang Ling</cp:lastModifiedBy>
  <cp:lastPrinted>2016-08-12T06:06:00Z</cp:lastPrinted>
  <dcterms:modified xsi:type="dcterms:W3CDTF">2021-01-26T09:07:10Z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2052-11.8.2.9022</vt:lpwstr>
  </property>
</Properties>
</file>