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3.png" ContentType="image/png"/>
  <Override PartName="/word/media/image2.png" ContentType="image/png"/>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customXml/item4.xml" ContentType="application/xml"/>
  <Override PartName="/customXml/itemProps4.xml" ContentType="application/vnd.openxmlformats-officedocument.customXmlProperties+xml"/>
  <Override PartName="/customXml/item3.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Times New Roman" w:hAnsi="Times New Roman" w:cs="Times New Roman"/>
          <w:b/>
          <w:b/>
          <w:bCs/>
          <w:szCs w:val="18"/>
        </w:rPr>
      </w:pPr>
      <w:r>
        <w:rPr>
          <w:rFonts w:cs="Times New Roman" w:ascii="Times New Roman" w:hAnsi="Times New Roman"/>
          <w:b/>
          <w:bCs/>
          <w:position w:val="0"/>
          <w:szCs w:val="18"/>
        </w:rPr>
        <w:t xml:space="preserve">3GPP TSG RAN WG1 </w:t>
      </w:r>
      <w:r>
        <w:rPr>
          <w:rFonts w:cs="Times New Roman" w:ascii="Times New Roman" w:hAnsi="Times New Roman"/>
          <w:b/>
          <w:bCs/>
          <w:szCs w:val="18"/>
        </w:rPr>
        <w:t>1</w:t>
      </w:r>
      <w:bookmarkStart w:id="0" w:name="__DdeLink__715623_1465410877"/>
      <w:r>
        <w:rPr>
          <w:rFonts w:cs="Times New Roman" w:ascii="Times New Roman" w:hAnsi="Times New Roman"/>
          <w:b/>
          <w:bCs/>
          <w:szCs w:val="18"/>
        </w:rPr>
        <w:t>0</w:t>
      </w:r>
      <w:bookmarkEnd w:id="0"/>
      <w:r>
        <w:rPr>
          <w:rFonts w:cs="Times New Roman" w:ascii="Times New Roman" w:hAnsi="Times New Roman"/>
          <w:b/>
          <w:bCs/>
          <w:szCs w:val="18"/>
        </w:rPr>
        <w:t>4-e</w:t>
      </w:r>
      <w:r>
        <w:rPr>
          <w:rFonts w:cs="Times New Roman" w:ascii="Times New Roman" w:hAnsi="Times New Roman"/>
        </w:rPr>
        <w:tab/>
        <w:tab/>
        <w:tab/>
        <w:tab/>
        <w:tab/>
        <w:tab/>
      </w:r>
      <w:bookmarkStart w:id="1" w:name="lblTDocNumber"/>
      <w:bookmarkEnd w:id="1"/>
      <w:r>
        <w:rPr>
          <w:rFonts w:cs="Times New Roman" w:ascii="Times New Roman" w:hAnsi="Times New Roman"/>
          <w:b/>
          <w:bCs/>
          <w:szCs w:val="18"/>
        </w:rPr>
        <w:t>R1-</w:t>
      </w:r>
      <w:bookmarkStart w:id="2" w:name="__DdeLink__715912_1465410877"/>
      <w:bookmarkEnd w:id="2"/>
      <w:r>
        <w:rPr>
          <w:rFonts w:cs="Times New Roman" w:ascii="Times New Roman" w:hAnsi="Times New Roman"/>
          <w:b/>
          <w:bCs/>
          <w:szCs w:val="18"/>
        </w:rPr>
        <w:t>2101647</w:t>
      </w:r>
    </w:p>
    <w:p>
      <w:pPr>
        <w:pStyle w:val="Normal"/>
        <w:ind w:left="1988" w:hanging="1988"/>
        <w:jc w:val="both"/>
        <w:rPr/>
      </w:pPr>
      <w:r>
        <w:rPr>
          <w:rFonts w:cs="Times New Roman" w:ascii="Times New Roman" w:hAnsi="Times New Roman"/>
          <w:b/>
          <w:lang w:val="en-US"/>
        </w:rPr>
        <w:t>e-meeting, 25th Jan – 5th Feb 2021</w:t>
      </w:r>
    </w:p>
    <w:p>
      <w:pPr>
        <w:pStyle w:val="Normal"/>
        <w:ind w:left="1988" w:hanging="1988"/>
        <w:jc w:val="both"/>
        <w:rPr>
          <w:rFonts w:ascii="Times New Roman" w:hAnsi="Times New Roman" w:cs="Times New Roman"/>
          <w:b/>
          <w:b/>
          <w:lang w:val="en-US"/>
        </w:rPr>
      </w:pPr>
      <w:r>
        <w:rPr>
          <w:rFonts w:cs="Times New Roman" w:ascii="Times New Roman" w:hAnsi="Times New Roman"/>
          <w:b/>
          <w:lang w:val="en-US"/>
        </w:rPr>
      </w:r>
    </w:p>
    <w:p>
      <w:pPr>
        <w:pStyle w:val="Normal"/>
        <w:tabs>
          <w:tab w:val="left" w:pos="1985" w:leader="none"/>
        </w:tabs>
        <w:jc w:val="both"/>
        <w:rPr/>
      </w:pPr>
      <w:r>
        <w:rPr>
          <w:rFonts w:eastAsia="MS Mincho" w:cs="Times New Roman" w:ascii="Times New Roman" w:hAnsi="Times New Roman"/>
          <w:b/>
        </w:rPr>
        <w:t>Agenda item:</w:t>
      </w:r>
      <w:r>
        <w:rPr>
          <w:rFonts w:eastAsia="MS Mincho" w:cs="Times New Roman" w:ascii="Times New Roman" w:hAnsi="Times New Roman"/>
        </w:rPr>
        <w:tab/>
        <w:t>8.11.1.2</w:t>
      </w:r>
    </w:p>
    <w:p>
      <w:pPr>
        <w:pStyle w:val="Normal"/>
        <w:tabs>
          <w:tab w:val="left" w:pos="1985" w:leader="none"/>
        </w:tabs>
        <w:jc w:val="both"/>
        <w:rPr/>
      </w:pPr>
      <w:r>
        <w:rPr>
          <w:rFonts w:eastAsia="MS Mincho" w:cs="Times New Roman" w:ascii="Times New Roman" w:hAnsi="Times New Roman"/>
          <w:b/>
        </w:rPr>
        <w:t xml:space="preserve">Source: </w:t>
        <w:tab/>
      </w:r>
      <w:r>
        <w:rPr>
          <w:rFonts w:eastAsia="MS Mincho" w:cs="Times New Roman" w:ascii="Times New Roman" w:hAnsi="Times New Roman"/>
          <w:lang w:eastAsia="ja-JP"/>
        </w:rPr>
        <w:t>CEWiT</w:t>
      </w:r>
    </w:p>
    <w:p>
      <w:pPr>
        <w:pStyle w:val="Normal"/>
        <w:tabs>
          <w:tab w:val="left" w:pos="1985" w:leader="none"/>
        </w:tabs>
        <w:ind w:left="1980" w:hanging="1980"/>
        <w:jc w:val="both"/>
        <w:rPr/>
      </w:pPr>
      <w:r>
        <w:rPr>
          <w:rFonts w:eastAsia="MS Mincho" w:cs="Times New Roman" w:ascii="Times New Roman" w:hAnsi="Times New Roman"/>
          <w:b/>
        </w:rPr>
        <w:t>Title:</w:t>
      </w:r>
      <w:r>
        <w:rPr>
          <w:rFonts w:eastAsia="MS Mincho" w:cs="Times New Roman" w:ascii="Times New Roman" w:hAnsi="Times New Roman"/>
        </w:rPr>
        <w:t xml:space="preserve"> </w:t>
        <w:tab/>
        <w:t>Feasibility and benefits for NR Sidelink mode 2 enhancements</w:t>
      </w:r>
    </w:p>
    <w:p>
      <w:pPr>
        <w:pStyle w:val="Normal"/>
        <w:tabs>
          <w:tab w:val="left" w:pos="1985" w:leader="none"/>
        </w:tabs>
        <w:ind w:left="1980" w:hanging="1980"/>
        <w:jc w:val="both"/>
        <w:rPr/>
      </w:pPr>
      <w:r>
        <w:rPr>
          <w:rFonts w:eastAsia="MS Mincho" w:cs="Times New Roman" w:ascii="Times New Roman" w:hAnsi="Times New Roman"/>
          <w:b/>
        </w:rPr>
        <w:t>Document for:</w:t>
      </w:r>
      <w:r>
        <w:rPr>
          <w:rFonts w:eastAsia="MS Mincho" w:cs="Times New Roman" w:ascii="Times New Roman" w:hAnsi="Times New Roman"/>
        </w:rPr>
        <w:tab/>
        <w:t>Discussion and Decision</w:t>
      </w:r>
    </w:p>
    <w:p>
      <w:pPr>
        <w:pStyle w:val="3GPPH1"/>
        <w:numPr>
          <w:ilvl w:val="0"/>
          <w:numId w:val="1"/>
        </w:numPr>
        <w:tabs>
          <w:tab w:val="left" w:pos="425" w:leader="none"/>
          <w:tab w:val="left" w:pos="426" w:leader="none"/>
          <w:tab w:val="left" w:pos="1141" w:leader="none"/>
        </w:tabs>
        <w:ind w:left="425" w:hanging="425"/>
        <w:jc w:val="both"/>
        <w:rPr/>
      </w:pPr>
      <w:r>
        <w:rPr>
          <w:rFonts w:ascii="Times New Roman" w:hAnsi="Times New Roman"/>
          <w:b/>
          <w:bCs/>
          <w:sz w:val="32"/>
          <w:szCs w:val="16"/>
        </w:rPr>
        <w:t>Introduction</w:t>
      </w:r>
    </w:p>
    <w:p>
      <w:pPr>
        <w:pStyle w:val="3GPPText"/>
        <w:jc w:val="both"/>
        <w:rPr/>
      </w:pPr>
      <w:r>
        <w:rPr>
          <w:rFonts w:cs="Times New Roman" w:ascii="Times New Roman" w:hAnsi="Times New Roman"/>
        </w:rPr>
        <w:t>The RAN WG approved study item on NR Sidelink Enhancements [1]. The study item includes the following objective:</w:t>
      </w:r>
    </w:p>
    <w:tbl>
      <w:tblPr>
        <w:tblStyle w:val="TableGrid"/>
        <w:tblW w:w="9628" w:type="dxa"/>
        <w:jc w:val="left"/>
        <w:tblInd w:w="-25" w:type="dxa"/>
        <w:tblCellMar>
          <w:top w:w="0" w:type="dxa"/>
          <w:left w:w="83" w:type="dxa"/>
          <w:bottom w:w="0" w:type="dxa"/>
          <w:right w:w="108" w:type="dxa"/>
        </w:tblCellMar>
        <w:tblLook w:val="04a0" w:noVBand="1" w:noHBand="0" w:firstRow="1" w:lastRow="0" w:firstColumn="1" w:lastColumn="0"/>
      </w:tblPr>
      <w:tblGrid>
        <w:gridCol w:w="9628"/>
      </w:tblGrid>
      <w:tr>
        <w:trPr/>
        <w:tc>
          <w:tcPr>
            <w:tcW w:w="9628" w:type="dxa"/>
            <w:tcBorders/>
            <w:shd w:color="auto" w:fill="auto" w:val="clear"/>
            <w:tcMar>
              <w:left w:w="83" w:type="dxa"/>
            </w:tcMar>
          </w:tcPr>
          <w:p>
            <w:pPr>
              <w:pStyle w:val="Normal"/>
              <w:widowControl w:val="false"/>
              <w:numPr>
                <w:ilvl w:val="0"/>
                <w:numId w:val="2"/>
              </w:numPr>
              <w:suppressAutoHyphens w:val="false"/>
              <w:spacing w:before="0" w:after="120"/>
              <w:ind w:left="318" w:hanging="318"/>
              <w:jc w:val="both"/>
              <w:textAlignment w:val="baseline"/>
              <w:rPr/>
            </w:pPr>
            <w:r>
              <w:rPr>
                <w:rFonts w:eastAsia="" w:cs="Times New Roman" w:ascii="Times New Roman" w:hAnsi="Times New Roman" w:eastAsiaTheme="minorEastAsia"/>
                <w:szCs w:val="22"/>
                <w:lang w:val="en-US" w:eastAsia="ko-KR" w:bidi="ar-SA"/>
              </w:rPr>
              <w:t>Study the feasibility and benefit of the enhancement(s) in mode 2 for enhanced reliability and reduced latency in consideration of both PRR and PIR defined in TR37.885 (by RAN#91), and specify the identified solution if deemed feasible and beneficial [RAN1, RAN2]</w:t>
            </w:r>
          </w:p>
          <w:p>
            <w:pPr>
              <w:pStyle w:val="Normal"/>
              <w:widowControl w:val="false"/>
              <w:numPr>
                <w:ilvl w:val="1"/>
                <w:numId w:val="3"/>
              </w:numPr>
              <w:suppressAutoHyphens w:val="false"/>
              <w:spacing w:before="0" w:after="120"/>
              <w:ind w:left="601" w:hanging="283"/>
              <w:jc w:val="both"/>
              <w:textAlignment w:val="baseline"/>
              <w:rPr/>
            </w:pPr>
            <w:r>
              <w:rPr>
                <w:rFonts w:eastAsia="" w:cs="Times New Roman" w:ascii="Times New Roman" w:hAnsi="Times New Roman" w:eastAsiaTheme="minorEastAsia"/>
                <w:szCs w:val="22"/>
                <w:lang w:val="en-US" w:eastAsia="ko-KR" w:bidi="ar-SA"/>
              </w:rPr>
              <w:t xml:space="preserve">Inter-UE coordination with the following </w:t>
            </w:r>
          </w:p>
          <w:p>
            <w:pPr>
              <w:pStyle w:val="ListParagraph"/>
              <w:widowControl w:val="false"/>
              <w:numPr>
                <w:ilvl w:val="0"/>
                <w:numId w:val="4"/>
              </w:numPr>
              <w:suppressAutoHyphens w:val="false"/>
              <w:spacing w:before="0" w:after="180"/>
              <w:ind w:left="882" w:hanging="284"/>
              <w:jc w:val="both"/>
              <w:rPr/>
            </w:pPr>
            <w:r>
              <w:rPr>
                <w:rFonts w:eastAsia="" w:cs="Times New Roman" w:ascii="Times New Roman" w:hAnsi="Times New Roman" w:eastAsiaTheme="minorEastAsia"/>
                <w:szCs w:val="22"/>
                <w:lang w:val="en-US" w:eastAsia="ko-KR" w:bidi="ar-SA"/>
              </w:rPr>
              <w:t>A set of resources is determined at UE-A. This set is sent to UE-B in mode 2, and UE-B takes this into account in the resource selection for its own transmission.</w:t>
            </w:r>
          </w:p>
          <w:p>
            <w:pPr>
              <w:pStyle w:val="Normal"/>
              <w:widowControl w:val="false"/>
              <w:numPr>
                <w:ilvl w:val="1"/>
                <w:numId w:val="3"/>
              </w:numPr>
              <w:suppressAutoHyphens w:val="false"/>
              <w:spacing w:before="0" w:after="120"/>
              <w:ind w:left="601" w:hanging="283"/>
              <w:jc w:val="both"/>
              <w:textAlignment w:val="baseline"/>
              <w:rPr/>
            </w:pPr>
            <w:r>
              <w:rPr>
                <w:rFonts w:eastAsia="" w:cs="Times New Roman" w:ascii="Times New Roman" w:hAnsi="Times New Roman" w:eastAsiaTheme="minorEastAsia"/>
                <w:szCs w:val="22"/>
                <w:lang w:val="en-US" w:eastAsia="ko-KR" w:bidi="ar-SA"/>
              </w:rPr>
              <w:t>Note: The solution should be able to operate in-coverage, partial coverage, and out-of-coverage and to address consecutive packet loss in all coverage scenarios.</w:t>
            </w:r>
          </w:p>
          <w:p>
            <w:pPr>
              <w:pStyle w:val="Normal"/>
              <w:widowControl w:val="false"/>
              <w:numPr>
                <w:ilvl w:val="1"/>
                <w:numId w:val="3"/>
              </w:numPr>
              <w:suppressAutoHyphens w:val="false"/>
              <w:spacing w:before="0" w:after="120"/>
              <w:ind w:left="601" w:hanging="283"/>
              <w:jc w:val="both"/>
              <w:textAlignment w:val="baseline"/>
              <w:rPr/>
            </w:pPr>
            <w:r>
              <w:rPr>
                <w:rFonts w:eastAsia="" w:cs="Times New Roman" w:ascii="Times New Roman" w:hAnsi="Times New Roman" w:eastAsiaTheme="minorEastAsia"/>
                <w:szCs w:val="22"/>
                <w:lang w:val="en-US" w:eastAsia="ko-KR" w:bidi="ar-SA"/>
              </w:rPr>
              <w:t xml:space="preserve">Note: RAN2 work will start after </w:t>
            </w:r>
            <w:bookmarkStart w:id="3" w:name="__DdeLink__708321_1465410877"/>
            <w:r>
              <w:rPr>
                <w:rFonts w:eastAsia="" w:cs="Times New Roman" w:ascii="Times New Roman" w:hAnsi="Times New Roman" w:eastAsiaTheme="minorEastAsia"/>
                <w:szCs w:val="22"/>
                <w:lang w:val="en-US" w:eastAsia="ko-KR" w:bidi="ar-SA"/>
              </w:rPr>
              <w:t>[</w:t>
            </w:r>
            <w:bookmarkEnd w:id="3"/>
            <w:r>
              <w:rPr>
                <w:rFonts w:eastAsia="" w:cs="Times New Roman" w:ascii="Times New Roman" w:hAnsi="Times New Roman" w:eastAsiaTheme="minorEastAsia"/>
                <w:szCs w:val="22"/>
                <w:lang w:val="en-US" w:eastAsia="ko-KR" w:bidi="ar-SA"/>
              </w:rPr>
              <w:t>RAN#89].</w:t>
            </w:r>
          </w:p>
        </w:tc>
      </w:tr>
    </w:tbl>
    <w:p>
      <w:pPr>
        <w:pStyle w:val="Normal"/>
        <w:jc w:val="both"/>
        <w:rPr/>
      </w:pPr>
      <w:r>
        <w:rPr>
          <w:rFonts w:cs="Times New Roman" w:ascii="Times New Roman" w:hAnsi="Times New Roman"/>
        </w:rPr>
        <w:t>In this contribution, we express our views on sidelink enhancements targeting mode-2 enhancements in terms of power saving, latency, and reliability. Following agreements were made based on the discussion in meeting RAN1 103</w:t>
      </w:r>
      <w:r>
        <w:rPr>
          <w:rFonts w:cs="Times New Roman" w:ascii="Times New Roman" w:hAnsi="Times New Roman"/>
          <w:i/>
          <w:sz w:val="21"/>
          <w:szCs w:val="21"/>
          <w:lang w:eastAsia="ko-KR"/>
        </w:rPr>
        <w:t>-</w:t>
      </w:r>
      <w:r>
        <w:rPr>
          <w:rFonts w:cs="Times New Roman" w:ascii="Times New Roman" w:hAnsi="Times New Roman"/>
        </w:rPr>
        <w:t>e</w:t>
      </w:r>
    </w:p>
    <w:p>
      <w:pPr>
        <w:pStyle w:val="Normal"/>
        <w:jc w:val="both"/>
        <w:rPr>
          <w:rFonts w:ascii="Times New Roman" w:hAnsi="Times New Roman" w:cs="Times New Roman"/>
        </w:rPr>
      </w:pPr>
      <w:r>
        <w:rPr>
          <w:rFonts w:cs="Times New Roman" w:ascii="Times New Roman" w:hAnsi="Times New Roman"/>
        </w:rPr>
      </w:r>
    </w:p>
    <w:p>
      <w:pPr>
        <w:pStyle w:val="Normal"/>
        <w:jc w:val="both"/>
        <w:rPr/>
      </w:pPr>
      <w:r>
        <w:rPr/>
      </w:r>
    </w:p>
    <w:tbl>
      <w:tblPr>
        <w:tblStyle w:val="TableGrid"/>
        <w:tblW w:w="9628" w:type="dxa"/>
        <w:jc w:val="left"/>
        <w:tblInd w:w="-25" w:type="dxa"/>
        <w:tblCellMar>
          <w:top w:w="0" w:type="dxa"/>
          <w:left w:w="83" w:type="dxa"/>
          <w:bottom w:w="0" w:type="dxa"/>
          <w:right w:w="108" w:type="dxa"/>
        </w:tblCellMar>
        <w:tblLook w:val="04a0" w:noVBand="1" w:noHBand="0" w:lastColumn="0" w:firstColumn="1" w:lastRow="0" w:firstRow="1"/>
      </w:tblPr>
      <w:tblGrid>
        <w:gridCol w:w="9628"/>
      </w:tblGrid>
      <w:tr>
        <w:trPr/>
        <w:tc>
          <w:tcPr>
            <w:tcW w:w="9628" w:type="dxa"/>
            <w:tcBorders/>
            <w:shd w:color="auto" w:fill="auto" w:val="clear"/>
            <w:tcMar>
              <w:left w:w="83" w:type="dxa"/>
            </w:tcMar>
          </w:tcPr>
          <w:p>
            <w:pPr>
              <w:pStyle w:val="Normal"/>
              <w:widowControl w:val="false"/>
              <w:numPr>
                <w:ilvl w:val="0"/>
                <w:numId w:val="0"/>
              </w:numPr>
              <w:spacing w:before="0" w:after="0"/>
              <w:ind w:left="800" w:hanging="0"/>
              <w:rPr/>
            </w:pPr>
            <w:r>
              <w:rPr>
                <w:b/>
                <w:bCs/>
                <w:i/>
                <w:sz w:val="21"/>
                <w:szCs w:val="21"/>
                <w:u w:val="single"/>
              </w:rPr>
              <w:t>Agreements:</w:t>
            </w:r>
          </w:p>
          <w:p>
            <w:pPr>
              <w:pStyle w:val="Normal"/>
              <w:widowControl w:val="false"/>
              <w:numPr>
                <w:ilvl w:val="1"/>
                <w:numId w:val="2"/>
              </w:numPr>
              <w:overflowPunct w:val="false"/>
              <w:spacing w:before="0" w:after="0"/>
              <w:jc w:val="both"/>
              <w:rPr/>
            </w:pPr>
            <w:r>
              <w:rPr>
                <w:i/>
                <w:sz w:val="21"/>
                <w:szCs w:val="21"/>
                <w:lang w:eastAsia="ko-KR"/>
              </w:rPr>
              <w:t xml:space="preserve">The schemes of inter-UE coordination in Mode 2 are categorized as being based on the following types of </w:t>
            </w:r>
            <w:r>
              <w:rPr>
                <w:rFonts w:eastAsia="맑은 고딕"/>
                <w:i/>
                <w:sz w:val="21"/>
                <w:szCs w:val="21"/>
                <w:lang w:eastAsia="ko-KR"/>
              </w:rPr>
              <w:t>“</w:t>
            </w:r>
            <w:r>
              <w:rPr>
                <w:i/>
                <w:sz w:val="21"/>
                <w:szCs w:val="21"/>
                <w:lang w:eastAsia="ko-KR"/>
              </w:rPr>
              <w:t>A set of resources</w:t>
            </w:r>
            <w:r>
              <w:rPr>
                <w:rFonts w:eastAsia="맑은 고딕"/>
                <w:i/>
                <w:sz w:val="21"/>
                <w:szCs w:val="21"/>
                <w:lang w:eastAsia="ko-KR"/>
              </w:rPr>
              <w:t>”</w:t>
            </w:r>
            <w:r>
              <w:rPr>
                <w:i/>
                <w:sz w:val="21"/>
                <w:szCs w:val="21"/>
                <w:lang w:eastAsia="ko-KR"/>
              </w:rPr>
              <w:t xml:space="preserve"> sent by UE-A to UE-B:</w:t>
            </w:r>
          </w:p>
          <w:p>
            <w:pPr>
              <w:pStyle w:val="Normal"/>
              <w:widowControl w:val="false"/>
              <w:numPr>
                <w:ilvl w:val="2"/>
                <w:numId w:val="2"/>
              </w:numPr>
              <w:overflowPunct w:val="false"/>
              <w:spacing w:before="0" w:after="0"/>
              <w:jc w:val="both"/>
              <w:rPr/>
            </w:pPr>
            <w:r>
              <w:rPr>
                <w:i/>
                <w:sz w:val="21"/>
                <w:szCs w:val="21"/>
                <w:lang w:eastAsia="ko-KR"/>
              </w:rPr>
              <w:t>UE-A sends to UE-B the set of resources preferred for UE-B</w:t>
            </w:r>
            <w:r>
              <w:rPr>
                <w:rFonts w:eastAsia="맑은 고딕"/>
                <w:i/>
                <w:sz w:val="21"/>
                <w:szCs w:val="21"/>
                <w:lang w:eastAsia="ko-KR"/>
              </w:rPr>
              <w:t>’</w:t>
            </w:r>
            <w:r>
              <w:rPr>
                <w:i/>
                <w:sz w:val="21"/>
                <w:szCs w:val="21"/>
                <w:lang w:eastAsia="ko-KR"/>
              </w:rPr>
              <w:t>s transmissione.g., based on its sensing result</w:t>
            </w:r>
          </w:p>
          <w:p>
            <w:pPr>
              <w:pStyle w:val="Normal"/>
              <w:widowControl w:val="false"/>
              <w:numPr>
                <w:ilvl w:val="2"/>
                <w:numId w:val="2"/>
              </w:numPr>
              <w:overflowPunct w:val="false"/>
              <w:spacing w:before="0" w:after="0"/>
              <w:jc w:val="both"/>
              <w:rPr/>
            </w:pPr>
            <w:r>
              <w:rPr>
                <w:i/>
                <w:sz w:val="21"/>
                <w:szCs w:val="21"/>
                <w:lang w:eastAsia="ko-KR"/>
              </w:rPr>
              <w:t>UE-A sends to UE-B the set of resources not preferred for UE-B</w:t>
            </w:r>
            <w:r>
              <w:rPr>
                <w:rFonts w:eastAsia="맑은 고딕"/>
                <w:i/>
                <w:sz w:val="21"/>
                <w:szCs w:val="21"/>
                <w:lang w:eastAsia="ko-KR"/>
              </w:rPr>
              <w:t>’</w:t>
            </w:r>
            <w:r>
              <w:rPr>
                <w:i/>
                <w:sz w:val="21"/>
                <w:szCs w:val="21"/>
                <w:lang w:eastAsia="ko-KR"/>
              </w:rPr>
              <w:t>s transmissione.g., based on its sensing result and/or expected/potential resource conflict</w:t>
            </w:r>
          </w:p>
          <w:p>
            <w:pPr>
              <w:pStyle w:val="Normal"/>
              <w:widowControl w:val="false"/>
              <w:numPr>
                <w:ilvl w:val="2"/>
                <w:numId w:val="2"/>
              </w:numPr>
              <w:overflowPunct w:val="false"/>
              <w:spacing w:before="0" w:after="0"/>
              <w:jc w:val="both"/>
              <w:rPr/>
            </w:pPr>
            <w:r>
              <w:rPr>
                <w:i/>
                <w:sz w:val="21"/>
                <w:szCs w:val="21"/>
                <w:lang w:eastAsia="ko-KR"/>
              </w:rPr>
              <w:t>UE-A sends to UE-B the set of resource where the resource conflict is detected</w:t>
            </w:r>
          </w:p>
          <w:p>
            <w:pPr>
              <w:pStyle w:val="Normal"/>
              <w:widowControl w:val="false"/>
              <w:numPr>
                <w:ilvl w:val="2"/>
                <w:numId w:val="2"/>
              </w:numPr>
              <w:overflowPunct w:val="false"/>
              <w:spacing w:before="0" w:after="0"/>
              <w:jc w:val="both"/>
              <w:rPr/>
            </w:pPr>
            <w:r>
              <w:rPr>
                <w:i/>
                <w:sz w:val="21"/>
                <w:szCs w:val="21"/>
                <w:lang w:eastAsia="ko-KR"/>
              </w:rPr>
              <w:t>FFS: details of resource conflict, e.g., including type of resource conflict</w:t>
            </w:r>
          </w:p>
          <w:p>
            <w:pPr>
              <w:pStyle w:val="Normal"/>
              <w:widowControl w:val="false"/>
              <w:numPr>
                <w:ilvl w:val="2"/>
                <w:numId w:val="2"/>
              </w:numPr>
              <w:overflowPunct w:val="false"/>
              <w:spacing w:before="0" w:after="0"/>
              <w:jc w:val="both"/>
              <w:rPr/>
            </w:pPr>
            <w:r>
              <w:rPr>
                <w:i/>
                <w:sz w:val="21"/>
                <w:szCs w:val="21"/>
                <w:lang w:eastAsia="ko-KR"/>
              </w:rPr>
              <w:t>FFS: details of sensing operation at UE-A side</w:t>
            </w:r>
          </w:p>
          <w:p>
            <w:pPr>
              <w:pStyle w:val="Normal"/>
              <w:widowControl w:val="false"/>
              <w:numPr>
                <w:ilvl w:val="2"/>
                <w:numId w:val="2"/>
              </w:numPr>
              <w:overflowPunct w:val="false"/>
              <w:spacing w:before="0" w:after="0"/>
              <w:jc w:val="both"/>
              <w:rPr/>
            </w:pPr>
            <w:r>
              <w:rPr>
                <w:i/>
                <w:sz w:val="21"/>
                <w:szCs w:val="21"/>
                <w:lang w:eastAsia="ko-KR"/>
              </w:rPr>
              <w:t>FFS: which type(s) of resource set information is(are) beneficial/feasible to which cast type(s)</w:t>
            </w:r>
          </w:p>
          <w:p>
            <w:pPr>
              <w:pStyle w:val="Normal"/>
              <w:widowControl w:val="false"/>
              <w:numPr>
                <w:ilvl w:val="2"/>
                <w:numId w:val="2"/>
              </w:numPr>
              <w:overflowPunct w:val="false"/>
              <w:spacing w:before="0" w:after="0"/>
              <w:jc w:val="both"/>
              <w:rPr/>
            </w:pPr>
            <w:r>
              <w:rPr>
                <w:i/>
                <w:sz w:val="21"/>
                <w:szCs w:val="21"/>
                <w:lang w:eastAsia="ko-KR"/>
              </w:rPr>
              <w:t>Note: these different types may be used in combination with each other</w:t>
            </w:r>
          </w:p>
          <w:p>
            <w:pPr>
              <w:pStyle w:val="Normal"/>
              <w:widowControl w:val="false"/>
              <w:numPr>
                <w:ilvl w:val="1"/>
                <w:numId w:val="2"/>
              </w:numPr>
              <w:overflowPunct w:val="false"/>
              <w:spacing w:before="0" w:after="0"/>
              <w:jc w:val="both"/>
              <w:rPr/>
            </w:pPr>
            <w:r>
              <w:rPr>
                <w:i/>
                <w:sz w:val="21"/>
                <w:szCs w:val="21"/>
                <w:lang w:eastAsia="ko-KR"/>
              </w:rPr>
              <w:t>From RAN1 perspective, further study on the feasibility/benefit of inter-UE coordination is required</w:t>
            </w:r>
          </w:p>
          <w:p>
            <w:pPr>
              <w:pStyle w:val="Normal"/>
              <w:widowControl w:val="false"/>
              <w:numPr>
                <w:ilvl w:val="1"/>
                <w:numId w:val="2"/>
              </w:numPr>
              <w:overflowPunct w:val="false"/>
              <w:spacing w:before="0" w:after="0"/>
              <w:jc w:val="both"/>
              <w:rPr/>
            </w:pPr>
            <w:r>
              <w:rPr>
                <w:i/>
                <w:sz w:val="21"/>
                <w:szCs w:val="21"/>
                <w:lang w:eastAsia="ko-KR"/>
              </w:rPr>
              <w:t>Send an LS to RAN plenary</w:t>
            </w:r>
          </w:p>
          <w:p>
            <w:pPr>
              <w:pStyle w:val="Normal"/>
              <w:widowControl w:val="false"/>
              <w:numPr>
                <w:ilvl w:val="0"/>
                <w:numId w:val="0"/>
              </w:numPr>
              <w:spacing w:before="0" w:after="0"/>
              <w:ind w:left="800" w:hanging="0"/>
              <w:rPr>
                <w:color w:val="1F497D"/>
                <w:sz w:val="21"/>
                <w:szCs w:val="21"/>
                <w:lang w:eastAsia="ko-KR"/>
              </w:rPr>
            </w:pPr>
            <w:r>
              <w:rPr>
                <w:color w:val="1F497D"/>
                <w:sz w:val="21"/>
                <w:szCs w:val="21"/>
                <w:lang w:eastAsia="ko-KR"/>
              </w:rPr>
            </w:r>
          </w:p>
          <w:p>
            <w:pPr>
              <w:pStyle w:val="Normal"/>
              <w:widowControl w:val="false"/>
              <w:numPr>
                <w:ilvl w:val="0"/>
                <w:numId w:val="0"/>
              </w:numPr>
              <w:spacing w:before="0" w:after="0"/>
              <w:ind w:left="800" w:hanging="0"/>
              <w:rPr/>
            </w:pPr>
            <w:r>
              <w:rPr>
                <w:b/>
                <w:bCs/>
                <w:i/>
                <w:sz w:val="21"/>
                <w:szCs w:val="21"/>
                <w:u w:val="single"/>
              </w:rPr>
              <w:t>Agreements:</w:t>
            </w:r>
          </w:p>
          <w:p>
            <w:pPr>
              <w:pStyle w:val="Normal"/>
              <w:widowControl w:val="false"/>
              <w:numPr>
                <w:ilvl w:val="1"/>
                <w:numId w:val="2"/>
              </w:numPr>
              <w:overflowPunct w:val="false"/>
              <w:spacing w:before="0" w:after="0"/>
              <w:rPr/>
            </w:pPr>
            <w:r>
              <w:rPr>
                <w:i/>
                <w:sz w:val="21"/>
                <w:szCs w:val="21"/>
                <w:lang w:eastAsia="ko-KR"/>
              </w:rPr>
              <w:t>For the schemes of inter-UE coordination identified as feasible/beneficial, at least the following aspects are further discussed.</w:t>
            </w:r>
          </w:p>
          <w:p>
            <w:pPr>
              <w:pStyle w:val="Normal"/>
              <w:widowControl w:val="false"/>
              <w:numPr>
                <w:ilvl w:val="2"/>
                <w:numId w:val="2"/>
              </w:numPr>
              <w:overflowPunct w:val="false"/>
              <w:spacing w:before="0" w:after="0"/>
              <w:rPr/>
            </w:pPr>
            <w:r>
              <w:rPr>
                <w:i/>
                <w:sz w:val="21"/>
                <w:szCs w:val="21"/>
                <w:lang w:eastAsia="ko-KR"/>
              </w:rPr>
              <w:t>How/when UE-A determines the contents of ”A set of resources”, including consideration of UL scheduling</w:t>
            </w:r>
          </w:p>
          <w:p>
            <w:pPr>
              <w:pStyle w:val="Normal"/>
              <w:widowControl w:val="false"/>
              <w:numPr>
                <w:ilvl w:val="2"/>
                <w:numId w:val="2"/>
              </w:numPr>
              <w:overflowPunct w:val="false"/>
              <w:spacing w:before="0" w:after="0"/>
              <w:rPr/>
            </w:pPr>
            <w:r>
              <w:rPr>
                <w:i/>
                <w:sz w:val="21"/>
                <w:szCs w:val="21"/>
                <w:lang w:eastAsia="ko-KR"/>
              </w:rPr>
              <w:t>When UE-A sends ”A set of resources” to UE-B, including which UE(s) sends it</w:t>
            </w:r>
          </w:p>
          <w:p>
            <w:pPr>
              <w:pStyle w:val="Normal"/>
              <w:widowControl w:val="false"/>
              <w:numPr>
                <w:ilvl w:val="2"/>
                <w:numId w:val="2"/>
              </w:numPr>
              <w:overflowPunct w:val="false"/>
              <w:spacing w:before="0" w:after="0"/>
              <w:rPr/>
            </w:pPr>
            <w:r>
              <w:rPr>
                <w:i/>
                <w:sz w:val="21"/>
                <w:szCs w:val="21"/>
                <w:lang w:eastAsia="ko-KR"/>
              </w:rPr>
              <w:t>How UE-A and UE-B are determined</w:t>
            </w:r>
          </w:p>
          <w:p>
            <w:pPr>
              <w:pStyle w:val="Normal"/>
              <w:widowControl w:val="false"/>
              <w:numPr>
                <w:ilvl w:val="2"/>
                <w:numId w:val="2"/>
              </w:numPr>
              <w:overflowPunct w:val="false"/>
              <w:spacing w:before="0" w:after="0"/>
              <w:rPr/>
            </w:pPr>
            <w:r>
              <w:rPr>
                <w:i/>
                <w:sz w:val="21"/>
                <w:szCs w:val="21"/>
                <w:lang w:eastAsia="ko-KR"/>
              </w:rPr>
              <w:t xml:space="preserve">How UE-A sends ”A set of resources” to UE-B, including container used for carrying it, </w:t>
            </w:r>
            <w:r>
              <w:rPr>
                <w:rFonts w:eastAsia="DengXian"/>
                <w:i/>
                <w:sz w:val="21"/>
                <w:szCs w:val="21"/>
                <w:lang w:eastAsia="zh-CN"/>
              </w:rPr>
              <w:t>i</w:t>
            </w:r>
            <w:r>
              <w:rPr>
                <w:i/>
                <w:sz w:val="21"/>
                <w:szCs w:val="21"/>
                <w:lang w:eastAsia="ko-KR"/>
              </w:rPr>
              <w:t>mplicitly or explicitly or both</w:t>
            </w:r>
          </w:p>
          <w:p>
            <w:pPr>
              <w:pStyle w:val="Normal"/>
              <w:widowControl w:val="false"/>
              <w:numPr>
                <w:ilvl w:val="2"/>
                <w:numId w:val="2"/>
              </w:numPr>
              <w:overflowPunct w:val="false"/>
              <w:spacing w:before="0" w:after="0"/>
              <w:rPr/>
            </w:pPr>
            <w:r>
              <w:rPr>
                <w:i/>
                <w:sz w:val="21"/>
                <w:szCs w:val="21"/>
                <w:lang w:eastAsia="ko-KR"/>
              </w:rPr>
              <w:t>How/when/whether UE-B receives “A set of resources” and takes it into account in the resource selection for its own transmission</w:t>
            </w:r>
          </w:p>
          <w:p>
            <w:pPr>
              <w:pStyle w:val="Normal"/>
              <w:widowControl w:val="false"/>
              <w:numPr>
                <w:ilvl w:val="0"/>
                <w:numId w:val="0"/>
              </w:numPr>
              <w:suppressAutoHyphens w:val="false"/>
              <w:overflowPunct w:val="false"/>
              <w:spacing w:before="0" w:after="0"/>
              <w:ind w:left="1600" w:hanging="0"/>
              <w:jc w:val="both"/>
              <w:textAlignment w:val="baseline"/>
              <w:rPr/>
            </w:pPr>
            <w:r>
              <w:rPr>
                <w:rFonts w:eastAsia="" w:cs="Times New Roman" w:ascii="Times New Roman" w:hAnsi="Times New Roman" w:eastAsiaTheme="minorEastAsia"/>
                <w:i/>
                <w:sz w:val="21"/>
                <w:szCs w:val="21"/>
                <w:lang w:val="en-US" w:eastAsia="ko-KR" w:bidi="ar-SA"/>
              </w:rPr>
              <w:t>How/whether to define the relationship between support/signaling of inter-UE coordination and cast type</w:t>
            </w:r>
          </w:p>
        </w:tc>
      </w:tr>
    </w:tbl>
    <w:p>
      <w:pPr>
        <w:pStyle w:val="Normal"/>
        <w:jc w:val="both"/>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i/>
          <w:i/>
          <w:sz w:val="21"/>
          <w:szCs w:val="21"/>
          <w:lang w:eastAsia="ko-KR"/>
        </w:rPr>
      </w:pPr>
      <w:r>
        <w:rPr>
          <w:rFonts w:cs="Times New Roman" w:ascii="Times New Roman" w:hAnsi="Times New Roman"/>
          <w:i/>
          <w:sz w:val="21"/>
          <w:szCs w:val="21"/>
          <w:lang w:eastAsia="ko-KR"/>
        </w:rPr>
      </w:r>
    </w:p>
    <w:p>
      <w:pPr>
        <w:pStyle w:val="Caption1"/>
        <w:jc w:val="both"/>
        <w:rPr>
          <w:rFonts w:ascii="Times New Roman" w:hAnsi="Times New Roman" w:cs="Times New Roman"/>
        </w:rPr>
      </w:pPr>
      <w:r>
        <w:rPr>
          <w:rFonts w:cs="Times New Roman" w:ascii="Times New Roman" w:hAnsi="Times New Roman"/>
        </w:rPr>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b/>
          <w:sz w:val="32"/>
          <w:szCs w:val="32"/>
        </w:rPr>
        <w:t>2 Discussion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our previous contribution </w:t>
      </w:r>
      <w:r>
        <w:rPr>
          <w:rFonts w:eastAsia="" w:cs="Times New Roman" w:ascii="Times New Roman" w:hAnsi="Times New Roman" w:eastAsiaTheme="minorEastAsia"/>
          <w:szCs w:val="22"/>
          <w:lang w:val="en-US" w:eastAsia="ko-KR" w:bidi="ar-SA"/>
        </w:rPr>
        <w:t>[2</w:t>
      </w:r>
      <w:r>
        <w:rPr>
          <w:rFonts w:eastAsia="MS Mincho" w:cs="Times New Roman" w:ascii="Times New Roman" w:hAnsi="Times New Roman"/>
        </w:rPr>
        <w:t>] we discussed drawbacks about Rel 16 sidelink resource allocation mode 2 such as hidden node and half duplex constraint for transmitting user equipment (UE). These problems lead to insufficient sensing results which may causes resource collision. Half duplex constraint is understood as a transmitting UE will not perform sensing during transmission of packet i.e., the slots in which it transmits, sensing information is not collected. Therefore, half-duplex constraint leads</w:t>
      </w:r>
      <w:r>
        <w:rPr>
          <w:rFonts w:eastAsia="MS Mincho" w:cs="Times;Times New Roman" w:ascii="Times New Roman" w:hAnsi="Times New Roman"/>
        </w:rPr>
        <w:t xml:space="preserve"> to some undecoded or  unsensed SCIs. Lack of this knowledge may lead to collision while the UE attempts to transmit its own data over the resources which same resources are being occupied or overlapped by another UEs at same time.</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pPr>
      <w:r>
        <w:rPr/>
        <w:drawing>
          <wp:inline distT="0" distB="0" distL="0" distR="0">
            <wp:extent cx="3086100" cy="1076325"/>
            <wp:effectExtent l="0" t="0" r="0" b="0"/>
            <wp:docPr id="1"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
                    <pic:cNvPicPr>
                      <a:picLocks noChangeAspect="1" noChangeArrowheads="1"/>
                    </pic:cNvPicPr>
                  </pic:nvPicPr>
                  <pic:blipFill>
                    <a:blip r:embed="rId2"/>
                    <a:stretch>
                      <a:fillRect/>
                    </a:stretch>
                  </pic:blipFill>
                  <pic:spPr bwMode="auto">
                    <a:xfrm>
                      <a:off x="0" y="0"/>
                      <a:ext cx="3086100" cy="1076325"/>
                    </a:xfrm>
                    <a:prstGeom prst="rect">
                      <a:avLst/>
                    </a:prstGeom>
                  </pic:spPr>
                </pic:pic>
              </a:graphicData>
            </a:graphic>
          </wp:inline>
        </w:drawing>
      </w:r>
      <w:r>
        <w:rPr/>
        <w:drawing>
          <wp:inline distT="0" distB="0" distL="0" distR="0">
            <wp:extent cx="2877185" cy="933450"/>
            <wp:effectExtent l="0" t="0" r="0" b="0"/>
            <wp:docPr id="2" name="Picture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2" descr=""/>
                    <pic:cNvPicPr>
                      <a:picLocks noChangeAspect="1" noChangeArrowheads="1"/>
                    </pic:cNvPicPr>
                  </pic:nvPicPr>
                  <pic:blipFill>
                    <a:blip r:embed="rId3"/>
                    <a:stretch>
                      <a:fillRect/>
                    </a:stretch>
                  </pic:blipFill>
                  <pic:spPr bwMode="auto">
                    <a:xfrm>
                      <a:off x="0" y="0"/>
                      <a:ext cx="2877185" cy="933450"/>
                    </a:xfrm>
                    <a:prstGeom prst="rect">
                      <a:avLst/>
                    </a:prstGeom>
                  </pic:spPr>
                </pic:pic>
              </a:graphicData>
            </a:graphic>
          </wp:inline>
        </w:drawing>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ab/>
        <w:tab/>
      </w:r>
      <w:r>
        <w:rPr>
          <w:rFonts w:eastAsia="MS Mincho" w:cs="Times New Roman" w:ascii="Times New Roman" w:hAnsi="Times New Roman"/>
          <w:b/>
        </w:rPr>
        <w:t>Fig(2a)</w:t>
        <w:tab/>
        <w:tab/>
        <w:tab/>
        <w:tab/>
        <w:tab/>
        <w:tab/>
        <w:tab/>
        <w:t>Fig(2b)</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Hidden node is also a major problem that occurs when two transmitting vehicles are not in sensing range of each other, but both of them are in the sensing range of another vehicle as shown in figure 2(a). Here vehicle-1 and vehicle-3 are not in sensing range of each other while vehicle-2 can sense from both of them, hence, it can lead to interference when vehicle-1 and vehicle-2 attempts to transmit on overlapping resources. In order to counter the above mentioned problems, the concept of Inter-UE coordination can be introduced as shown in figure 2(b), where Co-operative UE (Co-UE) provides assistance information to another UE. Assistance information is derived based on the transmission type i.e unicast, broadcast or groupcast. Assistance information may be helpful in order to provide additional information to UE about the real time resource utilisation in its surroundings and can be utilized to help in the transmission of the receiving UE.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Observation 1: Resource utilization assistance signalling may provide useful information  to UE, </w:t>
      </w:r>
      <w:r>
        <w:rPr>
          <w:rFonts w:eastAsia="MS Mincho" w:cs="Times New Roman" w:ascii="Times New Roman" w:hAnsi="Times New Roman"/>
          <w:b/>
        </w:rPr>
        <w:t>which can</w:t>
      </w:r>
      <w:r>
        <w:rPr>
          <w:rFonts w:eastAsia="MS Mincho" w:cs="Times New Roman" w:ascii="Times New Roman" w:hAnsi="Times New Roman"/>
          <w:b/>
        </w:rPr>
        <w:t xml:space="preserve"> </w:t>
      </w:r>
      <w:r>
        <w:rPr>
          <w:rFonts w:eastAsia="MS Mincho" w:cs="Times New Roman" w:ascii="Times New Roman" w:hAnsi="Times New Roman"/>
          <w:b/>
        </w:rPr>
        <w:t>be</w:t>
      </w:r>
      <w:r>
        <w:rPr>
          <w:rFonts w:eastAsia="MS Mincho" w:cs="Times New Roman" w:ascii="Times New Roman" w:hAnsi="Times New Roman"/>
          <w:b/>
        </w:rPr>
        <w:t xml:space="preserve"> use</w:t>
      </w:r>
      <w:r>
        <w:rPr>
          <w:rFonts w:eastAsia="MS Mincho" w:cs="Times New Roman" w:ascii="Times New Roman" w:hAnsi="Times New Roman"/>
          <w:b/>
        </w:rPr>
        <w:t>d</w:t>
      </w:r>
      <w:r>
        <w:rPr>
          <w:rFonts w:eastAsia="MS Mincho" w:cs="Times New Roman" w:ascii="Times New Roman" w:hAnsi="Times New Roman"/>
          <w:b/>
        </w:rPr>
        <w:t xml:space="preserve">  for better resource utilization  </w:t>
      </w:r>
      <w:r>
        <w:rPr>
          <w:rFonts w:eastAsia="MS Mincho" w:cs="Times New Roman" w:ascii="Times New Roman" w:hAnsi="Times New Roman"/>
          <w:b/>
        </w:rPr>
        <w:t xml:space="preserve">in </w:t>
      </w:r>
      <w:r>
        <w:rPr>
          <w:rFonts w:eastAsia="MS Mincho" w:cs="Times New Roman" w:ascii="Times New Roman" w:hAnsi="Times New Roman"/>
          <w:b/>
        </w:rPr>
        <w:t xml:space="preserve">mode 2.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2.1</w:t>
        <w:tab/>
        <w:t>Method to transmit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order to convey assistance information, a UE first prepare it after performing sensing and then convey it further through proper signaling. As shown in figure 2(c) UE-B first collects information based on its own sensing results obtained by blind decoding of sidelink control information (SCI) received from other UEs in proximity. After sensing them UE-B derives the content based on the transmission type and transmits the assistance information for UE-Rx to assist in transmission/reception. These sensing results can be utilized by UE-Rx for resource allocation or  to identify the resource conflict with another UE. Resource conflict occurs due to hidden node problem. Rel 16 supports unicast, groupcast and broadcast communication but there are certain problems we pointed out in section 2 those leads to incomplete sensing results. So, in order to improve existing Rel 16 method of resource selection in terms of enhancing reliability and achieving power saving, assistance information needs to be conveyed in all the three types of transmission, i.e. broadcast, groupcast and unicast.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1: Assistance information signalling should be supported for unicast, groupcast and broadcast transmission in the Rel 17 sidelink.</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ab/>
        <w:t xml:space="preserve"> </w:t>
      </w:r>
      <w:r>
        <w:rPr>
          <w:rFonts w:eastAsia="MS Mincho" w:cs="Times New Roman" w:ascii="Times New Roman" w:hAnsi="Times New Roman"/>
          <w:b/>
          <w:lang w:eastAsia="en-IN" w:bidi="ar-SA"/>
        </w:rPr>
        <w:t xml:space="preserve">                </w:t>
      </w:r>
      <w:r>
        <w:rPr>
          <w:rFonts w:eastAsia="MS Mincho" w:cs="Times New Roman" w:ascii="Times New Roman" w:hAnsi="Times New Roman"/>
          <w:b/>
          <w:lang w:eastAsia="en-IN" w:bidi="ar-SA"/>
        </w:rPr>
        <w:drawing>
          <wp:inline distT="0" distB="0" distL="0" distR="0">
            <wp:extent cx="3742690" cy="2200275"/>
            <wp:effectExtent l="0" t="0" r="0" b="0"/>
            <wp:docPr id="3" name="Picture 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3" descr=""/>
                    <pic:cNvPicPr>
                      <a:picLocks noChangeAspect="1" noChangeArrowheads="1"/>
                    </pic:cNvPicPr>
                  </pic:nvPicPr>
                  <pic:blipFill>
                    <a:blip r:embed="rId4"/>
                    <a:stretch>
                      <a:fillRect/>
                    </a:stretch>
                  </pic:blipFill>
                  <pic:spPr bwMode="auto">
                    <a:xfrm>
                      <a:off x="0" y="0"/>
                      <a:ext cx="3742690" cy="2200275"/>
                    </a:xfrm>
                    <a:prstGeom prst="rect">
                      <a:avLst/>
                    </a:prstGeom>
                  </pic:spPr>
                </pic:pic>
              </a:graphicData>
            </a:graphic>
          </wp:inline>
        </w:drawing>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ab/>
        <w:tab/>
        <w:tab/>
        <w:tab/>
        <w:tab/>
        <w:t xml:space="preserve">            Figure(2c)</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In order to convey assistance information, a proper signalling needs to be adopted. Assistance information consists of control and data part.  Design of a new 2</w:t>
      </w:r>
      <w:r>
        <w:rPr>
          <w:rFonts w:eastAsia="MS Mincho" w:cs="Times New Roman" w:ascii="Times New Roman" w:hAnsi="Times New Roman"/>
          <w:vertAlign w:val="superscript"/>
        </w:rPr>
        <w:t>nd</w:t>
      </w:r>
      <w:r>
        <w:rPr>
          <w:rFonts w:eastAsia="MS Mincho" w:cs="Times New Roman" w:ascii="Times New Roman" w:hAnsi="Times New Roman"/>
        </w:rPr>
        <w:t xml:space="preserve"> stage SCI can be considered which can be indicated through 1</w:t>
      </w:r>
      <w:r>
        <w:rPr>
          <w:rFonts w:eastAsia="MS Mincho" w:cs="Times New Roman" w:ascii="Times New Roman" w:hAnsi="Times New Roman"/>
          <w:vertAlign w:val="superscript"/>
        </w:rPr>
        <w:t>st</w:t>
      </w:r>
      <w:r>
        <w:rPr>
          <w:rFonts w:eastAsia="MS Mincho" w:cs="Times New Roman" w:ascii="Times New Roman" w:hAnsi="Times New Roman"/>
        </w:rPr>
        <w:t xml:space="preserve"> stage SCI field when there is a need to transmit the assistance information. In Rel 16 there are already two 2</w:t>
      </w:r>
      <w:r>
        <w:rPr>
          <w:rFonts w:eastAsia="MS Mincho" w:cs="Times New Roman" w:ascii="Times New Roman" w:hAnsi="Times New Roman"/>
          <w:vertAlign w:val="superscript"/>
        </w:rPr>
        <w:t>nd</w:t>
      </w:r>
      <w:r>
        <w:rPr>
          <w:rFonts w:eastAsia="MS Mincho" w:cs="Times New Roman" w:ascii="Times New Roman" w:hAnsi="Times New Roman"/>
        </w:rPr>
        <w:t xml:space="preserve"> stage SCI formats SCI-2A and SCI 2B used for decoding PSSCH based on the HARQ operation. SCI-2A is used when HARQ-ACK information includes ACK or NACK, </w:t>
      </w:r>
      <w:r>
        <w:rPr>
          <w:rFonts w:eastAsia="" w:cs="Times New Roman" w:ascii="Times New Roman" w:hAnsi="Times New Roman" w:eastAsiaTheme="minorEastAsia"/>
        </w:rPr>
        <w:t xml:space="preserve">HARQ-ACK information includes only NACK, </w:t>
      </w:r>
      <w:r>
        <w:rPr>
          <w:rFonts w:eastAsia="MS Mincho" w:cs="Times New Roman" w:ascii="Times New Roman" w:hAnsi="Times New Roman"/>
        </w:rPr>
        <w:t>or there is no feedback of HARQ-ACK information for all transmission types. SCI-2B is used in case of groucast mainly with HARQ operation when HARQ-ACK information includes only NACK, or when there is no feedback of HARQ-ACK information. When a UE monitors new SCI format</w:t>
      </w:r>
      <w:r>
        <w:rPr>
          <w:rFonts w:eastAsia="MS Mincho" w:cs="Times New Roman" w:ascii="Times New Roman" w:hAnsi="Times New Roman"/>
          <w:lang w:eastAsia="ko-KR"/>
        </w:rPr>
        <w:t xml:space="preserve"> </w:t>
      </w:r>
      <w:r>
        <w:rPr>
          <w:rFonts w:eastAsia="MS Mincho" w:cs="Times New Roman" w:ascii="Times New Roman" w:hAnsi="Times New Roman"/>
          <w:lang w:eastAsia="ko-KR"/>
        </w:rPr>
        <w:t xml:space="preserve">indicated by </w:t>
      </w:r>
      <w:r>
        <w:rPr>
          <w:rFonts w:eastAsia="MS Mincho" w:cs="Times New Roman" w:ascii="Times New Roman" w:hAnsi="Times New Roman"/>
          <w:lang w:eastAsia="ko-KR"/>
        </w:rPr>
        <w:t xml:space="preserve"> </w:t>
      </w:r>
      <w:r>
        <w:rPr>
          <w:rFonts w:eastAsia="MS Mincho" w:cs="Times New Roman" w:ascii="Times New Roman" w:hAnsi="Times New Roman"/>
          <w:lang w:eastAsia="ko-KR"/>
        </w:rPr>
        <w:t>2</w:t>
      </w:r>
      <w:r>
        <w:rPr>
          <w:rFonts w:eastAsia="MS Mincho" w:cs="Times New Roman" w:ascii="Times New Roman" w:hAnsi="Times New Roman"/>
          <w:vertAlign w:val="superscript"/>
          <w:lang w:eastAsia="ko-KR"/>
        </w:rPr>
        <w:t>nd</w:t>
      </w:r>
      <w:r>
        <w:rPr>
          <w:rFonts w:eastAsia="MS Mincho" w:cs="Times New Roman" w:ascii="Times New Roman" w:hAnsi="Times New Roman"/>
          <w:lang w:eastAsia="ko-KR"/>
        </w:rPr>
        <w:t xml:space="preserve"> stage SCI format field (two 2 bits field) present</w:t>
      </w:r>
      <w:r>
        <w:rPr>
          <w:rFonts w:eastAsia="MS Mincho" w:cs="Times New Roman" w:ascii="Times New Roman" w:hAnsi="Times New Roman"/>
          <w:lang w:eastAsia="ko-KR"/>
        </w:rPr>
        <w:t xml:space="preserve"> in 1</w:t>
      </w:r>
      <w:r>
        <w:rPr>
          <w:rFonts w:eastAsia="MS Mincho" w:cs="Times New Roman" w:ascii="Times New Roman" w:hAnsi="Times New Roman"/>
          <w:vertAlign w:val="superscript"/>
          <w:lang w:eastAsia="ko-KR"/>
        </w:rPr>
        <w:t>st</w:t>
      </w:r>
      <w:r>
        <w:rPr>
          <w:rFonts w:eastAsia="MS Mincho" w:cs="Times New Roman" w:ascii="Times New Roman" w:hAnsi="Times New Roman"/>
          <w:lang w:eastAsia="ko-KR"/>
        </w:rPr>
        <w:t xml:space="preserve"> stage SCI </w:t>
      </w:r>
      <w:r>
        <w:rPr>
          <w:rFonts w:eastAsia="MS Mincho" w:cs="Times New Roman" w:ascii="Times New Roman" w:hAnsi="Times New Roman"/>
          <w:lang w:eastAsia="ko-KR"/>
        </w:rPr>
        <w:t>field</w:t>
      </w:r>
      <w:r>
        <w:rPr>
          <w:rFonts w:eastAsia="MS Mincho" w:cs="Times New Roman" w:ascii="Times New Roman" w:hAnsi="Times New Roman"/>
        </w:rPr>
        <w:t>, it understands assistance information is being conveyed</w:t>
      </w:r>
      <w:r>
        <w:rPr>
          <w:rFonts w:eastAsia="MS Mincho" w:cs="Times New Roman" w:ascii="Times New Roman" w:hAnsi="Times New Roman"/>
          <w:b/>
          <w:bCs/>
        </w:rPr>
        <w: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ab/>
        <w:t xml:space="preserve">In case of unicast RRC or MAC message should be utilized for the conveying assistance information which will be followed by data in PSSCH. RRC or MAC messages should be utilized as it would solve complexity issues.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t xml:space="preserve">Proposal 2: New SCI format design should be considered for </w:t>
      </w:r>
      <w:r>
        <w:rPr>
          <w:rFonts w:eastAsia="MS Mincho" w:cs="Times New Roman" w:ascii="Times New Roman" w:hAnsi="Times New Roman"/>
          <w:b/>
        </w:rPr>
        <w:t xml:space="preserve">transmitting </w:t>
      </w:r>
      <w:r>
        <w:rPr>
          <w:rFonts w:eastAsia="MS Mincho" w:cs="Times New Roman" w:ascii="Times New Roman" w:hAnsi="Times New Roman"/>
          <w:b/>
        </w:rPr>
        <w:t xml:space="preserve">assistance information in the Rel 17 sidelink at least for broadcast and groupcast </w:t>
      </w:r>
      <w:r>
        <w:rPr>
          <w:rFonts w:eastAsia="MS Mincho" w:cs="Times New Roman" w:ascii="Times New Roman" w:hAnsi="Times New Roman"/>
          <w:b/>
        </w:rPr>
        <w:t>transmission.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3: In case of unicast, </w:t>
      </w:r>
      <w:r>
        <w:rPr>
          <w:rFonts w:eastAsia="MS Mincho" w:cs="Times New Roman" w:ascii="Times New Roman" w:hAnsi="Times New Roman"/>
          <w:b/>
        </w:rPr>
        <w:t xml:space="preserve">assistance information is sent </w:t>
      </w:r>
      <w:r>
        <w:rPr>
          <w:rFonts w:eastAsia="MS Mincho" w:cs="Times New Roman" w:ascii="Times New Roman" w:hAnsi="Times New Roman"/>
          <w:b/>
        </w:rPr>
        <w:t>as</w:t>
      </w:r>
      <w:r>
        <w:rPr>
          <w:rFonts w:eastAsia="MS Mincho" w:cs="Times New Roman" w:ascii="Times New Roman" w:hAnsi="Times New Roman"/>
          <w:b/>
        </w:rPr>
        <w:t xml:space="preserve"> RRC or MAC message </w:t>
      </w:r>
    </w:p>
    <w:p>
      <w:pPr>
        <w:pStyle w:val="Normal"/>
        <w:pBdr>
          <w:top w:val="single" w:sz="12" w:space="3" w:color="00000A"/>
          <w:bottom w:val="single" w:sz="4" w:space="1" w:color="00000A"/>
        </w:pBdr>
        <w:spacing w:before="0" w:after="120"/>
        <w:jc w:val="both"/>
        <w:textAlignment w:val="baseline"/>
        <w:rPr>
          <w:rFonts w:ascii="Times New Roman" w:hAnsi="Times New Roman"/>
        </w:rPr>
      </w:pPr>
      <w:r>
        <w:rPr>
          <w:rFonts w:ascii="Times New Roman" w:hAnsi="Times New Roman"/>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 xml:space="preserve">2.2 Content of the Assistance Information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The content of assistance information varies based on the transmission type. If assistance information is utilized among two UE (i.e. unicast), Co-UE can simply contain a number of resource sets which can be used by the UE receiving assistance information to make decision while communicating to Co-UE. Resource sets in sidelink is defined in terms of sub-channel and slots. Assistance information can consist of group of sub-channels in frequency and slots in time domain. UE transmitting assistance information (Co-UE) can convey the preferred resources in which it may want to receive from another UE. Similarly, it can convey the resources which should not be utilized </w:t>
      </w:r>
      <w:r>
        <w:rPr>
          <w:rFonts w:eastAsia="MS Mincho" w:cs="Times New Roman" w:ascii="Times New Roman" w:hAnsi="Times New Roman"/>
        </w:rPr>
        <w:t>for transmission</w:t>
      </w:r>
      <w:r>
        <w:rPr>
          <w:rFonts w:eastAsia="MS Mincho" w:cs="Times New Roman" w:ascii="Times New Roman" w:hAnsi="Times New Roman"/>
        </w:rPr>
        <w:t xml:space="preserve"> by the receiving UE. For example, in unicast one of the UE is Co-UE that may send a preferred resource set in which it wants to receive data from the UE receiving assistance information. Other way is that it can indicate resources which are not suitable for Co-UE for receiving the information from another UE.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4: Unicast assistance information should include preferred resource set and non-preferred resource set.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If Co-UE needs to broadcast or groupcast, it may send its own sensing results collectively during the sensing period or could be collected from the other surrounding UEs. This may contain collection of results obtained by sensing the SCI of UEs in proximity or by dedicated unicast signalling received from the proximity UEs. </w:t>
      </w:r>
      <w:r>
        <w:rPr>
          <w:rFonts w:eastAsia="MS Mincho" w:cs="Times;Times New Roman" w:ascii="Times New Roman" w:hAnsi="Times New Roman"/>
        </w:rPr>
        <w:t xml:space="preserve">Assistance information may contain information related to the time and frequency domain resource allocation of   UEs that an </w:t>
      </w:r>
      <w:r>
        <w:rPr>
          <w:rFonts w:eastAsia="MS Mincho" w:cs="Times New Roman" w:ascii="Times New Roman" w:hAnsi="Times New Roman"/>
        </w:rPr>
        <w:t>Co-UE</w:t>
      </w:r>
      <w:r>
        <w:rPr>
          <w:rFonts w:eastAsia="MS Mincho" w:cs="Times;Times New Roman" w:ascii="Times New Roman" w:hAnsi="Times New Roman"/>
        </w:rPr>
        <w:t xml:space="preserve"> was able to sense properly prior to transmission of assistance information via PSSCH. So portion of assistance information will contain ‘n’ bits </w:t>
      </w:r>
      <w:r>
        <w:rPr>
          <w:rFonts w:eastAsia="MS Mincho" w:cs="Times;Times New Roman" w:ascii="Times New Roman" w:hAnsi="Times New Roman"/>
          <w:vertAlign w:val="subscript"/>
        </w:rPr>
        <w:t xml:space="preserve"> </w:t>
      </w:r>
      <w:r>
        <w:rPr>
          <w:rFonts w:eastAsia="MS Mincho" w:cs="Times;Times New Roman" w:ascii="Times New Roman" w:hAnsi="Times New Roman"/>
        </w:rPr>
        <w:t>for subchannels, some ‘m’ bit for time slots  and ‘k’x 3 bits for priorities (3 bits are defined in Sidelink control information for the priority of UE</w:t>
      </w:r>
      <w:r>
        <w:rPr>
          <w:rFonts w:eastAsia="MS Mincho" w:cs="Times New Roman" w:ascii="Times New Roman" w:hAnsi="Times New Roman"/>
        </w:rPr>
        <w:t>)</w:t>
      </w:r>
      <w:r>
        <w:rPr>
          <w:rFonts w:eastAsia="MS Mincho" w:cs="Times;Times New Roman" w:ascii="Times New Roman" w:hAnsi="Times New Roman"/>
        </w:rPr>
        <w:t xml:space="preserve"> where ‘k’ is the number of UEs whose information is conveyed in broadcast. Simillarly, it may contain one bit for each UE to indicate weather data transmission is periodic or aperiodic. If periodic then resource reservation period will be conveyed as well. Above mentioned content gives useful details of assistance information and can be considered in future discussions. </w:t>
      </w:r>
      <w:r>
        <w:rPr>
          <w:rFonts w:eastAsia="MS Mincho" w:cs="Times New Roman" w:ascii="Times New Roman" w:hAnsi="Times New Roman"/>
        </w:rPr>
        <w:t xml:space="preserv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5: In case of broadcast or groupcast transmission over sidelink, assisting UE (Co-UE) should broadcast its own sensing result or unicast assistance information received</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2.3 Receiver UE</w:t>
      </w:r>
      <w:r>
        <w:rPr>
          <w:rFonts w:eastAsia="MS Mincho" w:cs="Times New Roman" w:ascii="Google Sans;arial;sans-serif" w:hAnsi="Google Sans;arial;sans-serif"/>
          <w:b/>
          <w:color w:val="202124"/>
          <w:sz w:val="32"/>
          <w:szCs w:val="32"/>
        </w:rPr>
        <w:t>'</w:t>
      </w:r>
      <w:r>
        <w:rPr>
          <w:rFonts w:eastAsia="MS Mincho" w:cs="Times New Roman" w:ascii="Times New Roman" w:hAnsi="Times New Roman"/>
          <w:b/>
          <w:sz w:val="32"/>
          <w:szCs w:val="32"/>
        </w:rPr>
        <w:t>s response after decoding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Receiver UE after decoding assistance information will come to know for which </w:t>
      </w:r>
      <w:r>
        <w:rPr>
          <w:rFonts w:eastAsia="MS Mincho" w:cs="Times New Roman" w:ascii="Times New Roman" w:hAnsi="Times New Roman"/>
          <w:color w:val="202124"/>
          <w:sz w:val="27"/>
        </w:rPr>
        <w:t>p</w:t>
      </w:r>
      <w:r>
        <w:rPr>
          <w:rFonts w:eastAsia="MS Mincho" w:cs="Times New Roman" w:ascii="Times New Roman" w:hAnsi="Times New Roman"/>
        </w:rPr>
        <w:t>urpose it was sent i.e weather it was conveyed in order to assist the resource allocation or it was sent to indicate the collision with another UE. However, it is up-to the receiver UE on how to utilize the assistance information. Either it checks it’s own results along with assistance information or it may use the assistance information directly to allocate resources. The received assistance information should help UE to take better decision about sidelink resource selection without restricting its flexibility in resource selection. Receiving UE should be able to ignore the assistance information in certain situation like high priority traffic, critical services etc. Such scenarios should be clearly studied in Rel 17.</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Observation 2: UE </w:t>
      </w:r>
      <w:r>
        <w:rPr>
          <w:rFonts w:eastAsia="MS Mincho" w:cs="Times New Roman" w:ascii="Times New Roman" w:hAnsi="Times New Roman"/>
          <w:b/>
        </w:rPr>
        <w:t>can</w:t>
      </w:r>
      <w:r>
        <w:rPr>
          <w:rFonts w:eastAsia="MS Mincho" w:cs="Times New Roman" w:ascii="Times New Roman" w:hAnsi="Times New Roman"/>
          <w:b/>
        </w:rPr>
        <w:t xml:space="preserve"> </w:t>
      </w:r>
      <w:r>
        <w:rPr>
          <w:rFonts w:eastAsia="MS Mincho" w:cs="Times New Roman" w:ascii="Times New Roman" w:hAnsi="Times New Roman"/>
          <w:b/>
        </w:rPr>
        <w:t>use</w:t>
      </w:r>
      <w:r>
        <w:rPr>
          <w:rFonts w:eastAsia="MS Mincho" w:cs="Times New Roman" w:ascii="Times New Roman" w:hAnsi="Times New Roman"/>
          <w:b/>
        </w:rPr>
        <w:t xml:space="preserve"> the assistance information based on traffic type and priority of the traffic</w:t>
      </w:r>
      <w:bookmarkStart w:id="4" w:name="__DdeLink__1890_745696814"/>
      <w:bookmarkEnd w:id="4"/>
      <w:r>
        <w:rPr>
          <w:rFonts w:eastAsia="MS Mincho" w:cs="Times New Roman" w:ascii="Times New Roman" w:hAnsi="Times New Roman"/>
          <w:b/>
        </w:rPr>
        <w:t xml:space="preserve">.   </w:t>
      </w:r>
    </w:p>
    <w:p>
      <w:pPr>
        <w:pStyle w:val="Normal"/>
        <w:pBdr>
          <w:top w:val="single" w:sz="12" w:space="3" w:color="00000A"/>
          <w:bottom w:val="single" w:sz="4" w:space="1" w:color="00000A"/>
        </w:pBdr>
        <w:spacing w:before="0" w:after="120"/>
        <w:jc w:val="both"/>
        <w:textAlignment w:val="baseline"/>
        <w:rPr/>
      </w:pPr>
      <w:bookmarkStart w:id="5" w:name="__DdeLink__1165_745696814"/>
      <w:r>
        <w:rPr>
          <w:rFonts w:eastAsia="MS Mincho" w:cs="Times New Roman" w:ascii="Times New Roman" w:hAnsi="Times New Roman"/>
          <w:b/>
        </w:rPr>
        <w:t xml:space="preserve">Proposal </w:t>
      </w:r>
      <w:bookmarkEnd w:id="5"/>
      <w:r>
        <w:rPr>
          <w:rFonts w:eastAsia="MS Mincho" w:cs="Times New Roman" w:ascii="Times New Roman" w:hAnsi="Times New Roman"/>
          <w:b/>
        </w:rPr>
        <w:t>6: Assistance information</w:t>
      </w:r>
      <w:r>
        <w:rPr>
          <w:rFonts w:eastAsia="MS Mincho" w:cs="Times New Roman" w:ascii="Times New Roman" w:hAnsi="Times New Roman"/>
          <w:b/>
        </w:rPr>
        <w:t xml:space="preserve"> for </w:t>
      </w:r>
      <w:r>
        <w:rPr>
          <w:rFonts w:eastAsia="MS Mincho" w:cs="Times New Roman" w:ascii="Times New Roman" w:hAnsi="Times New Roman"/>
          <w:b/>
        </w:rPr>
        <w:t xml:space="preserve"> selecting the UE resource in mode 2 </w:t>
      </w:r>
      <w:r>
        <w:rPr>
          <w:rFonts w:eastAsia="MS Mincho" w:cs="Times New Roman" w:ascii="Times New Roman" w:hAnsi="Times New Roman"/>
          <w:b/>
        </w:rPr>
        <w:t>to be supported</w:t>
      </w:r>
      <w:r>
        <w:rPr>
          <w:rFonts w:eastAsia="MS Mincho" w:cs="Times New Roman" w:ascii="Times New Roman" w:hAnsi="Times New Roman"/>
          <w:b/>
        </w:rPr>
        <w:t>.</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r>
    </w:p>
    <w:p>
      <w:pPr>
        <w:pStyle w:val="ListParagraph"/>
        <w:numPr>
          <w:ilvl w:val="0"/>
          <w:numId w:val="6"/>
        </w:numPr>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6"/>
          <w:szCs w:val="36"/>
        </w:rPr>
        <w:t>Conclusion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Feasibility and benefits of NR sidelink mode 2 enhancement is presented. Inter-UE coordination can be key in order to enhance reliability and by supporting blind retransmission. Following are the observation and proposals discussed in this contribution about sidelink mode 2 resource allocation enhancement.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Observation 1: Resource utilization assistance signalling may provide useful information  to UE, </w:t>
      </w:r>
      <w:r>
        <w:rPr>
          <w:rFonts w:eastAsia="MS Mincho" w:cs="Times New Roman" w:ascii="Times New Roman" w:hAnsi="Times New Roman"/>
          <w:b/>
        </w:rPr>
        <w:t>which can</w:t>
      </w:r>
      <w:r>
        <w:rPr>
          <w:rFonts w:eastAsia="MS Mincho" w:cs="Times New Roman" w:ascii="Times New Roman" w:hAnsi="Times New Roman"/>
          <w:b/>
        </w:rPr>
        <w:t xml:space="preserve"> </w:t>
      </w:r>
      <w:r>
        <w:rPr>
          <w:rFonts w:eastAsia="MS Mincho" w:cs="Times New Roman" w:ascii="Times New Roman" w:hAnsi="Times New Roman"/>
          <w:b/>
        </w:rPr>
        <w:t>be</w:t>
      </w:r>
      <w:r>
        <w:rPr>
          <w:rFonts w:eastAsia="MS Mincho" w:cs="Times New Roman" w:ascii="Times New Roman" w:hAnsi="Times New Roman"/>
          <w:b/>
        </w:rPr>
        <w:t xml:space="preserve"> use</w:t>
      </w:r>
      <w:r>
        <w:rPr>
          <w:rFonts w:eastAsia="MS Mincho" w:cs="Times New Roman" w:ascii="Times New Roman" w:hAnsi="Times New Roman"/>
          <w:b/>
        </w:rPr>
        <w:t>d</w:t>
      </w:r>
      <w:r>
        <w:rPr>
          <w:rFonts w:eastAsia="MS Mincho" w:cs="Times New Roman" w:ascii="Times New Roman" w:hAnsi="Times New Roman"/>
          <w:b/>
        </w:rPr>
        <w:t xml:space="preserve">  for better resource utilization  </w:t>
      </w:r>
      <w:r>
        <w:rPr>
          <w:rFonts w:eastAsia="MS Mincho" w:cs="Times New Roman" w:ascii="Times New Roman" w:hAnsi="Times New Roman"/>
          <w:b/>
        </w:rPr>
        <w:t xml:space="preserve">in </w:t>
      </w:r>
      <w:r>
        <w:rPr>
          <w:rFonts w:eastAsia="MS Mincho" w:cs="Times New Roman" w:ascii="Times New Roman" w:hAnsi="Times New Roman"/>
          <w:b/>
        </w:rPr>
        <w:t xml:space="preserve">mode 2.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Observation 2: UE </w:t>
      </w:r>
      <w:r>
        <w:rPr>
          <w:rFonts w:eastAsia="MS Mincho" w:cs="Times New Roman" w:ascii="Times New Roman" w:hAnsi="Times New Roman"/>
          <w:b/>
        </w:rPr>
        <w:t>can</w:t>
      </w:r>
      <w:r>
        <w:rPr>
          <w:rFonts w:eastAsia="MS Mincho" w:cs="Times New Roman" w:ascii="Times New Roman" w:hAnsi="Times New Roman"/>
          <w:b/>
        </w:rPr>
        <w:t xml:space="preserve"> </w:t>
      </w:r>
      <w:r>
        <w:rPr>
          <w:rFonts w:eastAsia="MS Mincho" w:cs="Times New Roman" w:ascii="Times New Roman" w:hAnsi="Times New Roman"/>
          <w:b/>
        </w:rPr>
        <w:t>use</w:t>
      </w:r>
      <w:r>
        <w:rPr>
          <w:rFonts w:eastAsia="MS Mincho" w:cs="Times New Roman" w:ascii="Times New Roman" w:hAnsi="Times New Roman"/>
          <w:b/>
        </w:rPr>
        <w:t xml:space="preserve"> the assistance information based on traffic type and priority of the traffic</w:t>
      </w:r>
      <w:bookmarkStart w:id="6" w:name="__DdeLink__1890_7456968141"/>
      <w:bookmarkEnd w:id="6"/>
      <w:r>
        <w:rPr>
          <w:rFonts w:eastAsia="MS Mincho" w:cs="Times New Roman" w:ascii="Times New Roman" w:hAnsi="Times New Roman"/>
          <w:b/>
        </w:rPr>
        <w:t xml:space="preserv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1: Assistance information signalling should be supported for unicast, groupcast and broadcast transmission in the Rel 17 sidelink.</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2: New SCI format design should be considered for </w:t>
      </w:r>
      <w:r>
        <w:rPr>
          <w:rFonts w:eastAsia="MS Mincho" w:cs="Times New Roman" w:ascii="Times New Roman" w:hAnsi="Times New Roman"/>
          <w:b/>
        </w:rPr>
        <w:t xml:space="preserve">transmitting </w:t>
      </w:r>
      <w:r>
        <w:rPr>
          <w:rFonts w:eastAsia="MS Mincho" w:cs="Times New Roman" w:ascii="Times New Roman" w:hAnsi="Times New Roman"/>
          <w:b/>
        </w:rPr>
        <w:t xml:space="preserve">assistance information in the Rel 17 sidelink at least for broadcast and groupcast </w:t>
      </w:r>
      <w:r>
        <w:rPr>
          <w:rFonts w:eastAsia="MS Mincho" w:cs="Times New Roman" w:ascii="Times New Roman" w:hAnsi="Times New Roman"/>
          <w:b/>
        </w:rPr>
        <w:t>transmission.</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t xml:space="preserve">Proposal 3: In case of unicast, </w:t>
      </w:r>
      <w:r>
        <w:rPr>
          <w:rFonts w:eastAsia="MS Mincho" w:cs="Times New Roman" w:ascii="Times New Roman" w:hAnsi="Times New Roman"/>
          <w:b/>
        </w:rPr>
        <w:t>assistance information is sent as</w:t>
      </w:r>
      <w:r>
        <w:rPr>
          <w:rFonts w:eastAsia="MS Mincho" w:cs="Times New Roman" w:ascii="Times New Roman" w:hAnsi="Times New Roman"/>
          <w:b/>
        </w:rPr>
        <w:t xml:space="preserve"> RRC or MAC message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4: Unicast assistance information should include preferred resource set and non-preferred resource set.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5: In case of broadcast or groupcast transmission over sidelink, assisting UE (Co-UE) should broadcast its own sensing result or unicast assistance information received</w:t>
      </w:r>
    </w:p>
    <w:p>
      <w:pPr>
        <w:pStyle w:val="Normal"/>
        <w:pBdr>
          <w:top w:val="single" w:sz="12" w:space="3" w:color="00000A"/>
          <w:bottom w:val="single" w:sz="4" w:space="1" w:color="00000A"/>
        </w:pBdr>
        <w:spacing w:before="0" w:after="120"/>
        <w:jc w:val="both"/>
        <w:textAlignment w:val="baseline"/>
        <w:rPr/>
      </w:pPr>
      <w:bookmarkStart w:id="7" w:name="__DdeLink__1165_7456968142"/>
      <w:r>
        <w:rPr>
          <w:rFonts w:eastAsia="MS Mincho" w:cs="Times New Roman" w:ascii="Times New Roman" w:hAnsi="Times New Roman"/>
          <w:b/>
        </w:rPr>
        <w:t xml:space="preserve">Proposal </w:t>
      </w:r>
      <w:bookmarkEnd w:id="7"/>
      <w:r>
        <w:rPr>
          <w:rFonts w:eastAsia="MS Mincho" w:cs="Times New Roman" w:ascii="Times New Roman" w:hAnsi="Times New Roman"/>
          <w:b/>
        </w:rPr>
        <w:t>6: Assistance information</w:t>
      </w:r>
      <w:r>
        <w:rPr>
          <w:rFonts w:eastAsia="MS Mincho" w:cs="Times New Roman" w:ascii="Times New Roman" w:hAnsi="Times New Roman"/>
          <w:b/>
        </w:rPr>
        <w:t xml:space="preserve"> for </w:t>
      </w:r>
      <w:r>
        <w:rPr>
          <w:rFonts w:eastAsia="MS Mincho" w:cs="Times New Roman" w:ascii="Times New Roman" w:hAnsi="Times New Roman"/>
          <w:b/>
        </w:rPr>
        <w:t xml:space="preserve"> selecting the UE resource in mode 2 </w:t>
      </w:r>
      <w:r>
        <w:rPr>
          <w:rFonts w:eastAsia="MS Mincho" w:cs="Times New Roman" w:ascii="Times New Roman" w:hAnsi="Times New Roman"/>
          <w:b/>
        </w:rPr>
        <w:t>to be supported</w:t>
      </w:r>
      <w:r>
        <w:rPr>
          <w:rFonts w:eastAsia="MS Mincho" w:cs="Times New Roman" w:ascii="Times New Roman" w:hAnsi="Times New Roman"/>
          <w:b/>
        </w:rPr>
        <w:t>.</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bCs/>
        </w:rPr>
      </w:pPr>
      <w:r>
        <w:rPr>
          <w:rFonts w:eastAsia="MS Mincho" w:cs="Times New Roman" w:ascii="Times New Roman" w:hAnsi="Times New Roman"/>
          <w:b/>
          <w:bCs/>
        </w:rPr>
      </w:r>
    </w:p>
    <w:p>
      <w:pPr>
        <w:pStyle w:val="ListParagraph"/>
        <w:numPr>
          <w:ilvl w:val="0"/>
          <w:numId w:val="6"/>
        </w:numPr>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6"/>
          <w:szCs w:val="36"/>
        </w:rPr>
        <w:t>References</w:t>
      </w:r>
    </w:p>
    <w:p>
      <w:pPr>
        <w:pStyle w:val="References"/>
        <w:numPr>
          <w:ilvl w:val="0"/>
          <w:numId w:val="5"/>
        </w:numPr>
        <w:spacing w:before="120" w:after="120"/>
        <w:rPr/>
      </w:pPr>
      <w:bookmarkStart w:id="8" w:name="_Ref2989"/>
      <w:bookmarkStart w:id="9" w:name="_Ref17466"/>
      <w:r>
        <w:rPr>
          <w:szCs w:val="20"/>
        </w:rPr>
        <w:t>RP-202846 WID revision: NR sidelink enhancement</w:t>
      </w:r>
      <w:bookmarkStart w:id="10" w:name="_Ref8297"/>
      <w:bookmarkEnd w:id="8"/>
      <w:bookmarkEnd w:id="9"/>
      <w:bookmarkEnd w:id="10"/>
      <w:r>
        <w:rPr>
          <w:szCs w:val="20"/>
        </w:rPr>
        <w:t xml:space="preserve"> </w:t>
      </w:r>
    </w:p>
    <w:p>
      <w:pPr>
        <w:pStyle w:val="References"/>
        <w:numPr>
          <w:ilvl w:val="0"/>
          <w:numId w:val="5"/>
        </w:numPr>
        <w:spacing w:before="120" w:after="120"/>
        <w:rPr/>
      </w:pPr>
      <w:r>
        <w:rPr>
          <w:szCs w:val="20"/>
        </w:rPr>
        <w:t xml:space="preserve">R1- </w:t>
      </w:r>
      <w:r>
        <w:rPr>
          <w:szCs w:val="18"/>
        </w:rPr>
        <w:t>2009291</w:t>
      </w:r>
      <w:r>
        <w:rPr>
          <w:szCs w:val="20"/>
        </w:rPr>
        <w:t>:</w:t>
      </w:r>
      <w:r>
        <w:rPr>
          <w:rFonts w:eastAsia="MS Mincho"/>
          <w:szCs w:val="18"/>
        </w:rPr>
        <w:t>Feasibility and benefits for NR Sidelink mode 2 enhancements</w:t>
      </w:r>
    </w:p>
    <w:p>
      <w:pPr>
        <w:pStyle w:val="References"/>
        <w:spacing w:before="120" w:after="120"/>
        <w:rPr/>
      </w:pPr>
      <w:r>
        <w:rP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variable"/>
  </w:font>
  <w:font w:name="Calibri Light">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Segoe UI">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 w:name="Google Sans">
    <w:altName w:val="arial"/>
    <w:charset w:val="01"/>
    <w:family w:val="roman"/>
    <w:pitch w:val="variable"/>
  </w:font>
  <w:font w:name="Symbol">
    <w:charset w:val="02"/>
    <w:family w:val="auto"/>
    <w:pitch w:val="default"/>
  </w:font>
  <w:font w:name="Wingdings">
    <w:charset w:val="02"/>
    <w:family w:val="auto"/>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1141"/>
        </w:tabs>
        <w:ind w:left="1141" w:hanging="432"/>
      </w:pPr>
      <w:rPr>
        <w:sz w:val="32"/>
        <w:b/>
        <w:lang w:val="en-US"/>
      </w:rPr>
    </w:lvl>
    <w:lvl w:ilvl="1">
      <w:start w:val="1"/>
      <w:numFmt w:val="decimal"/>
      <w:lvlText w:val="%1.%2"/>
      <w:lvlJc w:val="left"/>
      <w:pPr>
        <w:tabs>
          <w:tab w:val="num" w:pos="1285"/>
        </w:tabs>
        <w:ind w:left="1285" w:hanging="576"/>
      </w:pPr>
      <w:rPr>
        <w:sz w:val="32"/>
        <w:i w:val="false"/>
        <w:szCs w:val="32"/>
        <w:lang w:val="en-US"/>
      </w:rPr>
    </w:lvl>
    <w:lvl w:ilvl="2">
      <w:start w:val="1"/>
      <w:numFmt w:val="decimal"/>
      <w:lvlText w:val="%1.%2.%3"/>
      <w:lvlJc w:val="left"/>
      <w:pPr>
        <w:tabs>
          <w:tab w:val="num" w:pos="709"/>
        </w:tabs>
        <w:ind w:left="709" w:hanging="0"/>
      </w:pPr>
      <w:rPr>
        <w:lang w:val="en-US"/>
      </w:rPr>
    </w:lvl>
    <w:lvl w:ilvl="3">
      <w:start w:val="1"/>
      <w:numFmt w:val="decimal"/>
      <w:lvlText w:val="%1.%2.%3.%4"/>
      <w:lvlJc w:val="left"/>
      <w:pPr>
        <w:tabs>
          <w:tab w:val="num" w:pos="2141"/>
        </w:tabs>
        <w:ind w:left="2141" w:hanging="864"/>
      </w:pPr>
    </w:lvl>
    <w:lvl w:ilvl="4">
      <w:start w:val="1"/>
      <w:numFmt w:val="decimal"/>
      <w:lvlText w:val="%1.%2.%3.%4.%5"/>
      <w:lvlJc w:val="left"/>
      <w:pPr>
        <w:tabs>
          <w:tab w:val="num" w:pos="1789"/>
        </w:tabs>
        <w:ind w:left="1717" w:hanging="1008"/>
      </w:pPr>
    </w:lvl>
    <w:lvl w:ilvl="5">
      <w:start w:val="1"/>
      <w:numFmt w:val="decimal"/>
      <w:lvlText w:val="%1.%2.%3.%4.%5.%6"/>
      <w:lvlJc w:val="left"/>
      <w:pPr>
        <w:tabs>
          <w:tab w:val="num" w:pos="2149"/>
        </w:tabs>
        <w:ind w:left="1861" w:hanging="1152"/>
      </w:pPr>
    </w:lvl>
    <w:lvl w:ilvl="6">
      <w:start w:val="1"/>
      <w:numFmt w:val="decimal"/>
      <w:lvlText w:val="%1.%2.%3.%4.%5.%6.%7"/>
      <w:lvlJc w:val="left"/>
      <w:pPr>
        <w:tabs>
          <w:tab w:val="num" w:pos="2509"/>
        </w:tabs>
        <w:ind w:left="2005" w:hanging="1296"/>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293"/>
        </w:tabs>
        <w:ind w:left="2293" w:hanging="1584"/>
      </w:pPr>
    </w:lvl>
  </w:abstractNum>
  <w:abstractNum w:abstractNumId="2">
    <w:lvl w:ilvl="0">
      <w:start w:val="1"/>
      <w:numFmt w:val="bullet"/>
      <w:lvlText w:val=""/>
      <w:lvlJc w:val="left"/>
      <w:pPr>
        <w:ind w:left="800" w:hanging="400"/>
      </w:pPr>
      <w:rPr>
        <w:rFonts w:ascii="Symbol" w:hAnsi="Symbol" w:cs="Symbol" w:hint="default"/>
        <w:rFonts w:cs="Symbol"/>
      </w:rPr>
    </w:lvl>
    <w:lvl w:ilvl="1">
      <w:start w:val="1"/>
      <w:numFmt w:val="bullet"/>
      <w:lvlText w:val=""/>
      <w:lvlJc w:val="left"/>
      <w:pPr>
        <w:ind w:left="1200" w:hanging="400"/>
      </w:pPr>
      <w:rPr>
        <w:rFonts w:ascii="Wingdings" w:hAnsi="Wingdings" w:cs="Wingdings" w:hint="default"/>
        <w:rFonts w:cs="Wingdings"/>
      </w:rPr>
    </w:lvl>
    <w:lvl w:ilvl="2">
      <w:start w:val="1"/>
      <w:numFmt w:val="bullet"/>
      <w:lvlText w:val=""/>
      <w:lvlJc w:val="left"/>
      <w:pPr>
        <w:ind w:left="1600" w:hanging="400"/>
      </w:pPr>
      <w:rPr>
        <w:rFonts w:ascii="Symbol" w:hAnsi="Symbol" w:cs="Symbol" w:hint="default"/>
        <w:rFonts w:cs="Symbol"/>
      </w:rPr>
    </w:lvl>
    <w:lvl w:ilvl="3">
      <w:start w:val="1"/>
      <w:numFmt w:val="bullet"/>
      <w:lvlText w:val=""/>
      <w:lvlJc w:val="left"/>
      <w:pPr>
        <w:ind w:left="2000" w:hanging="400"/>
      </w:pPr>
      <w:rPr>
        <w:rFonts w:ascii="Symbol" w:hAnsi="Symbol" w:cs="Symbol" w:hint="default"/>
        <w:rFonts w:cs="Symbol"/>
      </w:rPr>
    </w:lvl>
    <w:lvl w:ilvl="4">
      <w:start w:val="1"/>
      <w:numFmt w:val="bullet"/>
      <w:lvlText w:val=""/>
      <w:lvlJc w:val="left"/>
      <w:pPr>
        <w:ind w:left="2400" w:hanging="400"/>
      </w:pPr>
      <w:rPr>
        <w:rFonts w:ascii="Wingdings" w:hAnsi="Wingdings" w:cs="Wingdings" w:hint="default"/>
        <w:rFonts w:cs="Wingdings"/>
      </w:rPr>
    </w:lvl>
    <w:lvl w:ilvl="5">
      <w:start w:val="1"/>
      <w:numFmt w:val="bullet"/>
      <w:lvlText w:val=""/>
      <w:lvlJc w:val="left"/>
      <w:pPr>
        <w:ind w:left="2800" w:hanging="400"/>
      </w:pPr>
      <w:rPr>
        <w:rFonts w:ascii="Wingdings" w:hAnsi="Wingdings" w:cs="Wingdings" w:hint="default"/>
        <w:rFonts w:cs="Wingdings"/>
      </w:rPr>
    </w:lvl>
    <w:lvl w:ilvl="6">
      <w:start w:val="1"/>
      <w:numFmt w:val="bullet"/>
      <w:lvlText w:val=""/>
      <w:lvlJc w:val="left"/>
      <w:pPr>
        <w:ind w:left="3200" w:hanging="400"/>
      </w:pPr>
      <w:rPr>
        <w:rFonts w:ascii="Wingdings" w:hAnsi="Wingdings" w:cs="Wingdings" w:hint="default"/>
        <w:rFonts w:cs="Wingdings"/>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3">
    <w:lvl w:ilvl="0">
      <w:start w:val="1"/>
      <w:numFmt w:val="bullet"/>
      <w:lvlText w:val=""/>
      <w:lvlJc w:val="left"/>
      <w:pPr>
        <w:ind w:left="800" w:hanging="400"/>
      </w:pPr>
      <w:rPr>
        <w:rFonts w:ascii="Symbol" w:hAnsi="Symbol" w:cs="Symbol" w:hint="default"/>
        <w:rFonts w:cs="Symbol"/>
      </w:rPr>
    </w:lvl>
    <w:lvl w:ilvl="1">
      <w:start w:val="1"/>
      <w:numFmt w:val="bullet"/>
      <w:lvlText w:val="o"/>
      <w:lvlJc w:val="left"/>
      <w:pPr>
        <w:ind w:left="1200" w:hanging="400"/>
      </w:pPr>
      <w:rPr>
        <w:rFonts w:ascii="Courier New" w:hAnsi="Courier New" w:cs="Courier New" w:hint="default"/>
        <w:rFonts w:cs="Courier New"/>
      </w:rPr>
    </w:lvl>
    <w:lvl w:ilvl="2">
      <w:start w:val="1"/>
      <w:numFmt w:val="bullet"/>
      <w:lvlText w:val=""/>
      <w:lvlJc w:val="left"/>
      <w:pPr>
        <w:ind w:left="1600" w:hanging="400"/>
      </w:pPr>
      <w:rPr>
        <w:rFonts w:ascii="Wingdings" w:hAnsi="Wingdings" w:cs="Wingdings" w:hint="default"/>
        <w:rFonts w:cs="Wingdings"/>
      </w:rPr>
    </w:lvl>
    <w:lvl w:ilvl="3">
      <w:start w:val="1"/>
      <w:numFmt w:val="bullet"/>
      <w:lvlText w:val=""/>
      <w:lvlJc w:val="left"/>
      <w:pPr>
        <w:ind w:left="2000" w:hanging="400"/>
      </w:pPr>
      <w:rPr>
        <w:rFonts w:ascii="Wingdings" w:hAnsi="Wingdings" w:cs="Wingdings" w:hint="default"/>
        <w:rFonts w:cs="Wingdings"/>
      </w:rPr>
    </w:lvl>
    <w:lvl w:ilvl="4">
      <w:start w:val="1"/>
      <w:numFmt w:val="bullet"/>
      <w:lvlText w:val=""/>
      <w:lvlJc w:val="left"/>
      <w:pPr>
        <w:ind w:left="2400" w:hanging="400"/>
      </w:pPr>
      <w:rPr>
        <w:rFonts w:ascii="Wingdings" w:hAnsi="Wingdings" w:cs="Wingdings" w:hint="default"/>
        <w:rFonts w:cs="Wingdings"/>
      </w:rPr>
    </w:lvl>
    <w:lvl w:ilvl="5">
      <w:start w:val="1"/>
      <w:numFmt w:val="bullet"/>
      <w:lvlText w:val=""/>
      <w:lvlJc w:val="left"/>
      <w:pPr>
        <w:ind w:left="2800" w:hanging="400"/>
      </w:pPr>
      <w:rPr>
        <w:rFonts w:ascii="Wingdings" w:hAnsi="Wingdings" w:cs="Wingdings" w:hint="default"/>
        <w:rFonts w:cs="Wingdings"/>
      </w:rPr>
    </w:lvl>
    <w:lvl w:ilvl="6">
      <w:start w:val="1"/>
      <w:numFmt w:val="bullet"/>
      <w:lvlText w:val=""/>
      <w:lvlJc w:val="left"/>
      <w:pPr>
        <w:ind w:left="3200" w:hanging="400"/>
      </w:pPr>
      <w:rPr>
        <w:rFonts w:ascii="Wingdings" w:hAnsi="Wingdings" w:cs="Wingdings" w:hint="default"/>
        <w:rFonts w:cs="Wingdings"/>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4">
    <w:lvl w:ilvl="0">
      <w:start w:val="1"/>
      <w:numFmt w:val="bullet"/>
      <w:lvlText w:val=""/>
      <w:lvlJc w:val="left"/>
      <w:pPr>
        <w:ind w:left="1920" w:hanging="360"/>
      </w:pPr>
      <w:rPr>
        <w:rFonts w:ascii="Wingdings" w:hAnsi="Wingdings" w:cs="Wingdings" w:hint="default"/>
        <w:rFonts w:cs="Wingdings"/>
      </w:rPr>
    </w:lvl>
    <w:lvl w:ilvl="1">
      <w:start w:val="1"/>
      <w:numFmt w:val="bullet"/>
      <w:lvlText w:val="o"/>
      <w:lvlJc w:val="left"/>
      <w:pPr>
        <w:ind w:left="2640" w:hanging="360"/>
      </w:pPr>
      <w:rPr>
        <w:rFonts w:ascii="Courier New" w:hAnsi="Courier New" w:cs="Courier New" w:hint="default"/>
        <w:rFonts w:cs="Courier New"/>
      </w:rPr>
    </w:lvl>
    <w:lvl w:ilvl="2">
      <w:start w:val="1"/>
      <w:numFmt w:val="bullet"/>
      <w:lvlText w:val=""/>
      <w:lvlJc w:val="left"/>
      <w:pPr>
        <w:ind w:left="3360" w:hanging="360"/>
      </w:pPr>
      <w:rPr>
        <w:rFonts w:ascii="Wingdings" w:hAnsi="Wingdings" w:cs="Wingdings" w:hint="default"/>
        <w:rFonts w:cs="Wingdings"/>
      </w:rPr>
    </w:lvl>
    <w:lvl w:ilvl="3">
      <w:start w:val="1"/>
      <w:numFmt w:val="bullet"/>
      <w:lvlText w:val=""/>
      <w:lvlJc w:val="left"/>
      <w:pPr>
        <w:ind w:left="4080" w:hanging="360"/>
      </w:pPr>
      <w:rPr>
        <w:rFonts w:ascii="Symbol" w:hAnsi="Symbol" w:cs="Symbol" w:hint="default"/>
        <w:rFonts w:cs="Symbol"/>
      </w:rPr>
    </w:lvl>
    <w:lvl w:ilvl="4">
      <w:start w:val="1"/>
      <w:numFmt w:val="bullet"/>
      <w:lvlText w:val="o"/>
      <w:lvlJc w:val="left"/>
      <w:pPr>
        <w:ind w:left="4800" w:hanging="360"/>
      </w:pPr>
      <w:rPr>
        <w:rFonts w:ascii="Courier New" w:hAnsi="Courier New" w:cs="Courier New" w:hint="default"/>
        <w:rFonts w:cs="Courier New"/>
      </w:rPr>
    </w:lvl>
    <w:lvl w:ilvl="5">
      <w:start w:val="1"/>
      <w:numFmt w:val="bullet"/>
      <w:lvlText w:val=""/>
      <w:lvlJc w:val="left"/>
      <w:pPr>
        <w:ind w:left="5520" w:hanging="360"/>
      </w:pPr>
      <w:rPr>
        <w:rFonts w:ascii="Wingdings" w:hAnsi="Wingdings" w:cs="Wingdings" w:hint="default"/>
        <w:rFonts w:cs="Wingdings"/>
      </w:rPr>
    </w:lvl>
    <w:lvl w:ilvl="6">
      <w:start w:val="1"/>
      <w:numFmt w:val="bullet"/>
      <w:lvlText w:val=""/>
      <w:lvlJc w:val="left"/>
      <w:pPr>
        <w:ind w:left="6240" w:hanging="360"/>
      </w:pPr>
      <w:rPr>
        <w:rFonts w:ascii="Symbol" w:hAnsi="Symbol" w:cs="Symbol" w:hint="default"/>
        <w:rFonts w:cs="Symbol"/>
      </w:rPr>
    </w:lvl>
    <w:lvl w:ilvl="7">
      <w:start w:val="1"/>
      <w:numFmt w:val="bullet"/>
      <w:lvlText w:val="o"/>
      <w:lvlJc w:val="left"/>
      <w:pPr>
        <w:ind w:left="6960" w:hanging="360"/>
      </w:pPr>
      <w:rPr>
        <w:rFonts w:ascii="Courier New" w:hAnsi="Courier New" w:cs="Courier New" w:hint="default"/>
        <w:rFonts w:cs="Courier New"/>
      </w:rPr>
    </w:lvl>
    <w:lvl w:ilvl="8">
      <w:start w:val="1"/>
      <w:numFmt w:val="bullet"/>
      <w:lvlText w:val=""/>
      <w:lvlJc w:val="left"/>
      <w:pPr>
        <w:ind w:left="7680" w:hanging="360"/>
      </w:pPr>
      <w:rPr>
        <w:rFonts w:ascii="Wingdings" w:hAnsi="Wingdings" w:cs="Wingdings" w:hint="default"/>
        <w:rFonts w:cs="Wingdings"/>
      </w:rPr>
    </w:lvl>
  </w:abstractNum>
  <w:abstractNum w:abstractNumId="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3"/>
      <w:numFmt w:val="decimal"/>
      <w:lvlText w:val="%1"/>
      <w:lvlJc w:val="left"/>
      <w:pPr>
        <w:tabs>
          <w:tab w:val="num" w:pos="432"/>
        </w:tabs>
        <w:ind w:left="432" w:hanging="432"/>
      </w:pPr>
      <w:rPr>
        <w:sz w:val="36"/>
        <w: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hanging="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53"/>
  <w:trackRevisions/>
  <w:defaultTabStop w:val="709"/>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en-IN"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oto Sans CJK SC Regular" w:cs="FreeSans"/>
      <w:color w:val="00000A"/>
      <w:sz w:val="24"/>
      <w:szCs w:val="24"/>
      <w:lang w:val="en-IN" w:eastAsia="zh-CN" w:bidi="hi-IN"/>
    </w:rPr>
  </w:style>
  <w:style w:type="paragraph" w:styleId="Heading1">
    <w:name w:val="Heading 1"/>
    <w:basedOn w:val="Heading"/>
    <w:next w:val="Normal"/>
    <w:qFormat/>
    <w:pPr>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2e761f"/>
    <w:pPr>
      <w:tabs>
        <w:tab w:val="left" w:pos="1285" w:leader="none"/>
      </w:tabs>
      <w:suppressAutoHyphens w:val="false"/>
      <w:spacing w:before="180" w:after="120"/>
      <w:ind w:left="1285" w:hanging="576"/>
      <w:textAlignment w:val="baseline"/>
      <w:outlineLvl w:val="1"/>
    </w:pPr>
    <w:rPr>
      <w:rFonts w:eastAsia="SimSun" w:cs="Times New Roman"/>
      <w:szCs w:val="20"/>
      <w:lang w:val="en-GB" w:bidi="ar-SA"/>
    </w:rPr>
  </w:style>
  <w:style w:type="paragraph" w:styleId="Heading3">
    <w:name w:val="Heading 3"/>
    <w:basedOn w:val="Heading2"/>
    <w:next w:val="Normal"/>
    <w:link w:val="Heading3Char"/>
    <w:qFormat/>
    <w:rsid w:val="002e761f"/>
    <w:pPr>
      <w:tabs>
        <w:tab w:val="left" w:pos="709" w:leader="none"/>
        <w:tab w:val="left" w:pos="1285" w:leader="none"/>
      </w:tabs>
      <w:spacing w:before="120" w:after="120"/>
      <w:ind w:left="709" w:hanging="0"/>
      <w:outlineLvl w:val="2"/>
    </w:pPr>
    <w:rPr>
      <w:sz w:val="28"/>
    </w:rPr>
  </w:style>
  <w:style w:type="paragraph" w:styleId="Heading4">
    <w:name w:val="Heading 4"/>
    <w:basedOn w:val="Normal"/>
    <w:next w:val="Normal"/>
    <w:link w:val="Heading4Char"/>
    <w:uiPriority w:val="9"/>
    <w:semiHidden/>
    <w:unhideWhenUsed/>
    <w:qFormat/>
    <w:rsid w:val="0056203b"/>
    <w:pPr>
      <w:keepNext/>
      <w:keepLines/>
      <w:spacing w:before="40" w:after="0"/>
      <w:outlineLvl w:val="3"/>
    </w:pPr>
    <w:rPr>
      <w:rFonts w:ascii="Calibri Light" w:hAnsi="Calibri Light" w:eastAsia="" w:cs="Mangal" w:asciiTheme="majorHAnsi" w:eastAsiaTheme="majorEastAsia" w:hAnsiTheme="majorHAnsi"/>
      <w:i/>
      <w:iCs/>
      <w:color w:val="2F5496" w:themeColor="accent1" w:themeShade="bf"/>
      <w:szCs w:val="21"/>
    </w:rPr>
  </w:style>
  <w:style w:type="character" w:styleId="DefaultParagraphFont" w:default="1">
    <w:name w:val="Default Paragraph Font"/>
    <w:uiPriority w:val="1"/>
    <w:semiHidden/>
    <w:unhideWhenUsed/>
    <w:qFormat/>
    <w:rPr/>
  </w:style>
  <w:style w:type="character" w:styleId="WW8Num28z0" w:customStyle="1">
    <w:name w:val="WW8Num28z0"/>
    <w:qFormat/>
    <w:rPr>
      <w:rFonts w:ascii="Symbol" w:hAnsi="Symbol" w:cs="Symbol"/>
      <w:szCs w:val="20"/>
      <w:lang w:eastAsia="zh-CN"/>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9z0" w:customStyle="1">
    <w:name w:val="WW8Num29z0"/>
    <w:qFormat/>
    <w:rPr>
      <w:rFonts w:ascii="Symbol" w:hAnsi="Symbol" w:cs="Symbol"/>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33z0" w:customStyle="1">
    <w:name w:val="WW8Num33z0"/>
    <w:qFormat/>
    <w:rPr>
      <w:rFonts w:ascii="Symbol" w:hAnsi="Symbol" w:cs="Symbol"/>
      <w:lang w:eastAsia="en-US"/>
    </w:rPr>
  </w:style>
  <w:style w:type="character" w:styleId="WW8Num33z1" w:customStyle="1">
    <w:name w:val="WW8Num33z1"/>
    <w:qFormat/>
    <w:rPr>
      <w:rFonts w:ascii="Courier New" w:hAnsi="Courier New" w:cs="Courier New"/>
    </w:rPr>
  </w:style>
  <w:style w:type="character" w:styleId="WW8Num33z2" w:customStyle="1">
    <w:name w:val="WW8Num33z2"/>
    <w:qFormat/>
    <w:rPr>
      <w:rFonts w:ascii="Wingdings" w:hAnsi="Wingdings" w:cs="Wingdings"/>
    </w:rPr>
  </w:style>
  <w:style w:type="character" w:styleId="CommentTextChar" w:customStyle="1">
    <w:name w:val="Comment Text Char"/>
    <w:basedOn w:val="DefaultParagraphFont"/>
    <w:link w:val="CommentText"/>
    <w:uiPriority w:val="99"/>
    <w:semiHidden/>
    <w:qFormat/>
    <w:rPr>
      <w:rFonts w:cs="Mangal"/>
      <w:sz w:val="20"/>
      <w:szCs w:val="18"/>
    </w:rPr>
  </w:style>
  <w:style w:type="character" w:styleId="Annotationreference">
    <w:name w:val="annotation reference"/>
    <w:basedOn w:val="DefaultParagraphFont"/>
    <w:uiPriority w:val="99"/>
    <w:semiHidden/>
    <w:unhideWhenUsed/>
    <w:qFormat/>
    <w:rPr>
      <w:sz w:val="16"/>
      <w:szCs w:val="16"/>
    </w:rPr>
  </w:style>
  <w:style w:type="character" w:styleId="BalloonTextChar" w:customStyle="1">
    <w:name w:val="Balloon Text Char"/>
    <w:basedOn w:val="DefaultParagraphFont"/>
    <w:link w:val="BalloonText"/>
    <w:uiPriority w:val="99"/>
    <w:semiHidden/>
    <w:qFormat/>
    <w:rsid w:val="00fa7bc3"/>
    <w:rPr>
      <w:rFonts w:ascii="Segoe UI" w:hAnsi="Segoe UI" w:cs="Mangal"/>
      <w:sz w:val="18"/>
      <w:szCs w:val="16"/>
    </w:rPr>
  </w:style>
  <w:style w:type="character" w:styleId="CommentSubjectChar" w:customStyle="1">
    <w:name w:val="Comment Subject Char"/>
    <w:basedOn w:val="CommentTextChar"/>
    <w:link w:val="CommentSubject"/>
    <w:uiPriority w:val="99"/>
    <w:semiHidden/>
    <w:qFormat/>
    <w:rsid w:val="00497f0c"/>
    <w:rPr>
      <w:rFonts w:cs="Mangal"/>
      <w:b/>
      <w:bCs/>
      <w:sz w:val="20"/>
      <w:szCs w:val="18"/>
    </w:rPr>
  </w:style>
  <w:style w:type="character" w:styleId="NumberingSymbols" w:customStyle="1">
    <w:name w:val="Numbering Symbols"/>
    <w:qFormat/>
    <w:rPr/>
  </w:style>
  <w:style w:type="character" w:styleId="Heading4Char" w:customStyle="1">
    <w:name w:val="Heading 4 Char"/>
    <w:basedOn w:val="DefaultParagraphFont"/>
    <w:link w:val="Heading4"/>
    <w:uiPriority w:val="9"/>
    <w:semiHidden/>
    <w:qFormat/>
    <w:rsid w:val="0056203b"/>
    <w:rPr>
      <w:rFonts w:ascii="Calibri Light" w:hAnsi="Calibri Light" w:eastAsia="" w:cs="Mangal" w:asciiTheme="majorHAnsi" w:eastAsiaTheme="majorEastAsia" w:hAnsiTheme="majorHAnsi"/>
      <w:i/>
      <w:iCs/>
      <w:color w:val="2F5496" w:themeColor="accent1" w:themeShade="bf"/>
      <w:sz w:val="24"/>
      <w:szCs w:val="21"/>
    </w:rPr>
  </w:style>
  <w:style w:type="character" w:styleId="Heading2Char" w:customStyle="1">
    <w:name w:val="Heading 2 Char"/>
    <w:basedOn w:val="DefaultParagraphFont"/>
    <w:link w:val="Heading2"/>
    <w:qFormat/>
    <w:rsid w:val="002e761f"/>
    <w:rPr>
      <w:rFonts w:ascii="Arial" w:hAnsi="Arial" w:eastAsia="SimSun" w:cs="Times New Roman"/>
      <w:sz w:val="32"/>
      <w:szCs w:val="20"/>
      <w:lang w:val="en-GB" w:eastAsia="en-US" w:bidi="ar-SA"/>
    </w:rPr>
  </w:style>
  <w:style w:type="character" w:styleId="Heading3Char" w:customStyle="1">
    <w:name w:val="Heading 3 Char"/>
    <w:basedOn w:val="DefaultParagraphFont"/>
    <w:link w:val="Heading3"/>
    <w:qFormat/>
    <w:rsid w:val="002e761f"/>
    <w:rPr>
      <w:rFonts w:ascii="Arial" w:hAnsi="Arial" w:eastAsia="SimSun" w:cs="Times New Roman"/>
      <w:sz w:val="28"/>
      <w:szCs w:val="20"/>
      <w:lang w:val="en-GB" w:eastAsia="en-US" w:bidi="ar-SA"/>
    </w:rPr>
  </w:style>
  <w:style w:type="character" w:styleId="ListParagraphChar" w:customStyle="1">
    <w:name w:val="List Paragraph Char"/>
    <w:link w:val="ListParagraph"/>
    <w:uiPriority w:val="34"/>
    <w:qFormat/>
    <w:locked/>
    <w:rsid w:val="002e761f"/>
    <w:rPr>
      <w:color w:val="00000A"/>
      <w:sz w:val="24"/>
    </w:rPr>
  </w:style>
  <w:style w:type="character" w:styleId="3GPPTextChar" w:customStyle="1">
    <w:name w:val="3GPP Text Char"/>
    <w:link w:val="3GPPText"/>
    <w:qFormat/>
    <w:rsid w:val="002e761f"/>
    <w:rPr>
      <w:rFonts w:eastAsia="SimSun"/>
      <w:color w:val="00000A"/>
      <w:sz w:val="22"/>
      <w:lang w:val="en-US"/>
    </w:rPr>
  </w:style>
  <w:style w:type="character" w:styleId="3GPPH1Char" w:customStyle="1">
    <w:name w:val="3GPP H1 Char"/>
    <w:link w:val="3GPPH1"/>
    <w:qFormat/>
    <w:rsid w:val="002e761f"/>
    <w:rPr>
      <w:rFonts w:ascii="Arial" w:hAnsi="Arial" w:eastAsia="SimSun" w:cs="Times New Roman"/>
      <w:sz w:val="36"/>
      <w:szCs w:val="20"/>
      <w:lang w:val="en-GB" w:eastAsia="en-US" w:bidi="ar-SA"/>
    </w:rPr>
  </w:style>
  <w:style w:type="character" w:styleId="HeaderChar" w:customStyle="1">
    <w:name w:val="Header Char"/>
    <w:basedOn w:val="DefaultParagraphFont"/>
    <w:link w:val="Header"/>
    <w:uiPriority w:val="99"/>
    <w:qFormat/>
    <w:rsid w:val="004a6b74"/>
    <w:rPr>
      <w:rFonts w:cs="Mangal"/>
      <w:color w:val="00000A"/>
      <w:sz w:val="24"/>
      <w:szCs w:val="21"/>
    </w:rPr>
  </w:style>
  <w:style w:type="character" w:styleId="FooterChar" w:customStyle="1">
    <w:name w:val="Footer Char"/>
    <w:basedOn w:val="DefaultParagraphFont"/>
    <w:link w:val="Footer"/>
    <w:uiPriority w:val="99"/>
    <w:qFormat/>
    <w:rsid w:val="004a6b74"/>
    <w:rPr>
      <w:rFonts w:cs="Mangal"/>
      <w:color w:val="00000A"/>
      <w:sz w:val="24"/>
      <w:szCs w:val="21"/>
    </w:rPr>
  </w:style>
  <w:style w:type="character" w:styleId="ListLabel1">
    <w:name w:val="ListLabel 1"/>
    <w:qFormat/>
    <w:rPr>
      <w:b/>
      <w:sz w:val="32"/>
      <w:lang w:val="en-US"/>
    </w:rPr>
  </w:style>
  <w:style w:type="character" w:styleId="ListLabel2">
    <w:name w:val="ListLabel 2"/>
    <w:qFormat/>
    <w:rPr>
      <w:i w:val="false"/>
      <w:sz w:val="32"/>
      <w:szCs w:val="32"/>
      <w:lang w:val="en-US"/>
    </w:rPr>
  </w:style>
  <w:style w:type="character" w:styleId="ListLabel3">
    <w:name w:val="ListLabel 3"/>
    <w:qFormat/>
    <w:rPr>
      <w:lang w:val="en-US"/>
    </w:rPr>
  </w:style>
  <w:style w:type="character" w:styleId="ListLabel4">
    <w:name w:val="ListLabel 4"/>
    <w:qFormat/>
    <w:rPr>
      <w:rFonts w:cs="Symbol"/>
    </w:rPr>
  </w:style>
  <w:style w:type="character" w:styleId="ListLabel5">
    <w:name w:val="ListLabel 5"/>
    <w:qFormat/>
    <w:rPr>
      <w:rFonts w:cs="Wingdings"/>
    </w:rPr>
  </w:style>
  <w:style w:type="character" w:styleId="ListLabel6">
    <w:name w:val="ListLabel 6"/>
    <w:qFormat/>
    <w:rPr>
      <w:rFonts w:cs="Symbol"/>
    </w:rPr>
  </w:style>
  <w:style w:type="character" w:styleId="ListLabel7">
    <w:name w:val="ListLabel 7"/>
    <w:qFormat/>
    <w:rPr>
      <w:rFonts w:cs="Symbol"/>
    </w:rPr>
  </w:style>
  <w:style w:type="character" w:styleId="ListLabel8">
    <w:name w:val="ListLabel 8"/>
    <w:qFormat/>
    <w:rPr>
      <w:rFonts w:cs="Wingdings"/>
    </w:rPr>
  </w:style>
  <w:style w:type="character" w:styleId="ListLabel9">
    <w:name w:val="ListLabel 9"/>
    <w:qFormat/>
    <w:rPr>
      <w:rFonts w:cs="Wingdings"/>
    </w:rPr>
  </w:style>
  <w:style w:type="character" w:styleId="ListLabel10">
    <w:name w:val="ListLabel 10"/>
    <w:qFormat/>
    <w:rPr>
      <w:rFonts w:cs="Wingdings"/>
    </w:rPr>
  </w:style>
  <w:style w:type="character" w:styleId="ListLabel11">
    <w:name w:val="ListLabel 11"/>
    <w:qFormat/>
    <w:rPr>
      <w:rFonts w:cs="Wingdings"/>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Wingdings"/>
    </w:rPr>
  </w:style>
  <w:style w:type="character" w:styleId="ListLabel17">
    <w:name w:val="ListLabel 17"/>
    <w:qFormat/>
    <w:rPr>
      <w:rFonts w:cs="Wingdings"/>
    </w:rPr>
  </w:style>
  <w:style w:type="character" w:styleId="ListLabel18">
    <w:name w:val="ListLabel 18"/>
    <w:qFormat/>
    <w:rPr>
      <w:rFonts w:cs="Wingdings"/>
    </w:rPr>
  </w:style>
  <w:style w:type="character" w:styleId="ListLabel19">
    <w:name w:val="ListLabel 19"/>
    <w:qFormat/>
    <w:rPr>
      <w:rFonts w:cs="Wingdings"/>
    </w:rPr>
  </w:style>
  <w:style w:type="character" w:styleId="ListLabel20">
    <w:name w:val="ListLabel 20"/>
    <w:qFormat/>
    <w:rPr>
      <w:rFonts w:cs="Wingdings"/>
    </w:rPr>
  </w:style>
  <w:style w:type="character" w:styleId="ListLabel21">
    <w:name w:val="ListLabel 21"/>
    <w:qFormat/>
    <w:rPr>
      <w:rFonts w:cs="Wingdings"/>
    </w:rPr>
  </w:style>
  <w:style w:type="character" w:styleId="ListLabel22">
    <w:name w:val="ListLabel 22"/>
    <w:qFormat/>
    <w:rPr>
      <w:rFonts w:cs="Wingdings"/>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b/>
      <w:sz w:val="36"/>
    </w:rPr>
  </w:style>
  <w:style w:type="character" w:styleId="ListLabel32">
    <w:name w:val="ListLabel 32"/>
    <w:qFormat/>
    <w:rPr>
      <w:b/>
    </w:rPr>
  </w:style>
  <w:style w:type="character" w:styleId="ListLabel33">
    <w:name w:val="ListLabel 33"/>
    <w:qFormat/>
    <w:rPr>
      <w:b/>
    </w:rPr>
  </w:style>
  <w:style w:type="paragraph" w:styleId="Heading" w:customStyle="1">
    <w:name w:val="Heading"/>
    <w:basedOn w:val="Normal"/>
    <w:next w:val="TextBody"/>
    <w:qFormat/>
    <w:pPr>
      <w:keepNext/>
      <w:spacing w:before="240" w:after="120"/>
    </w:pPr>
    <w:rPr>
      <w:rFonts w:ascii="Liberation Sans" w:hAnsi="Liberation Sans"/>
      <w:sz w:val="28"/>
      <w:szCs w:val="28"/>
    </w:rPr>
  </w:style>
  <w:style w:type="paragraph" w:styleId="TextBody">
    <w:name w:val="Body Text"/>
    <w:basedOn w:val="Normal"/>
    <w:pPr>
      <w:spacing w:lineRule="auto" w:line="288"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style>
  <w:style w:type="paragraph" w:styleId="Caption1">
    <w:name w:val="caption"/>
    <w:basedOn w:val="Normal"/>
    <w:uiPriority w:val="35"/>
    <w:qFormat/>
    <w:pPr>
      <w:suppressLineNumbers/>
      <w:spacing w:before="120" w:after="120"/>
    </w:pPr>
    <w:rPr>
      <w:i/>
      <w:iCs/>
    </w:rPr>
  </w:style>
  <w:style w:type="paragraph" w:styleId="3GPPText" w:customStyle="1">
    <w:name w:val="3GPP Text"/>
    <w:basedOn w:val="Normal"/>
    <w:link w:val="3GPPTextChar"/>
    <w:qFormat/>
    <w:pPr>
      <w:spacing w:before="120" w:after="120"/>
      <w:textAlignment w:val="baseline"/>
    </w:pPr>
    <w:rPr>
      <w:rFonts w:eastAsia="SimSun"/>
      <w:sz w:val="22"/>
      <w:lang w:val="en-US"/>
    </w:rPr>
  </w:style>
  <w:style w:type="paragraph" w:styleId="ListParagraph">
    <w:name w:val="List Paragraph"/>
    <w:basedOn w:val="Normal"/>
    <w:link w:val="ListParagraphChar"/>
    <w:uiPriority w:val="34"/>
    <w:qFormat/>
    <w:pPr>
      <w:ind w:left="840" w:hanging="0"/>
    </w:pPr>
    <w:rPr/>
  </w:style>
  <w:style w:type="paragraph" w:styleId="Annotationtext">
    <w:name w:val="annotation text"/>
    <w:basedOn w:val="Normal"/>
    <w:link w:val="CommentTextChar"/>
    <w:uiPriority w:val="99"/>
    <w:semiHidden/>
    <w:unhideWhenUsed/>
    <w:qFormat/>
    <w:pPr/>
    <w:rPr>
      <w:rFonts w:cs="Mangal"/>
      <w:sz w:val="20"/>
      <w:szCs w:val="18"/>
    </w:rPr>
  </w:style>
  <w:style w:type="paragraph" w:styleId="BalloonText">
    <w:name w:val="Balloon Text"/>
    <w:basedOn w:val="Normal"/>
    <w:link w:val="BalloonTextChar"/>
    <w:uiPriority w:val="99"/>
    <w:semiHidden/>
    <w:unhideWhenUsed/>
    <w:qFormat/>
    <w:rsid w:val="00fa7bc3"/>
    <w:pPr/>
    <w:rPr>
      <w:rFonts w:ascii="Segoe UI" w:hAnsi="Segoe UI" w:cs="Mangal"/>
      <w:sz w:val="18"/>
      <w:szCs w:val="16"/>
    </w:rPr>
  </w:style>
  <w:style w:type="paragraph" w:styleId="Annotationsubject">
    <w:name w:val="annotation subject"/>
    <w:basedOn w:val="Annotationtext"/>
    <w:link w:val="CommentSubjectChar"/>
    <w:uiPriority w:val="99"/>
    <w:semiHidden/>
    <w:unhideWhenUsed/>
    <w:qFormat/>
    <w:rsid w:val="00497f0c"/>
    <w:pPr/>
    <w:rPr>
      <w:b/>
      <w:bCs/>
    </w:rPr>
  </w:style>
  <w:style w:type="paragraph" w:styleId="0maintext" w:customStyle="1">
    <w:name w:val="0maintext"/>
    <w:basedOn w:val="Normal"/>
    <w:qFormat/>
    <w:pPr/>
    <w:rPr>
      <w:rFonts w:ascii="Times New Roman" w:hAnsi="Times New Roman" w:cs="Times New Roman"/>
      <w:sz w:val="16"/>
    </w:rPr>
  </w:style>
  <w:style w:type="paragraph" w:styleId="3GPPAgreements" w:customStyle="1">
    <w:name w:val="3GPP Agreements"/>
    <w:basedOn w:val="Normal"/>
    <w:qFormat/>
    <w:pPr>
      <w:spacing w:lineRule="auto" w:line="252" w:before="60" w:after="60"/>
      <w:jc w:val="both"/>
    </w:pPr>
    <w:rPr>
      <w:rFonts w:ascii="Times New Roman" w:hAnsi="Times New Roman" w:cs="Times New Roman"/>
      <w:sz w:val="20"/>
      <w:szCs w:val="20"/>
    </w:rPr>
  </w:style>
  <w:style w:type="paragraph" w:styleId="3GPPH1" w:customStyle="1">
    <w:name w:val="3GPP H1"/>
    <w:basedOn w:val="Heading1"/>
    <w:link w:val="3GPPH1Char"/>
    <w:qFormat/>
    <w:rsid w:val="002e761f"/>
    <w:pPr>
      <w:pBdr>
        <w:top w:val="single" w:sz="12" w:space="3" w:color="00000A"/>
      </w:pBdr>
      <w:tabs>
        <w:tab w:val="left" w:pos="425" w:leader="none"/>
        <w:tab w:val="left" w:pos="1141" w:leader="none"/>
      </w:tabs>
      <w:suppressAutoHyphens w:val="false"/>
      <w:spacing w:before="240" w:after="120"/>
      <w:ind w:left="425" w:hanging="425"/>
      <w:textAlignment w:val="baseline"/>
    </w:pPr>
    <w:rPr>
      <w:rFonts w:eastAsia="SimSun" w:cs="Times New Roman"/>
      <w:sz w:val="36"/>
      <w:szCs w:val="20"/>
      <w:lang w:val="en-GB" w:bidi="ar-SA"/>
    </w:rPr>
  </w:style>
  <w:style w:type="paragraph" w:styleId="References" w:customStyle="1">
    <w:name w:val="References"/>
    <w:basedOn w:val="Normal"/>
    <w:qFormat/>
    <w:rsid w:val="00271abe"/>
    <w:pPr>
      <w:suppressAutoHyphens w:val="false"/>
      <w:spacing w:lineRule="auto" w:line="276" w:before="120" w:after="60"/>
      <w:jc w:val="both"/>
    </w:pPr>
    <w:rPr>
      <w:rFonts w:ascii="Times New Roman" w:hAnsi="Times New Roman" w:eastAsia="SimSun" w:cs="Times New Roman"/>
      <w:sz w:val="21"/>
      <w:szCs w:val="16"/>
      <w:lang w:val="en-US" w:bidi="ar-SA"/>
    </w:rPr>
  </w:style>
  <w:style w:type="paragraph" w:styleId="HeaderandFooter">
    <w:name w:val="Header and Footer"/>
    <w:basedOn w:val="Normal"/>
    <w:qFormat/>
    <w:pPr/>
    <w:rPr/>
  </w:style>
  <w:style w:type="paragraph" w:styleId="Header">
    <w:name w:val="Header"/>
    <w:basedOn w:val="Normal"/>
    <w:link w:val="HeaderChar"/>
    <w:uiPriority w:val="99"/>
    <w:unhideWhenUsed/>
    <w:rsid w:val="004a6b74"/>
    <w:pPr>
      <w:tabs>
        <w:tab w:val="center" w:pos="4513" w:leader="none"/>
        <w:tab w:val="right" w:pos="9026" w:leader="none"/>
      </w:tabs>
    </w:pPr>
    <w:rPr>
      <w:rFonts w:cs="Mangal"/>
      <w:szCs w:val="21"/>
    </w:rPr>
  </w:style>
  <w:style w:type="paragraph" w:styleId="Footer">
    <w:name w:val="Footer"/>
    <w:basedOn w:val="Normal"/>
    <w:link w:val="FooterChar"/>
    <w:uiPriority w:val="99"/>
    <w:unhideWhenUsed/>
    <w:rsid w:val="004a6b74"/>
    <w:pPr>
      <w:tabs>
        <w:tab w:val="center" w:pos="4513" w:leader="none"/>
        <w:tab w:val="right" w:pos="9026" w:leader="none"/>
      </w:tabs>
    </w:pPr>
    <w:rPr>
      <w:rFonts w:cs="Mangal"/>
      <w:szCs w:val="21"/>
    </w:rPr>
  </w:style>
  <w:style w:type="paragraph" w:styleId="NormalWeb">
    <w:name w:val="Normal (Web)"/>
    <w:basedOn w:val="Normal"/>
    <w:uiPriority w:val="99"/>
    <w:semiHidden/>
    <w:unhideWhenUsed/>
    <w:qFormat/>
    <w:rsid w:val="0035046a"/>
    <w:pPr>
      <w:suppressAutoHyphens w:val="false"/>
      <w:spacing w:beforeAutospacing="1" w:afterAutospacing="1"/>
    </w:pPr>
    <w:rPr>
      <w:rFonts w:ascii="Times New Roman" w:hAnsi="Times New Roman" w:eastAsia="" w:cs="Times New Roman" w:eastAsiaTheme="minorEastAsia"/>
      <w:lang w:eastAsia="en-IN" w:bidi="ar-SA"/>
    </w:rPr>
  </w:style>
  <w:style w:type="numbering" w:styleId="NoList" w:default="1">
    <w:name w:val="No List"/>
    <w:uiPriority w:val="99"/>
    <w:semiHidden/>
    <w:unhideWhenUsed/>
    <w:qFormat/>
  </w:style>
  <w:style w:type="numbering" w:styleId="WW8Num28" w:customStyle="1">
    <w:name w:val="WW8Num28"/>
    <w:qFormat/>
  </w:style>
  <w:style w:type="numbering" w:styleId="WW8Num29" w:customStyle="1">
    <w:name w:val="WW8Num29"/>
    <w:qFormat/>
  </w:style>
  <w:style w:type="numbering" w:styleId="WW8Num33" w:customStyle="1">
    <w:name w:val="WW8Num33"/>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2e761f"/>
    <w:rPr>
      <w:rFonts w:asciiTheme="minorHAnsi" w:hAnsiTheme="minorHAnsi" w:eastAsiaTheme="minorEastAsia" w:cstheme="minorBidi"/>
      <w:lang w:val="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CAB3BBC7931D41B6AB7B0F33BFCBE7" ma:contentTypeVersion="13" ma:contentTypeDescription="Create a new document." ma:contentTypeScope="" ma:versionID="1ba425fb3fe4c020ca63958d11b180ee">
  <xsd:schema xmlns:xsd="http://www.w3.org/2001/XMLSchema" xmlns:xs="http://www.w3.org/2001/XMLSchema" xmlns:p="http://schemas.microsoft.com/office/2006/metadata/properties" xmlns:ns3="68cd42d7-0533-4e2c-ae97-b47c398fd9bb" xmlns:ns4="eda899dc-e459-4043-bf79-71084a6185b3" targetNamespace="http://schemas.microsoft.com/office/2006/metadata/properties" ma:root="true" ma:fieldsID="b00238adbf4704c8db5f94a91076058b" ns3:_="" ns4:_="">
    <xsd:import namespace="68cd42d7-0533-4e2c-ae97-b47c398fd9bb"/>
    <xsd:import namespace="eda899dc-e459-4043-bf79-71084a6185b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d42d7-0533-4e2c-ae97-b47c398fd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899dc-e459-4043-bf79-71084a6185b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2BEE96-D9BB-47EB-83AE-617FD9C6E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d42d7-0533-4e2c-ae97-b47c398fd9bb"/>
    <ds:schemaRef ds:uri="eda899dc-e459-4043-bf79-71084a618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43040-B111-4391-8022-249542559B8B}">
  <ds:schemaRefs>
    <ds:schemaRef ds:uri="http://schemas.openxmlformats.org/officeDocument/2006/bibliography"/>
  </ds:schemaRefs>
</ds:datastoreItem>
</file>

<file path=customXml/itemProps3.xml><?xml version="1.0" encoding="utf-8"?>
<ds:datastoreItem xmlns:ds="http://schemas.openxmlformats.org/officeDocument/2006/customXml" ds:itemID="{C664560E-2398-4AD3-9125-0FD834AD69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6CB535-514E-450F-AA8F-889BE9B9D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Application>LibreOffice/5.1.6.2$Linux_X86_64 LibreOffice_project/10m0$Build-2</Application>
  <Pages>5</Pages>
  <Words>1955</Words>
  <Characters>10574</Characters>
  <CharactersWithSpaces>12523</CharactersWithSpaces>
  <Paragraphs>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2020-10-24T04:37:00Z</dcterms:created>
  <dc:creator>Abhi</dc:creator>
  <dc:description/>
  <dc:language>en-IN</dc:language>
  <cp:lastModifiedBy/>
  <dcterms:modified xsi:type="dcterms:W3CDTF">2021-01-18T17:54:14Z</dcterms:modified>
  <cp:revision>135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0x0101009BCAB3BBC7931D41B6AB7B0F33BFCBE7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