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3GPPHeader"/>
        <w:spacing w:before="0" w:after="60"/>
        <w:jc w:val="both"/>
        <w:rPr/>
      </w:pPr>
      <w:r>
        <w:rPr>
          <w:rFonts w:cs="Times New Roman" w:ascii="Times New Roman" w:hAnsi="Times New Roman"/>
          <w:position w:val="8"/>
          <w:szCs w:val="24"/>
        </w:rPr>
        <w:t>3GPP TSG-RAN WG1 Meeting #</w:t>
      </w:r>
      <w:r>
        <w:rPr>
          <w:rFonts w:cs="Times New Roman" w:ascii="Times New Roman" w:hAnsi="Times New Roman"/>
          <w:position w:val="8"/>
          <w:szCs w:val="24"/>
        </w:rPr>
        <w:t>104-e</w:t>
      </w:r>
      <w:r>
        <w:rPr>
          <w:rFonts w:cs="Times New Roman" w:ascii="Times New Roman" w:hAnsi="Times New Roman"/>
          <w:szCs w:val="24"/>
        </w:rPr>
        <w:tab/>
      </w:r>
      <w:bookmarkStart w:id="0" w:name="lblTDocNumber"/>
      <w:bookmarkEnd w:id="0"/>
      <w:r>
        <w:rPr>
          <w:rFonts w:cs="Times New Roman" w:ascii="Times New Roman" w:hAnsi="Times New Roman"/>
          <w:szCs w:val="24"/>
        </w:rPr>
        <w:t xml:space="preserve">R1-2101248 </w:t>
      </w:r>
    </w:p>
    <w:p>
      <w:pPr>
        <w:pStyle w:val="3GPPHeader"/>
        <w:spacing w:before="0" w:after="60"/>
        <w:jc w:val="both"/>
        <w:rPr>
          <w:rFonts w:ascii="Times New Roman" w:hAnsi="Times New Roman" w:cs="Times New Roman"/>
          <w:szCs w:val="24"/>
        </w:rPr>
      </w:pPr>
      <w:r>
        <w:rPr/>
      </w:r>
    </w:p>
    <w:p>
      <w:pPr>
        <w:pStyle w:val="3GPPHeader"/>
        <w:jc w:val="both"/>
        <w:rPr>
          <w:szCs w:val="24"/>
        </w:rPr>
      </w:pPr>
      <w:r>
        <w:rPr>
          <w:rFonts w:cs="Times New Roman" w:ascii="Times New Roman" w:hAnsi="Times New Roman"/>
          <w:szCs w:val="24"/>
        </w:rPr>
        <w:t>e-Meeting, January 25</w:t>
      </w:r>
      <w:r>
        <w:rPr>
          <w:rFonts w:cs="Times New Roman" w:ascii="Times New Roman" w:hAnsi="Times New Roman"/>
          <w:szCs w:val="24"/>
          <w:vertAlign w:val="superscript"/>
        </w:rPr>
        <w:t>th</w:t>
      </w:r>
      <w:r>
        <w:rPr>
          <w:rFonts w:cs="Times New Roman" w:ascii="Times New Roman" w:hAnsi="Times New Roman"/>
          <w:szCs w:val="24"/>
        </w:rPr>
        <w:t xml:space="preserve"> – February 5</w:t>
      </w:r>
      <w:r>
        <w:rPr>
          <w:rFonts w:cs="Times New Roman" w:ascii="Times New Roman" w:hAnsi="Times New Roman"/>
          <w:szCs w:val="24"/>
          <w:vertAlign w:val="superscript"/>
        </w:rPr>
        <w:t>th</w:t>
      </w:r>
      <w:r>
        <w:rPr>
          <w:rFonts w:cs="Times New Roman" w:ascii="Times New Roman" w:hAnsi="Times New Roman"/>
          <w:szCs w:val="24"/>
        </w:rPr>
        <w:t>, 2021</w:t>
      </w:r>
    </w:p>
    <w:p>
      <w:pPr>
        <w:pStyle w:val="3GPPHeader"/>
        <w:jc w:val="both"/>
        <w:rPr/>
      </w:pPr>
      <w:r>
        <w:rPr>
          <w:rFonts w:cs="Times New Roman" w:ascii="Times New Roman" w:hAnsi="Times New Roman"/>
          <w:szCs w:val="24"/>
        </w:rPr>
        <w:t>Agenda Item:</w:t>
        <w:tab/>
      </w:r>
      <w:r>
        <w:rPr>
          <w:rFonts w:cs="Times New Roman" w:ascii="Times New Roman" w:hAnsi="Times New Roman"/>
          <w:szCs w:val="24"/>
        </w:rPr>
        <w:t>8.6.3</w:t>
      </w:r>
    </w:p>
    <w:p>
      <w:pPr>
        <w:pStyle w:val="3GPPHeader"/>
        <w:jc w:val="both"/>
        <w:rPr>
          <w:szCs w:val="24"/>
        </w:rPr>
      </w:pPr>
      <w:r>
        <w:rPr>
          <w:rFonts w:cs="Times New Roman" w:ascii="Times New Roman" w:hAnsi="Times New Roman"/>
          <w:szCs w:val="24"/>
        </w:rPr>
        <w:t>Source:</w:t>
        <w:tab/>
        <w:t>CEWiT</w:t>
      </w:r>
    </w:p>
    <w:p>
      <w:pPr>
        <w:pStyle w:val="3GPPHeader"/>
        <w:ind w:left="1701" w:hanging="1701"/>
        <w:jc w:val="both"/>
        <w:rPr>
          <w:szCs w:val="24"/>
        </w:rPr>
      </w:pPr>
      <w:r>
        <w:rPr>
          <w:rFonts w:cs="Times New Roman" w:ascii="Times New Roman" w:hAnsi="Times New Roman"/>
          <w:szCs w:val="24"/>
        </w:rPr>
        <w:t>Title:</w:t>
        <w:tab/>
      </w:r>
      <w:r>
        <w:rPr>
          <w:rFonts w:cs="Times New Roman" w:ascii="Times New Roman" w:hAnsi="Times New Roman"/>
          <w:bCs/>
          <w:szCs w:val="24"/>
        </w:rPr>
        <w:t xml:space="preserve">Discussions on </w:t>
      </w:r>
      <w:bookmarkStart w:id="1" w:name="_Hlk52267917"/>
      <w:bookmarkEnd w:id="1"/>
      <w:r>
        <w:rPr>
          <w:rFonts w:cs="Times New Roman" w:ascii="Times New Roman" w:hAnsi="Times New Roman"/>
          <w:bCs/>
          <w:szCs w:val="24"/>
          <w:lang w:val="en-GB"/>
        </w:rPr>
        <w:t>PDCCH monitoring for reduced capability devices</w:t>
      </w:r>
    </w:p>
    <w:p>
      <w:pPr>
        <w:pStyle w:val="3GPPHeader"/>
        <w:jc w:val="both"/>
        <w:rPr>
          <w:szCs w:val="24"/>
        </w:rPr>
      </w:pPr>
      <w:r>
        <w:rPr>
          <w:rFonts w:cs="Times New Roman" w:ascii="Times New Roman" w:hAnsi="Times New Roman"/>
          <w:szCs w:val="24"/>
        </w:rPr>
        <w:t>Document for:</w:t>
        <w:tab/>
        <w:t>Discussion</w:t>
      </w:r>
    </w:p>
    <w:p>
      <w:pPr>
        <w:pStyle w:val="Heading1"/>
        <w:numPr>
          <w:ilvl w:val="0"/>
          <w:numId w:val="2"/>
        </w:numPr>
        <w:jc w:val="both"/>
        <w:rPr>
          <w:sz w:val="24"/>
          <w:szCs w:val="24"/>
        </w:rPr>
      </w:pPr>
      <w:r>
        <w:rPr>
          <w:rFonts w:cs="Times New Roman" w:ascii="Times New Roman" w:hAnsi="Times New Roman"/>
          <w:b/>
          <w:bCs/>
          <w:sz w:val="24"/>
          <w:szCs w:val="24"/>
          <w:lang w:val="en-US"/>
        </w:rPr>
        <w:t>Introduction</w:t>
      </w:r>
    </w:p>
    <w:p>
      <w:pPr>
        <w:pStyle w:val="Heading1"/>
        <w:numPr>
          <w:ilvl w:val="0"/>
          <w:numId w:val="0"/>
        </w:numPr>
        <w:jc w:val="both"/>
        <w:rPr>
          <w:sz w:val="24"/>
          <w:szCs w:val="24"/>
        </w:rPr>
      </w:pPr>
      <w:r>
        <w:rPr>
          <w:rFonts w:cs="Times New Roman" w:ascii="Times New Roman" w:hAnsi="Times New Roman"/>
          <w:sz w:val="24"/>
          <w:szCs w:val="24"/>
          <w:highlight w:val="white"/>
          <w:lang w:eastAsia="ja-JP"/>
        </w:rPr>
        <w:t>In  RAN meeting # 86, “Support of Reduced Capability NR devices” with the objectives of UE power saving and battery lifetime enhancement for reduced capability UEs  was  introduced as a study item[1].  The following are the starting points for the study item agreed in the meeting</w:t>
      </w:r>
    </w:p>
    <w:tbl>
      <w:tblPr>
        <w:tblW w:w="9638" w:type="dxa"/>
        <w:jc w:val="left"/>
        <w:tblInd w:w="43"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39" w:type="dxa"/>
          <w:bottom w:w="55" w:type="dxa"/>
          <w:right w:w="55" w:type="dxa"/>
        </w:tblCellMar>
        <w:tblLook w:val="04a0" w:noVBand="1" w:noHBand="0" w:firstRow="1" w:lastRow="0" w:firstColumn="1" w:lastColumn="0"/>
      </w:tblPr>
      <w:tblGrid>
        <w:gridCol w:w="9638"/>
      </w:tblGrid>
      <w:tr>
        <w:trPr/>
        <w:tc>
          <w:tcPr>
            <w:tcW w:w="9638"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39" w:type="dxa"/>
            </w:tcMar>
          </w:tcPr>
          <w:p>
            <w:pPr>
              <w:pStyle w:val="Heading1"/>
              <w:numPr>
                <w:ilvl w:val="0"/>
                <w:numId w:val="0"/>
              </w:numPr>
              <w:spacing w:before="240" w:after="180"/>
              <w:jc w:val="both"/>
              <w:rPr>
                <w:sz w:val="24"/>
                <w:szCs w:val="24"/>
              </w:rPr>
            </w:pPr>
            <w:r>
              <w:rPr>
                <w:rFonts w:cs="Times New Roman" w:ascii="Times New Roman" w:hAnsi="Times New Roman"/>
                <w:sz w:val="24"/>
                <w:szCs w:val="24"/>
                <w:highlight w:val="white"/>
                <w:lang w:eastAsia="ja-JP"/>
              </w:rPr>
              <w:t xml:space="preserve">Study UE power saving and battery lifetime enhancement for reduced capability UEs in applicable use cases (e.g. delay tolerant) [RAN2, RAN1]: </w:t>
            </w:r>
          </w:p>
          <w:p>
            <w:pPr>
              <w:pStyle w:val="Normal"/>
              <w:numPr>
                <w:ilvl w:val="0"/>
                <w:numId w:val="5"/>
              </w:numPr>
              <w:jc w:val="both"/>
              <w:rPr>
                <w:sz w:val="24"/>
                <w:szCs w:val="24"/>
              </w:rPr>
            </w:pPr>
            <w:r>
              <w:rPr>
                <w:rFonts w:cs="Times New Roman" w:ascii="Times New Roman" w:hAnsi="Times New Roman"/>
                <w:sz w:val="24"/>
                <w:szCs w:val="24"/>
                <w:highlight w:val="white"/>
                <w:lang w:eastAsia="ja-JP"/>
              </w:rPr>
              <w:t>Reduced PDCCH monitoring by smaller numbers of blind decodes and CCE limits [RAN1].</w:t>
            </w:r>
          </w:p>
          <w:p>
            <w:pPr>
              <w:pStyle w:val="Normal"/>
              <w:numPr>
                <w:ilvl w:val="0"/>
                <w:numId w:val="5"/>
              </w:numPr>
              <w:jc w:val="both"/>
              <w:rPr>
                <w:sz w:val="24"/>
                <w:szCs w:val="24"/>
              </w:rPr>
            </w:pPr>
            <w:r>
              <w:rPr>
                <w:rFonts w:cs="Times New Roman" w:ascii="Times New Roman" w:hAnsi="Times New Roman"/>
                <w:sz w:val="24"/>
                <w:szCs w:val="24"/>
                <w:highlight w:val="white"/>
                <w:lang w:eastAsia="ja-JP"/>
              </w:rPr>
              <w:t>Extended DRX for RRC Inactive and/or Idle [RAN2]</w:t>
            </w:r>
          </w:p>
          <w:p>
            <w:pPr>
              <w:pStyle w:val="Normal"/>
              <w:numPr>
                <w:ilvl w:val="0"/>
                <w:numId w:val="5"/>
              </w:numPr>
              <w:spacing w:before="0" w:after="160"/>
              <w:jc w:val="both"/>
              <w:rPr>
                <w:sz w:val="24"/>
                <w:szCs w:val="24"/>
              </w:rPr>
            </w:pPr>
            <w:r>
              <w:rPr>
                <w:rFonts w:cs="Times New Roman" w:ascii="Times New Roman" w:hAnsi="Times New Roman"/>
                <w:sz w:val="24"/>
                <w:szCs w:val="24"/>
                <w:highlight w:val="white"/>
                <w:lang w:eastAsia="ja-JP"/>
              </w:rPr>
              <w:t>RRM relaxation for stationary devices [RAN2]</w:t>
            </w:r>
          </w:p>
        </w:tc>
      </w:tr>
    </w:tbl>
    <w:p>
      <w:pPr>
        <w:pStyle w:val="Normal"/>
        <w:spacing w:lineRule="atLeast" w:line="240" w:before="0" w:after="180"/>
        <w:jc w:val="both"/>
        <w:rPr>
          <w:rFonts w:ascii="Times New Roman" w:hAnsi="Times New Roman" w:eastAsia="Times New Roman" w:cs="Times New Roman"/>
          <w:bCs/>
          <w:color w:val="000000"/>
          <w:sz w:val="24"/>
          <w:szCs w:val="24"/>
          <w:highlight w:val="white"/>
        </w:rPr>
      </w:pPr>
      <w:r>
        <w:rPr>
          <w:rFonts w:eastAsia="Times New Roman" w:cs="Times New Roman" w:ascii="Times New Roman" w:hAnsi="Times New Roman"/>
          <w:bCs/>
          <w:color w:val="000000"/>
          <w:sz w:val="24"/>
          <w:szCs w:val="24"/>
          <w:highlight w:val="white"/>
        </w:rPr>
      </w:r>
    </w:p>
    <w:p>
      <w:pPr>
        <w:pStyle w:val="Normal"/>
        <w:spacing w:lineRule="atLeast" w:line="240" w:before="0" w:after="180"/>
        <w:jc w:val="both"/>
        <w:rPr/>
      </w:pPr>
      <w:r>
        <w:rPr>
          <w:rFonts w:eastAsia="Times New Roman" w:cs="Times New Roman" w:ascii="Times New Roman" w:hAnsi="Times New Roman"/>
          <w:bCs/>
          <w:color w:val="000000"/>
          <w:sz w:val="24"/>
          <w:szCs w:val="24"/>
          <w:highlight w:val="white"/>
        </w:rPr>
        <w:t xml:space="preserve">The agreements in RAN 1 meeting #101-e on study of Blind decoding (BD) reduction were as follows [2]: </w:t>
      </w:r>
    </w:p>
    <w:p>
      <w:pPr>
        <w:pStyle w:val="Normal"/>
        <w:spacing w:lineRule="atLeast" w:line="240" w:before="0" w:after="180"/>
        <w:jc w:val="both"/>
        <w:rPr>
          <w:sz w:val="24"/>
          <w:szCs w:val="24"/>
        </w:rPr>
      </w:pPr>
      <w:r>
        <w:rPr>
          <w:rFonts w:eastAsia="Times New Roman" w:cs="Times New Roman" w:ascii="Times New Roman" w:hAnsi="Times New Roman"/>
          <w:bCs/>
          <w:color w:val="000000"/>
          <w:sz w:val="24"/>
          <w:szCs w:val="24"/>
          <w:highlight w:val="white"/>
        </w:rPr>
        <w:t>Agreements:</w:t>
      </w:r>
    </w:p>
    <w:p>
      <w:pPr>
        <w:pStyle w:val="ListParagraph"/>
        <w:numPr>
          <w:ilvl w:val="0"/>
          <w:numId w:val="4"/>
        </w:numPr>
        <w:pBdr>
          <w:top w:val="single" w:sz="4" w:space="1" w:color="00000A"/>
          <w:left w:val="single" w:sz="4" w:space="0" w:color="00000A"/>
          <w:bottom w:val="single" w:sz="4" w:space="1" w:color="00000A"/>
          <w:right w:val="single" w:sz="4" w:space="4" w:color="00000A"/>
        </w:pBdr>
        <w:spacing w:lineRule="atLeast" w:line="240" w:before="120" w:after="180"/>
        <w:rPr>
          <w:sz w:val="24"/>
          <w:szCs w:val="24"/>
        </w:rPr>
      </w:pPr>
      <w:r>
        <w:rPr>
          <w:rFonts w:ascii="Times New Roman" w:hAnsi="Times New Roman"/>
          <w:sz w:val="24"/>
          <w:szCs w:val="24"/>
          <w:highlight w:val="white"/>
        </w:rPr>
        <w:t>Study the impact of BD and CCE limits reduction on power saving and PDCCH blocking probability (quantitatively) and impacts on latency and scheduling flexibility (at least qualitatively).</w:t>
      </w:r>
    </w:p>
    <w:p>
      <w:pPr>
        <w:pStyle w:val="TextBody"/>
        <w:spacing w:lineRule="atLeast" w:line="240" w:before="180" w:after="180"/>
        <w:jc w:val="both"/>
        <w:rPr>
          <w:sz w:val="24"/>
          <w:szCs w:val="24"/>
        </w:rPr>
      </w:pPr>
      <w:r>
        <w:rPr>
          <w:rFonts w:eastAsia="Times New Roman" w:cs="Times New Roman" w:ascii="Times New Roman" w:hAnsi="Times New Roman"/>
          <w:color w:val="000000" w:themeColor="text1"/>
          <w:sz w:val="24"/>
          <w:szCs w:val="24"/>
          <w:highlight w:val="white"/>
          <w:lang w:eastAsia="zh-CN"/>
        </w:rPr>
        <w:t>The main aim for the study on reduced capability UEs is to develop devices with low cost and complexity to cater to certain low end applications. The blind decoding of PDCCH consumes huge amount of power. In this contribution, we provide some views on the potential solutions for reducing power consumed in PDCCH monitoring by a device with reduced capability.</w:t>
      </w:r>
    </w:p>
    <w:p>
      <w:pPr>
        <w:pStyle w:val="Heading1"/>
        <w:numPr>
          <w:ilvl w:val="0"/>
          <w:numId w:val="6"/>
        </w:numPr>
        <w:jc w:val="both"/>
        <w:rPr>
          <w:sz w:val="24"/>
          <w:szCs w:val="24"/>
        </w:rPr>
      </w:pPr>
      <w:r>
        <w:rPr>
          <w:rFonts w:cs="Times New Roman" w:ascii="Times New Roman" w:hAnsi="Times New Roman"/>
          <w:b/>
          <w:bCs/>
          <w:sz w:val="24"/>
          <w:szCs w:val="24"/>
          <w:lang w:val="en-US"/>
        </w:rPr>
        <w:t>Discussion</w:t>
      </w:r>
    </w:p>
    <w:p>
      <w:pPr>
        <w:pStyle w:val="Heading1"/>
        <w:numPr>
          <w:ilvl w:val="0"/>
          <w:numId w:val="0"/>
        </w:numPr>
        <w:jc w:val="both"/>
        <w:rPr>
          <w:sz w:val="24"/>
          <w:szCs w:val="24"/>
        </w:rPr>
      </w:pPr>
      <w:r>
        <w:rPr>
          <w:rFonts w:cs="Times New Roman" w:ascii="Times New Roman" w:hAnsi="Times New Roman"/>
          <w:sz w:val="24"/>
          <w:szCs w:val="24"/>
          <w:lang w:val="en-US"/>
        </w:rPr>
        <w:t xml:space="preserve">The study on reduced capability UEs was introduced to cater to applications that require low data rates, limited processing requirement, less critical latency requirements etc. Some of the use cases include industrial wireless sensors, video surveillance and wearable devices. A legacy UE will be able to handle such applications. However, defining a new type of UE for low complexity applications will significantly reduce the cost. Applications such as utility meters and industrial sensors involve occasional transmission of small burst of data. These devices are expected to have a battery life of many years. Therefore, reduced power consumption is a main objective in such devices. Mechanisms such as using narrow bandwidth, half duplex operation, lesser receive antennas have been studied in order to reduce the power consumption. The blind decoding of PDCCH is major power consuming operation. </w:t>
      </w:r>
    </w:p>
    <w:p>
      <w:pPr>
        <w:pStyle w:val="Heading1"/>
        <w:numPr>
          <w:ilvl w:val="0"/>
          <w:numId w:val="0"/>
        </w:numPr>
        <w:jc w:val="both"/>
        <w:rPr/>
      </w:pPr>
      <w:r>
        <w:rPr>
          <w:rFonts w:cs="Times New Roman" w:ascii="Times New Roman" w:hAnsi="Times New Roman"/>
          <w:sz w:val="24"/>
          <w:szCs w:val="24"/>
          <w:lang w:val="en-US"/>
        </w:rPr>
        <w:t xml:space="preserve">PDCCH monitoring accounts for the major portion of power consumption in case of downlink (DL) reception. The Downlink Control Information (DCI) carries different types of control information and the DCI payload and its size varies depending on the type of control information to be conveyed. The parameters associated with a DCI in a slot are not known to the UE. These parameters include the number of DCIs and their formats in a given slot, the actual aggregation level (AL) used and the location of the DCI within the CORESET. A UE detects a DCI by blindly searching in the CORESET regions configured by the gNB. Every blind detection requires some complex operations in an iterative fashion which are highly power consuming. </w:t>
      </w:r>
      <w:r>
        <w:rPr>
          <w:rFonts w:cs="Times New Roman" w:ascii="Times New Roman" w:hAnsi="Times New Roman"/>
          <w:sz w:val="24"/>
          <w:szCs w:val="24"/>
          <w:lang w:val="en-IN"/>
        </w:rPr>
        <w:t xml:space="preserve">A UE performs BDs based on the search space (SS) set configuration given by the gNB. </w:t>
      </w:r>
      <w:r>
        <w:rPr>
          <w:rFonts w:cs="Times New Roman" w:ascii="Times New Roman" w:hAnsi="Times New Roman"/>
          <w:sz w:val="24"/>
          <w:szCs w:val="24"/>
          <w:lang w:val="en-US"/>
        </w:rPr>
        <w:t>A SS set configuration provides a UE with the SS set type (common search space set or UE specific search space set), DCI format(s) to be monitored, monitoring occasion that includes periodicity and offset, and the number of PDCCH candidates for each AL in the SS set..</w:t>
      </w:r>
      <w:r>
        <w:rPr>
          <w:rFonts w:cs="Times New Roman" w:ascii="Times New Roman" w:hAnsi="Times New Roman"/>
          <w:sz w:val="24"/>
          <w:szCs w:val="24"/>
          <w:lang w:val="en-IN"/>
        </w:rPr>
        <w:t xml:space="preserve"> Number of BDs a UE performs in a slot will vary based on the SS set configuration. </w:t>
      </w:r>
      <w:r>
        <w:rPr>
          <w:rFonts w:cs="Times New Roman" w:ascii="Times New Roman" w:hAnsi="Times New Roman"/>
          <w:sz w:val="24"/>
          <w:szCs w:val="24"/>
          <w:lang w:val="en-US"/>
        </w:rPr>
        <w:t xml:space="preserve">Hence, the complex blind decoding process of PDDCH monitoring will consume huge power. The battery life of reduced capability devices is expected to be from few weeks to years. </w:t>
      </w:r>
      <w:r>
        <w:rPr>
          <w:rFonts w:cs="Times New Roman" w:ascii="Times New Roman" w:hAnsi="Times New Roman"/>
          <w:sz w:val="24"/>
          <w:szCs w:val="24"/>
          <w:lang w:val="en-IN"/>
        </w:rPr>
        <w:t>Reducing the number of blind decoding attempts of control channel is one way to reduce the complexity and power consumption. But reducing the limit of maximum number of BDs per slot will reduce the scheduling flexibility.​​  Thus, methods to reduce the number of BDs performed by a UE per slot without affecting the scheduling flexibility should be considered.</w:t>
      </w:r>
    </w:p>
    <w:p>
      <w:pPr>
        <w:pStyle w:val="Normal"/>
        <w:jc w:val="both"/>
        <w:rPr/>
      </w:pPr>
      <w:r>
        <w:rPr>
          <w:rFonts w:cs="Times New Roman" w:ascii="Times New Roman" w:hAnsi="Times New Roman"/>
          <w:sz w:val="24"/>
          <w:szCs w:val="24"/>
          <w:lang w:val="en-IN"/>
        </w:rPr>
        <w:t>The SS set configuration is done semi statically through RRC. The parameters like AL, PDCCH monitoring periodicity, number of DCI formats to be monitored in a slot are dependent on the amount of data foreseen for the UE, channel conditions etc. These factors will keep varying with time. However, the gNB can apriori estimate these factors. Therefore, the parameters for PDCCH blind decoding, which was configured through RRC can be dynamically altered by the gNB to reduce the number of blind decoding’s to be performed by the UE.</w:t>
      </w:r>
    </w:p>
    <w:p>
      <w:pPr>
        <w:pStyle w:val="Normal"/>
        <w:jc w:val="both"/>
        <w:rPr>
          <w:sz w:val="24"/>
          <w:szCs w:val="24"/>
        </w:rPr>
      </w:pPr>
      <w:r>
        <w:rPr>
          <w:rFonts w:cs="Times New Roman" w:ascii="Times New Roman" w:hAnsi="Times New Roman"/>
          <w:b/>
          <w:bCs/>
          <w:sz w:val="24"/>
          <w:szCs w:val="24"/>
          <w:lang w:val="en-IN"/>
        </w:rPr>
        <w:t>Proposal 1:</w:t>
      </w:r>
      <w:r>
        <w:rPr>
          <w:rFonts w:cs="Times New Roman" w:ascii="Times New Roman" w:hAnsi="Times New Roman"/>
          <w:sz w:val="24"/>
          <w:szCs w:val="24"/>
          <w:lang w:val="en-IN"/>
        </w:rPr>
        <w:t xml:space="preserve"> Support for dynamic adaptation of the parameters related to PDCCH monitoring, that are configured semi statically in order to reduce number of blind decoding.</w:t>
      </w:r>
    </w:p>
    <w:p>
      <w:pPr>
        <w:pStyle w:val="Normal"/>
        <w:jc w:val="both"/>
        <w:rPr>
          <w:sz w:val="24"/>
          <w:szCs w:val="24"/>
        </w:rPr>
      </w:pPr>
      <w:r>
        <w:rPr>
          <w:rFonts w:cs="Times New Roman" w:ascii="Times New Roman" w:hAnsi="Times New Roman"/>
          <w:sz w:val="24"/>
          <w:szCs w:val="24"/>
          <w:lang w:val="en-IN"/>
        </w:rPr>
        <w:t>PDCCH decoding is performed blindly over all the available CCEs, for all aggregation levels in all the configured search space sets until the limit of number of BDs per slot is achieved. A legacy UE can be configured with up to 10 search space sets. However, for the reduced capability UEs where the data traffic is low, the number of scheduled DCIs per slot may be less. Similarly, PDCCH decoding is performed for all the DCI formats configured for that search space set. However, in most cases, all DCI formats would not be scheduled in a slot. Performing blind decoding over all the search space sets and all DCI formats leads to unnecessary wastage of power. If details on the scheduled search space sets and DCI formats are signalled to a UE dynamically, then enormous time and power consumed for PDCCH blind decoding will be saved. There is also a possibility of early detection of DCI in conventional BD process. Performing blind decoding over remaining PDCCH candidates will lead to power wastage. Some mechanism to indicate the early termination will help to avoid this wastage.</w:t>
      </w:r>
    </w:p>
    <w:p>
      <w:pPr>
        <w:pStyle w:val="Normal"/>
        <w:jc w:val="both"/>
        <w:rPr>
          <w:sz w:val="24"/>
          <w:szCs w:val="24"/>
        </w:rPr>
      </w:pPr>
      <w:r>
        <w:rPr>
          <w:rFonts w:cs="Times New Roman" w:ascii="Times New Roman" w:hAnsi="Times New Roman"/>
          <w:b/>
          <w:bCs/>
          <w:sz w:val="24"/>
          <w:szCs w:val="24"/>
          <w:lang w:val="en-IN"/>
        </w:rPr>
        <w:t>Proposal 2:</w:t>
      </w:r>
      <w:r>
        <w:rPr>
          <w:rFonts w:cs="Times New Roman" w:ascii="Times New Roman" w:hAnsi="Times New Roman"/>
          <w:sz w:val="24"/>
          <w:szCs w:val="24"/>
          <w:lang w:val="en-IN"/>
        </w:rPr>
        <w:t xml:space="preserve"> </w:t>
      </w:r>
      <w:bookmarkStart w:id="2" w:name="__DdeLink__15710_1451397986"/>
      <w:bookmarkEnd w:id="2"/>
      <w:r>
        <w:rPr>
          <w:rFonts w:cs="Times New Roman" w:ascii="Times New Roman" w:hAnsi="Times New Roman"/>
          <w:sz w:val="24"/>
          <w:szCs w:val="24"/>
          <w:lang w:val="en-IN"/>
        </w:rPr>
        <w:t>Dynamic indication of scheduled search space sets, DCI formats, DCI termination etc. by gNB to the reduced capability UEs to be supported.</w:t>
      </w:r>
    </w:p>
    <w:p>
      <w:pPr>
        <w:pStyle w:val="Normal"/>
        <w:jc w:val="both"/>
        <w:rPr>
          <w:rFonts w:ascii="Times New Roman" w:hAnsi="Times New Roman" w:cs="Times New Roman"/>
          <w:sz w:val="24"/>
          <w:szCs w:val="24"/>
          <w:lang w:val="en-IN"/>
        </w:rPr>
      </w:pPr>
      <w:r>
        <w:rPr>
          <w:rFonts w:cs="Times New Roman" w:ascii="Times New Roman" w:hAnsi="Times New Roman"/>
          <w:sz w:val="24"/>
          <w:szCs w:val="24"/>
          <w:lang w:val="en-IN"/>
        </w:rPr>
        <w:t>Scheduling of multiple PDSCHs using a single DCI can be used for reducing the power consumption. If each of the PDSCH is scheduled using an independent DCI, then the number of scheduled DCIs will be more. If multiple PDSCHs are scheduled by a single DCI, the number of scheduled DCIs will reduce, which in turn will require lesser number of PDCCH candidates to schedule a UE. This in turn requires lesser number of BD’s. Hence, if multiple PDSCHs are scheduled using single DCI, the number of BDs performed by the UE per slot can be reduced.</w:t>
      </w:r>
    </w:p>
    <w:p>
      <w:pPr>
        <w:pStyle w:val="Normal"/>
        <w:jc w:val="both"/>
        <w:rPr>
          <w:sz w:val="24"/>
          <w:szCs w:val="24"/>
        </w:rPr>
      </w:pPr>
      <w:r>
        <w:rPr>
          <w:rFonts w:eastAsia="宋体;SimSun" w:cs="Times New Roman" w:ascii="Times New Roman" w:hAnsi="Times New Roman"/>
          <w:b/>
          <w:bCs/>
          <w:sz w:val="24"/>
          <w:szCs w:val="24"/>
          <w:highlight w:val="white"/>
          <w:lang w:val="en-IN" w:eastAsia="zh-CN"/>
        </w:rPr>
        <w:t>Proposal 3:</w:t>
      </w:r>
      <w:r>
        <w:rPr>
          <w:rFonts w:eastAsia="宋体;SimSun" w:cs="Times New Roman" w:ascii="Times New Roman" w:hAnsi="Times New Roman"/>
          <w:sz w:val="24"/>
          <w:szCs w:val="24"/>
          <w:highlight w:val="white"/>
          <w:lang w:val="en-IN" w:eastAsia="zh-CN"/>
        </w:rPr>
        <w:t xml:space="preserve"> Scheduling multi-PDSCH through single DCI to be supported.</w:t>
      </w:r>
    </w:p>
    <w:p>
      <w:pPr>
        <w:pStyle w:val="Heading1"/>
        <w:numPr>
          <w:ilvl w:val="0"/>
          <w:numId w:val="6"/>
        </w:numPr>
        <w:jc w:val="both"/>
        <w:rPr>
          <w:sz w:val="24"/>
          <w:szCs w:val="24"/>
        </w:rPr>
      </w:pPr>
      <w:r>
        <w:rPr>
          <w:rFonts w:cs="Times New Roman" w:ascii="Times New Roman" w:hAnsi="Times New Roman"/>
          <w:b/>
          <w:bCs/>
          <w:sz w:val="24"/>
          <w:szCs w:val="24"/>
          <w:lang w:val="en-US"/>
        </w:rPr>
        <w:t>Conclusions</w:t>
      </w:r>
    </w:p>
    <w:p>
      <w:pPr>
        <w:pStyle w:val="Contents1"/>
        <w:jc w:val="both"/>
        <w:rPr>
          <w:sz w:val="24"/>
          <w:szCs w:val="24"/>
        </w:rPr>
      </w:pPr>
      <w:r>
        <w:rPr>
          <w:rFonts w:ascii="Times New Roman" w:hAnsi="Times New Roman"/>
          <w:b w:val="false"/>
          <w:sz w:val="24"/>
          <w:szCs w:val="24"/>
        </w:rPr>
        <w:t>In this paper we made the following conclusions:</w:t>
      </w:r>
    </w:p>
    <w:p>
      <w:pPr>
        <w:pStyle w:val="Normal"/>
        <w:jc w:val="both"/>
        <w:rPr>
          <w:sz w:val="24"/>
          <w:szCs w:val="24"/>
        </w:rPr>
      </w:pPr>
      <w:r>
        <w:rPr>
          <w:rFonts w:cs="Times New Roman" w:ascii="Times New Roman" w:hAnsi="Times New Roman"/>
          <w:b/>
          <w:bCs/>
          <w:sz w:val="24"/>
          <w:szCs w:val="24"/>
        </w:rPr>
        <w:t xml:space="preserve">Proposal 1: </w:t>
      </w:r>
      <w:r>
        <w:rPr>
          <w:rFonts w:cs="Times New Roman" w:ascii="Times New Roman" w:hAnsi="Times New Roman"/>
          <w:sz w:val="24"/>
          <w:szCs w:val="24"/>
          <w:lang w:val="en-IN"/>
        </w:rPr>
        <w:t>Support for dynamic adaptation of the parameters related to PDCCH monitoring, that are configured semi statically in order to reduce number of blind decoding.</w:t>
      </w:r>
    </w:p>
    <w:p>
      <w:pPr>
        <w:pStyle w:val="Normal"/>
        <w:spacing w:lineRule="auto" w:line="240"/>
        <w:jc w:val="both"/>
        <w:rPr>
          <w:sz w:val="24"/>
          <w:szCs w:val="24"/>
        </w:rPr>
      </w:pPr>
      <w:r>
        <w:rPr>
          <w:rFonts w:cs="Times New Roman" w:ascii="Times New Roman" w:hAnsi="Times New Roman"/>
          <w:b/>
          <w:bCs/>
          <w:sz w:val="24"/>
          <w:szCs w:val="24"/>
        </w:rPr>
        <w:t xml:space="preserve">Proposal 2: </w:t>
      </w:r>
      <w:r>
        <w:rPr>
          <w:rFonts w:cs="Times New Roman" w:ascii="Times New Roman" w:hAnsi="Times New Roman"/>
          <w:sz w:val="24"/>
          <w:szCs w:val="24"/>
          <w:lang w:val="en-IN"/>
        </w:rPr>
        <w:t>Dynamic indication of scheduled search space sets, DCI formats, DCI termination etc. by gNB to the reduced capability UEs to be supported.</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jc w:val="both"/>
        <w:rPr>
          <w:sz w:val="24"/>
          <w:szCs w:val="24"/>
        </w:rPr>
      </w:pPr>
      <w:r>
        <w:rPr>
          <w:rFonts w:cs="Times New Roman" w:ascii="Times New Roman" w:hAnsi="Times New Roman"/>
          <w:b/>
          <w:bCs/>
          <w:sz w:val="24"/>
          <w:szCs w:val="24"/>
        </w:rPr>
        <w:t xml:space="preserve">Proposal 3: </w:t>
      </w:r>
      <w:r>
        <w:rPr>
          <w:rFonts w:eastAsia="宋体;SimSun" w:cs="Times New Roman" w:ascii="Times New Roman" w:hAnsi="Times New Roman"/>
          <w:sz w:val="24"/>
          <w:szCs w:val="24"/>
          <w:highlight w:val="white"/>
          <w:lang w:val="en-IN" w:eastAsia="zh-CN"/>
        </w:rPr>
        <w:t>Scheduling multi-PDSCH through single DCI to be supported.</w:t>
      </w:r>
    </w:p>
    <w:p>
      <w:pPr>
        <w:pStyle w:val="Normal"/>
        <w:spacing w:lineRule="auto" w:line="240"/>
        <w:jc w:val="both"/>
        <w:rPr>
          <w:rFonts w:ascii="Times New Roman" w:hAnsi="Times New Roman" w:cs="Times New Roman"/>
          <w:b/>
          <w:b/>
          <w:bCs/>
          <w:sz w:val="24"/>
          <w:szCs w:val="24"/>
          <w:lang w:val="en-IN"/>
        </w:rPr>
      </w:pPr>
      <w:r>
        <w:rPr>
          <w:rFonts w:cs="Times New Roman" w:ascii="Times New Roman" w:hAnsi="Times New Roman"/>
          <w:b/>
          <w:bCs/>
          <w:sz w:val="24"/>
          <w:szCs w:val="24"/>
          <w:lang w:val="en-IN"/>
        </w:rPr>
      </w:r>
    </w:p>
    <w:p>
      <w:pPr>
        <w:pStyle w:val="Heading1"/>
        <w:numPr>
          <w:ilvl w:val="0"/>
          <w:numId w:val="6"/>
        </w:numPr>
        <w:jc w:val="both"/>
        <w:rPr>
          <w:sz w:val="24"/>
          <w:szCs w:val="24"/>
        </w:rPr>
      </w:pPr>
      <w:r>
        <w:rPr>
          <w:rFonts w:cs="Times New Roman" w:ascii="Times New Roman" w:hAnsi="Times New Roman"/>
          <w:b/>
          <w:bCs/>
          <w:sz w:val="24"/>
          <w:szCs w:val="24"/>
          <w:lang w:val="en-US"/>
        </w:rPr>
        <w:t>References</w:t>
      </w:r>
    </w:p>
    <w:p>
      <w:pPr>
        <w:pStyle w:val="Reference"/>
        <w:numPr>
          <w:ilvl w:val="0"/>
          <w:numId w:val="3"/>
        </w:numPr>
        <w:jc w:val="both"/>
        <w:rPr>
          <w:sz w:val="24"/>
          <w:szCs w:val="24"/>
        </w:rPr>
      </w:pPr>
      <w:bookmarkStart w:id="3" w:name="_Ref481672677"/>
      <w:r>
        <w:rPr>
          <w:rFonts w:eastAsia="Times New Roman" w:cs="Times New Roman" w:ascii="Times New Roman" w:hAnsi="Times New Roman"/>
          <w:bCs/>
          <w:color w:val="000000"/>
          <w:sz w:val="24"/>
          <w:szCs w:val="24"/>
        </w:rPr>
        <w:t>RP-193238, “New SID on support of reduced capability NR devices”, Ericsson, RAN#86, December 2019</w:t>
      </w:r>
      <w:bookmarkEnd w:id="3"/>
      <w:r>
        <w:rPr>
          <w:rFonts w:eastAsia="SimSun" w:cs="Times New Roman" w:ascii="Times New Roman" w:hAnsi="Times New Roman"/>
          <w:bCs/>
          <w:color w:val="000000"/>
          <w:sz w:val="24"/>
          <w:szCs w:val="24"/>
        </w:rPr>
        <w:t>.</w:t>
      </w:r>
    </w:p>
    <w:p>
      <w:pPr>
        <w:pStyle w:val="Reference"/>
        <w:numPr>
          <w:ilvl w:val="0"/>
          <w:numId w:val="3"/>
        </w:numPr>
        <w:spacing w:before="0" w:after="160"/>
        <w:jc w:val="both"/>
        <w:rPr/>
      </w:pPr>
      <w:r>
        <w:rPr>
          <w:rFonts w:eastAsia="Times New Roman" w:cs="Times New Roman" w:ascii="Times New Roman" w:hAnsi="Times New Roman"/>
          <w:bCs/>
          <w:color w:val="000000"/>
          <w:sz w:val="24"/>
          <w:szCs w:val="24"/>
        </w:rPr>
        <w:t>Chairman’s Notes of RAN1 #101-e final (Online meeting, May 25th – June 5th, 2020).</w:t>
      </w:r>
    </w:p>
    <w:sectPr>
      <w:footerReference w:type="default" r:id="rId2"/>
      <w:type w:val="nextPage"/>
      <w:pgSz w:w="11906" w:h="16838"/>
      <w:pgMar w:left="1134" w:right="1134" w:header="0" w:top="1418" w:footer="567" w:bottom="1134"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Calibri">
    <w:charset w:val="01"/>
    <w:family w:val="roman"/>
    <w:pitch w:val="variable"/>
  </w:font>
  <w:font w:name="Arial">
    <w:charset w:val="01"/>
    <w:family w:val="swiss"/>
    <w:pitch w:val="variable"/>
  </w:font>
  <w:font w:name="Arial">
    <w:charset w:val="01"/>
    <w:family w:val="roman"/>
    <w:pitch w:val="variable"/>
  </w:font>
  <w:font w:name="Times New Roman">
    <w:charset w:val="01"/>
    <w:family w:val="roman"/>
    <w:pitch w:val="variable"/>
  </w:font>
  <w:font w:name="Liberation Sans">
    <w:altName w:val="Arial"/>
    <w:charset w:val="01"/>
    <w:family w:val="roman"/>
    <w:pitch w:val="variable"/>
  </w:font>
  <w:font w:name="Tahoma">
    <w:charset w:val="01"/>
    <w:family w:val="roman"/>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enter" w:pos="4820" w:leader="none"/>
        <w:tab w:val="right" w:pos="9639" w:leader="none"/>
      </w:tabs>
      <w:spacing w:before="0" w:after="160"/>
      <w:jc w:val="left"/>
      <w:rPr/>
    </w:pPr>
    <w:r>
      <w:rPr/>
      <w:tab/>
    </w:r>
    <w:r>
      <w:rPr/>
      <w:fldChar w:fldCharType="begin"/>
    </w:r>
    <w:r>
      <w:instrText> PAGE </w:instrText>
    </w:r>
    <w:r>
      <w:fldChar w:fldCharType="separate"/>
    </w:r>
    <w:r>
      <w:t>3</w:t>
    </w:r>
    <w:r>
      <w:fldChar w:fldCharType="end"/>
    </w:r>
    <w:r>
      <w:rPr>
        <w:rStyle w:val="Pagenumber"/>
      </w:rPr>
      <w:t>/</w:t>
    </w:r>
    <w:r>
      <w:rPr>
        <w:rStyle w:val="Pagenumber"/>
      </w:rPr>
      <w:fldChar w:fldCharType="begin"/>
    </w:r>
    <w:r>
      <w:instrText> NUMPAGES </w:instrText>
    </w:r>
    <w:r>
      <w:fldChar w:fldCharType="separate"/>
    </w:r>
    <w:r>
      <w:t>3</w:t>
    </w:r>
    <w:r>
      <w:fldChar w:fldCharType="end"/>
    </w:r>
    <w:r>
      <w:rPr>
        <w:rStyle w:val="Pagenumber"/>
      </w:rPr>
      <w:tab/>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lvlText w:val="%1"/>
      <w:lvlJc w:val="left"/>
      <w:pPr>
        <w:tabs>
          <w:tab w:val="num" w:pos="432"/>
        </w:tabs>
        <w:ind w:left="432" w:hanging="432"/>
      </w:pPr>
    </w:lvl>
    <w:lvl w:ilvl="1">
      <w:start w:val="1"/>
      <w:pStyle w:val="Heading2"/>
      <w:numFmt w:val="decimal"/>
      <w:lvlText w:val="%1.%2"/>
      <w:lvlJc w:val="left"/>
      <w:pPr>
        <w:tabs>
          <w:tab w:val="num" w:pos="3096"/>
        </w:tabs>
        <w:ind w:left="3096" w:hanging="576"/>
      </w:pPr>
    </w:lvl>
    <w:lvl w:ilvl="2">
      <w:start w:val="1"/>
      <w:pStyle w:val="Heading3"/>
      <w:numFmt w:val="decimal"/>
      <w:lvlText w:val="%1.%2.%3"/>
      <w:lvlJc w:val="left"/>
      <w:pPr>
        <w:tabs>
          <w:tab w:val="num" w:pos="720"/>
        </w:tabs>
        <w:ind w:left="720" w:hanging="720"/>
      </w:pPr>
    </w:lvl>
    <w:lvl w:ilvl="3">
      <w:start w:val="1"/>
      <w:pStyle w:val="Heading4"/>
      <w:numFmt w:val="decimal"/>
      <w:lvlText w:val="%1.%2.%3.%4"/>
      <w:lvlJc w:val="left"/>
      <w:pPr>
        <w:tabs>
          <w:tab w:val="num" w:pos="864"/>
        </w:tabs>
        <w:ind w:left="864" w:hanging="864"/>
      </w:pPr>
    </w:lvl>
    <w:lvl w:ilvl="4">
      <w:start w:val="1"/>
      <w:pStyle w:val="Heading5"/>
      <w:numFmt w:val="decimal"/>
      <w:lvlText w:val="%1.%2.%3.%4.%5"/>
      <w:lvlJc w:val="left"/>
      <w:pPr>
        <w:tabs>
          <w:tab w:val="num" w:pos="1008"/>
        </w:tabs>
        <w:ind w:left="1008" w:hanging="1008"/>
      </w:pPr>
    </w:lvl>
    <w:lvl w:ilvl="5">
      <w:start w:val="1"/>
      <w:pStyle w:val="Heading6"/>
      <w:numFmt w:val="decimal"/>
      <w:lvlText w:val="%1.%2.%3.%4.%5.%6"/>
      <w:lvlJc w:val="left"/>
      <w:pPr>
        <w:tabs>
          <w:tab w:val="num" w:pos="1152"/>
        </w:tabs>
        <w:ind w:left="1152" w:hanging="1152"/>
      </w:pPr>
    </w:lvl>
    <w:lvl w:ilvl="6">
      <w:start w:val="1"/>
      <w:pStyle w:val="Heading7"/>
      <w:numFmt w:val="decimal"/>
      <w:lvlText w:val="%1.%2.%3.%4.%5.%6.%7"/>
      <w:lvlJc w:val="left"/>
      <w:pPr>
        <w:tabs>
          <w:tab w:val="num" w:pos="1296"/>
        </w:tabs>
        <w:ind w:left="1296" w:hanging="1296"/>
      </w:pPr>
    </w:lvl>
    <w:lvl w:ilvl="7">
      <w:start w:val="1"/>
      <w:pStyle w:val="Heading8"/>
      <w:numFmt w:val="decimal"/>
      <w:lvlText w:val="%1.%2.%3.%4.%5.%6.%7.%8"/>
      <w:lvlJc w:val="left"/>
      <w:pPr>
        <w:tabs>
          <w:tab w:val="num" w:pos="1440"/>
        </w:tabs>
        <w:ind w:left="1440" w:hanging="1440"/>
      </w:pPr>
    </w:lvl>
    <w:lvl w:ilvl="8">
      <w:start w:val="1"/>
      <w:pStyle w:val="Heading9"/>
      <w:numFmt w:val="decimal"/>
      <w:lvlText w:val="%1.%2.%3.%4.%5.%6.%7.%8.%9"/>
      <w:lvlJc w:val="left"/>
      <w:pPr>
        <w:tabs>
          <w:tab w:val="num" w:pos="1584"/>
        </w:tabs>
        <w:ind w:left="1584" w:hanging="1584"/>
      </w:pPr>
    </w:lvl>
  </w:abstractNum>
  <w:abstractNum w:abstractNumId="2">
    <w:lvl w:ilvl="0">
      <w:start w:val="1"/>
      <w:numFmt w:val="decimal"/>
      <w:lvlText w:val="%1"/>
      <w:lvlJc w:val="left"/>
      <w:pPr>
        <w:tabs>
          <w:tab w:val="num" w:pos="432"/>
        </w:tabs>
        <w:ind w:left="432" w:hanging="432"/>
      </w:pPr>
    </w:lvl>
    <w:lvl w:ilvl="1">
      <w:start w:val="1"/>
      <w:numFmt w:val="decimal"/>
      <w:lvlText w:val="%1.%2"/>
      <w:lvlJc w:val="left"/>
      <w:pPr>
        <w:tabs>
          <w:tab w:val="num" w:pos="3096"/>
        </w:tabs>
        <w:ind w:left="309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lvl w:ilvl="0">
      <w:start w:val="1"/>
      <w:numFmt w:val="bullet"/>
      <w:lvlText w:val="-"/>
      <w:lvlJc w:val="left"/>
      <w:pPr>
        <w:tabs>
          <w:tab w:val="num" w:pos="1077"/>
        </w:tabs>
        <w:ind w:left="1077" w:hanging="397"/>
      </w:pPr>
      <w:rPr>
        <w:rFonts w:ascii="Times New Roman" w:hAnsi="Times New Roman" w:cs="Times New Roman" w:hint="default"/>
        <w:sz w:val="24"/>
        <w:rFonts w:cs="Times New Roman"/>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5">
    <w:lvl w:ilvl="0">
      <w:start w:val="1"/>
      <w:numFmt w:val="bullet"/>
      <w:lvlText w:val=""/>
      <w:lvlJc w:val="left"/>
      <w:pPr>
        <w:tabs>
          <w:tab w:val="num" w:pos="720"/>
        </w:tabs>
        <w:ind w:left="720" w:hanging="360"/>
      </w:pPr>
      <w:rPr>
        <w:rFonts w:ascii="Symbol" w:hAnsi="Symbol" w:cs="Symbol" w:hint="default"/>
        <w:sz w:val="24"/>
        <w:rFonts w:cs="Symbol"/>
      </w:rPr>
    </w:lvl>
    <w:lvl w:ilvl="1">
      <w:start w:val="1"/>
      <w:numFmt w:val="bullet"/>
      <w:lvlText w:val=""/>
      <w:lvlJc w:val="left"/>
      <w:pPr>
        <w:tabs>
          <w:tab w:val="num" w:pos="1080"/>
        </w:tabs>
        <w:ind w:left="1080" w:hanging="360"/>
      </w:pPr>
      <w:rPr>
        <w:rFonts w:ascii="Symbol" w:hAnsi="Symbol" w:cs="Symbol" w:hint="default"/>
        <w:rFonts w:cs="Symbol"/>
      </w:rPr>
    </w:lvl>
    <w:lvl w:ilvl="2">
      <w:start w:val="1"/>
      <w:numFmt w:val="bullet"/>
      <w:lvlText w:val=""/>
      <w:lvlJc w:val="left"/>
      <w:pPr>
        <w:tabs>
          <w:tab w:val="num" w:pos="1440"/>
        </w:tabs>
        <w:ind w:left="1440" w:hanging="360"/>
      </w:pPr>
      <w:rPr>
        <w:rFonts w:ascii="Symbol" w:hAnsi="Symbol" w:cs="Symbol" w:hint="default"/>
        <w:rFonts w:cs="Symbol"/>
      </w:rPr>
    </w:lvl>
    <w:lvl w:ilvl="3">
      <w:start w:val="1"/>
      <w:numFmt w:val="bullet"/>
      <w:lvlText w:val=""/>
      <w:lvlJc w:val="left"/>
      <w:pPr>
        <w:tabs>
          <w:tab w:val="num" w:pos="1800"/>
        </w:tabs>
        <w:ind w:left="1800" w:hanging="360"/>
      </w:pPr>
      <w:rPr>
        <w:rFonts w:ascii="Symbol" w:hAnsi="Symbol" w:cs="Symbol" w:hint="default"/>
        <w:rFonts w:cs="Symbol"/>
      </w:rPr>
    </w:lvl>
    <w:lvl w:ilvl="4">
      <w:start w:val="1"/>
      <w:numFmt w:val="bullet"/>
      <w:lvlText w:val=""/>
      <w:lvlJc w:val="left"/>
      <w:pPr>
        <w:tabs>
          <w:tab w:val="num" w:pos="2160"/>
        </w:tabs>
        <w:ind w:left="2160" w:hanging="360"/>
      </w:pPr>
      <w:rPr>
        <w:rFonts w:ascii="Symbol" w:hAnsi="Symbol" w:cs="Symbol" w:hint="default"/>
        <w:rFonts w:cs="Symbol"/>
      </w:rPr>
    </w:lvl>
    <w:lvl w:ilvl="5">
      <w:start w:val="1"/>
      <w:numFmt w:val="bullet"/>
      <w:lvlText w:val=""/>
      <w:lvlJc w:val="left"/>
      <w:pPr>
        <w:tabs>
          <w:tab w:val="num" w:pos="2520"/>
        </w:tabs>
        <w:ind w:left="2520" w:hanging="360"/>
      </w:pPr>
      <w:rPr>
        <w:rFonts w:ascii="Symbol" w:hAnsi="Symbol" w:cs="Symbol" w:hint="default"/>
        <w:rFonts w:cs="Symbol"/>
      </w:rPr>
    </w:lvl>
    <w:lvl w:ilvl="6">
      <w:start w:val="1"/>
      <w:numFmt w:val="bullet"/>
      <w:lvlText w:val=""/>
      <w:lvlJc w:val="left"/>
      <w:pPr>
        <w:tabs>
          <w:tab w:val="num" w:pos="2880"/>
        </w:tabs>
        <w:ind w:left="2880" w:hanging="360"/>
      </w:pPr>
      <w:rPr>
        <w:rFonts w:ascii="Symbol" w:hAnsi="Symbol" w:cs="Symbol" w:hint="default"/>
        <w:rFonts w:cs="Symbol"/>
      </w:rPr>
    </w:lvl>
    <w:lvl w:ilvl="7">
      <w:start w:val="1"/>
      <w:numFmt w:val="bullet"/>
      <w:lvlText w:val=""/>
      <w:lvlJc w:val="left"/>
      <w:pPr>
        <w:tabs>
          <w:tab w:val="num" w:pos="3240"/>
        </w:tabs>
        <w:ind w:left="3240" w:hanging="360"/>
      </w:pPr>
      <w:rPr>
        <w:rFonts w:ascii="Symbol" w:hAnsi="Symbol" w:cs="Symbol" w:hint="default"/>
        <w:rFonts w:cs="Symbol"/>
      </w:rPr>
    </w:lvl>
    <w:lvl w:ilvl="8">
      <w:start w:val="1"/>
      <w:numFmt w:val="bullet"/>
      <w:lvlText w:val=""/>
      <w:lvlJc w:val="left"/>
      <w:pPr>
        <w:tabs>
          <w:tab w:val="num" w:pos="3600"/>
        </w:tabs>
        <w:ind w:left="3600" w:hanging="360"/>
      </w:pPr>
      <w:rPr>
        <w:rFonts w:ascii="Symbol" w:hAnsi="Symbol" w:cs="Symbol" w:hint="default"/>
        <w:rFonts w:cs="Symbol"/>
      </w:rPr>
    </w:lvl>
  </w:abstractNum>
  <w:abstractNum w:abstractNumId="6">
    <w:lvl w:ilvl="0">
      <w:start w:val="1"/>
      <w:numFmt w:val="decimal"/>
      <w:lvlText w:val="%1"/>
      <w:lvlJc w:val="left"/>
      <w:pPr>
        <w:tabs>
          <w:tab w:val="num" w:pos="432"/>
        </w:tabs>
        <w:ind w:left="432" w:hanging="432"/>
      </w:pPr>
    </w:lvl>
    <w:lvl w:ilvl="1">
      <w:start w:val="1"/>
      <w:numFmt w:val="decimal"/>
      <w:lvlText w:val="%1.%2"/>
      <w:lvlJc w:val="left"/>
      <w:pPr>
        <w:tabs>
          <w:tab w:val="num" w:pos="3096"/>
        </w:tabs>
        <w:ind w:left="309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567"/>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US" w:eastAsia="en-US" w:bidi="ar-SA"/>
      </w:rPr>
    </w:rPrDefault>
    <w:pPrDefaul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671b"/>
    <w:pPr>
      <w:widowControl/>
      <w:bidi w:val="0"/>
      <w:spacing w:lineRule="auto" w:line="259" w:before="0" w:after="160"/>
      <w:jc w:val="left"/>
    </w:pPr>
    <w:rPr>
      <w:rFonts w:ascii="Calibri" w:hAnsi="Calibri" w:eastAsia="Calibri" w:cs="" w:asciiTheme="minorHAnsi" w:cstheme="minorBidi" w:eastAsiaTheme="minorHAnsi" w:hAnsiTheme="minorHAnsi"/>
      <w:color w:val="00000A"/>
      <w:sz w:val="22"/>
      <w:szCs w:val="22"/>
      <w:lang w:val="en-US" w:eastAsia="en-US" w:bidi="ar-SA"/>
    </w:rPr>
  </w:style>
  <w:style w:type="paragraph" w:styleId="Heading1">
    <w:name w:val="Heading 1"/>
    <w:basedOn w:val="Heading"/>
    <w:next w:val="Normal"/>
    <w:link w:val="Heading1Char"/>
    <w:qFormat/>
    <w:rsid w:val="00d50f97"/>
    <w:pPr>
      <w:keepLines/>
      <w:numPr>
        <w:ilvl w:val="0"/>
        <w:numId w:val="1"/>
      </w:numPr>
      <w:pBdr>
        <w:top w:val="single" w:sz="12" w:space="3" w:color="00000A"/>
      </w:pBdr>
      <w:spacing w:before="240" w:after="180"/>
      <w:textAlignment w:val="baseline"/>
      <w:outlineLvl w:val="0"/>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Id w:val="1"/>
      </w:numPr>
      <w:tabs>
        <w:tab w:val="left" w:pos="846" w:leader="none"/>
      </w:tabs>
      <w:spacing w:before="180" w:after="180"/>
      <w:ind w:left="846" w:hanging="0"/>
      <w:outlineLvl w:val="1"/>
      <w:outlineLvl w:val="1"/>
    </w:pPr>
    <w:rPr>
      <w:sz w:val="32"/>
      <w:szCs w:val="32"/>
    </w:rPr>
  </w:style>
  <w:style w:type="paragraph" w:styleId="Heading3">
    <w:name w:val="Heading 3"/>
    <w:basedOn w:val="Heading2"/>
    <w:next w:val="Normal"/>
    <w:qFormat/>
    <w:rsid w:val="00d50f97"/>
    <w:pPr>
      <w:numPr>
        <w:ilvl w:val="2"/>
        <w:numId w:val="1"/>
      </w:numPr>
      <w:spacing w:before="120" w:after="180"/>
      <w:outlineLvl w:val="2"/>
      <w:outlineLvl w:val="2"/>
    </w:pPr>
    <w:rPr>
      <w:sz w:val="28"/>
      <w:szCs w:val="28"/>
    </w:rPr>
  </w:style>
  <w:style w:type="paragraph" w:styleId="Heading4">
    <w:name w:val="Heading 4"/>
    <w:basedOn w:val="Heading3"/>
    <w:next w:val="Normal"/>
    <w:qFormat/>
    <w:rsid w:val="00d50f97"/>
    <w:pPr>
      <w:numPr>
        <w:ilvl w:val="3"/>
        <w:numId w:val="1"/>
      </w:numPr>
      <w:outlineLvl w:val="3"/>
      <w:outlineLvl w:val="3"/>
    </w:pPr>
    <w:rPr>
      <w:sz w:val="24"/>
      <w:szCs w:val="24"/>
    </w:rPr>
  </w:style>
  <w:style w:type="paragraph" w:styleId="Heading5">
    <w:name w:val="Heading 5"/>
    <w:basedOn w:val="Heading4"/>
    <w:next w:val="Normal"/>
    <w:qFormat/>
    <w:rsid w:val="00d50f97"/>
    <w:pPr>
      <w:numPr>
        <w:ilvl w:val="4"/>
        <w:numId w:val="1"/>
      </w:numPr>
      <w:outlineLvl w:val="4"/>
      <w:outlineLvl w:val="4"/>
    </w:pPr>
    <w:rPr>
      <w:sz w:val="22"/>
      <w:szCs w:val="22"/>
    </w:rPr>
  </w:style>
  <w:style w:type="paragraph" w:styleId="Heading6">
    <w:name w:val="Heading 6"/>
    <w:basedOn w:val="Normal"/>
    <w:next w:val="Normal"/>
    <w:qFormat/>
    <w:rsid w:val="00d50f97"/>
    <w:pPr>
      <w:keepNext/>
      <w:keepLines/>
      <w:numPr>
        <w:ilvl w:val="5"/>
        <w:numId w:val="1"/>
      </w:numPr>
      <w:spacing w:before="120" w:after="160"/>
      <w:outlineLvl w:val="5"/>
      <w:outlineLvl w:val="5"/>
    </w:pPr>
    <w:rPr>
      <w:rFonts w:cs="Arial"/>
    </w:rPr>
  </w:style>
  <w:style w:type="paragraph" w:styleId="Heading7">
    <w:name w:val="Heading 7"/>
    <w:basedOn w:val="Normal"/>
    <w:next w:val="Normal"/>
    <w:qFormat/>
    <w:rsid w:val="00d50f97"/>
    <w:pPr>
      <w:keepNext/>
      <w:keepLines/>
      <w:numPr>
        <w:ilvl w:val="6"/>
        <w:numId w:val="1"/>
      </w:numPr>
      <w:spacing w:before="120" w:after="160"/>
      <w:outlineLvl w:val="6"/>
      <w:outlineLvl w:val="6"/>
    </w:pPr>
    <w:rPr>
      <w:rFonts w:cs="Arial"/>
    </w:rPr>
  </w:style>
  <w:style w:type="paragraph" w:styleId="Heading8">
    <w:name w:val="Heading 8"/>
    <w:basedOn w:val="Heading7"/>
    <w:next w:val="Normal"/>
    <w:qFormat/>
    <w:rsid w:val="00d50f97"/>
    <w:pPr>
      <w:numPr>
        <w:ilvl w:val="7"/>
        <w:numId w:val="1"/>
      </w:numPr>
      <w:outlineLvl w:val="7"/>
      <w:outlineLvl w:val="7"/>
    </w:pPr>
    <w:rPr/>
  </w:style>
  <w:style w:type="paragraph" w:styleId="Heading9">
    <w:name w:val="Heading 9"/>
    <w:basedOn w:val="Heading8"/>
    <w:next w:val="Normal"/>
    <w:qFormat/>
    <w:rsid w:val="00d50f97"/>
    <w:pPr>
      <w:numPr>
        <w:ilvl w:val="8"/>
        <w:numId w:val="1"/>
      </w:numPr>
      <w:outlineLvl w:val="8"/>
      <w:outlineLvl w:val="8"/>
    </w:pPr>
    <w:rPr/>
  </w:style>
  <w:style w:type="character" w:styleId="DefaultParagraphFont" w:default="1">
    <w:name w:val="Default Paragraph Font"/>
    <w:uiPriority w:val="1"/>
    <w:semiHidden/>
    <w:unhideWhenUsed/>
    <w:qFormat/>
    <w:rPr/>
  </w:style>
  <w:style w:type="character" w:styleId="Footnotereference">
    <w:name w:val="footnote reference"/>
    <w:semiHidden/>
    <w:qFormat/>
    <w:rsid w:val="00d50f97"/>
    <w:rPr>
      <w:b/>
      <w:bCs/>
      <w:sz w:val="16"/>
      <w:szCs w:val="16"/>
    </w:rPr>
  </w:style>
  <w:style w:type="character" w:styleId="Pagenumber">
    <w:name w:val="page number"/>
    <w:semiHidden/>
    <w:qFormat/>
    <w:rsid w:val="00d50f97"/>
    <w:rPr/>
  </w:style>
  <w:style w:type="character" w:styleId="InternetLink" w:customStyle="1">
    <w:name w:val="Internet Link"/>
    <w:uiPriority w:val="99"/>
    <w:rsid w:val="00d50f97"/>
    <w:rPr>
      <w:color w:val="0000FF"/>
      <w:u w:val="single"/>
      <w:lang w:val="en-GB"/>
    </w:rPr>
  </w:style>
  <w:style w:type="character" w:styleId="FollowedHyperlink">
    <w:name w:val="FollowedHyperlink"/>
    <w:semiHidden/>
    <w:qFormat/>
    <w:rsid w:val="00d50f97"/>
    <w:rPr>
      <w:color w:val="FF0000"/>
      <w:u w:val="single"/>
    </w:rPr>
  </w:style>
  <w:style w:type="character" w:styleId="Annotationreference">
    <w:name w:val="annotation reference"/>
    <w:uiPriority w:val="99"/>
    <w:semiHidden/>
    <w:qFormat/>
    <w:rsid w:val="00d50f97"/>
    <w:rPr>
      <w:sz w:val="16"/>
      <w:szCs w:val="16"/>
    </w:rPr>
  </w:style>
  <w:style w:type="character" w:styleId="Heading1Char" w:customStyle="1">
    <w:name w:val="Heading 1 Char"/>
    <w:link w:val="Heading1"/>
    <w:qFormat/>
    <w:rsid w:val="00d50f97"/>
    <w:rPr>
      <w:rFonts w:ascii="Arial" w:hAnsi="Arial" w:cs="Arial"/>
      <w:sz w:val="36"/>
      <w:szCs w:val="36"/>
      <w:lang w:val="en-GB" w:eastAsia="zh-CN"/>
    </w:rPr>
  </w:style>
  <w:style w:type="character" w:styleId="BodyTextChar" w:customStyle="1">
    <w:name w:val="Body Text Char"/>
    <w:link w:val="BodyText"/>
    <w:qFormat/>
    <w:rsid w:val="00d50f97"/>
    <w:rPr>
      <w:rFonts w:ascii="Arial" w:hAnsi="Arial"/>
      <w:lang w:val="en-GB" w:eastAsia="zh-CN"/>
    </w:rPr>
  </w:style>
  <w:style w:type="character" w:styleId="ZGSM" w:customStyle="1">
    <w:name w:val="ZGSM"/>
    <w:qFormat/>
    <w:rsid w:val="00d50f97"/>
    <w:rPr/>
  </w:style>
  <w:style w:type="character" w:styleId="ReferenceChar" w:customStyle="1">
    <w:name w:val="Reference Char"/>
    <w:link w:val="Reference"/>
    <w:qFormat/>
    <w:rsid w:val="000a4d8a"/>
    <w:rPr>
      <w:rFonts w:ascii="Arial" w:hAnsi="Arial"/>
      <w:lang w:val="en-GB" w:eastAsia="zh-CN"/>
    </w:rPr>
  </w:style>
  <w:style w:type="character" w:styleId="MaintextChar" w:customStyle="1">
    <w:name w:val="main text Char"/>
    <w:qFormat/>
    <w:rsid w:val="005a22ac"/>
    <w:rPr>
      <w:rFonts w:ascii="Times New Roman" w:hAnsi="Times New Roman" w:eastAsia="Malgun Gothic" w:cs="Batang"/>
      <w:lang w:val="en-GB" w:eastAsia="ko-KR"/>
    </w:rPr>
  </w:style>
  <w:style w:type="character" w:styleId="ListParagraphChar" w:customStyle="1">
    <w:name w:val="List Paragraph Char"/>
    <w:link w:val="ListParagraph"/>
    <w:uiPriority w:val="34"/>
    <w:qFormat/>
    <w:locked/>
    <w:rsid w:val="008377da"/>
    <w:rPr>
      <w:rFonts w:ascii="Arial" w:hAnsi="Arial"/>
      <w:lang w:val="en-GB" w:eastAsia="zh-CN"/>
    </w:rPr>
  </w:style>
  <w:style w:type="character" w:styleId="CommentTextChar" w:customStyle="1">
    <w:name w:val="Comment Text Char"/>
    <w:link w:val="CommentText"/>
    <w:uiPriority w:val="99"/>
    <w:semiHidden/>
    <w:qFormat/>
    <w:rsid w:val="00647d03"/>
    <w:rPr>
      <w:rFonts w:ascii="Arial" w:hAnsi="Arial"/>
      <w:lang w:val="en-GB" w:eastAsia="zh-CN"/>
    </w:rPr>
  </w:style>
  <w:style w:type="character" w:styleId="Strong">
    <w:name w:val="Strong"/>
    <w:basedOn w:val="DefaultParagraphFont"/>
    <w:uiPriority w:val="22"/>
    <w:qFormat/>
    <w:rsid w:val="000b2aae"/>
    <w:rPr>
      <w:b/>
      <w:bCs/>
    </w:rPr>
  </w:style>
  <w:style w:type="character" w:styleId="PlaceholderText">
    <w:name w:val="Placeholder Text"/>
    <w:basedOn w:val="DefaultParagraphFont"/>
    <w:uiPriority w:val="99"/>
    <w:semiHidden/>
    <w:qFormat/>
    <w:rsid w:val="00fa25e7"/>
    <w:rPr>
      <w:color w:val="808080"/>
    </w:rPr>
  </w:style>
  <w:style w:type="character" w:styleId="ListLabel1" w:customStyle="1">
    <w:name w:val="ListLabel 1"/>
    <w:qFormat/>
    <w:rPr>
      <w:rFonts w:cs="Times New Roman"/>
      <w:lang w:val="en-US"/>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cs="Times New Roman"/>
    </w:rPr>
  </w:style>
  <w:style w:type="character" w:styleId="ListLabel6" w:customStyle="1">
    <w:name w:val="ListLabel 6"/>
    <w:qFormat/>
    <w:rPr>
      <w:rFonts w:cs="Courier New"/>
    </w:rPr>
  </w:style>
  <w:style w:type="character" w:styleId="ListLabel7" w:customStyle="1">
    <w:name w:val="ListLabel 7"/>
    <w:qFormat/>
    <w:rPr>
      <w:rFonts w:cs="Courier New"/>
    </w:rPr>
  </w:style>
  <w:style w:type="character" w:styleId="ListLabel8" w:customStyle="1">
    <w:name w:val="ListLabel 8"/>
    <w:qFormat/>
    <w:rPr>
      <w:rFonts w:cs="Courier New"/>
    </w:rPr>
  </w:style>
  <w:style w:type="character" w:styleId="ListLabel9" w:customStyle="1">
    <w:name w:val="ListLabel 9"/>
    <w:qFormat/>
    <w:rPr>
      <w:rFonts w:cs="Times New Roman"/>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cs="Courier New"/>
    </w:rPr>
  </w:style>
  <w:style w:type="character" w:styleId="ListLabel13" w:customStyle="1">
    <w:name w:val="ListLabel 13"/>
    <w:qFormat/>
    <w:rPr>
      <w:rFonts w:cs="Times New Roman"/>
    </w:rPr>
  </w:style>
  <w:style w:type="character" w:styleId="ListLabel14" w:customStyle="1">
    <w:name w:val="ListLabel 14"/>
    <w:qFormat/>
    <w:rPr>
      <w:rFonts w:cs="Courier New"/>
    </w:rPr>
  </w:style>
  <w:style w:type="character" w:styleId="ListLabel15" w:customStyle="1">
    <w:name w:val="ListLabel 15"/>
    <w:qFormat/>
    <w:rPr>
      <w:rFonts w:cs="Courier New"/>
    </w:rPr>
  </w:style>
  <w:style w:type="character" w:styleId="ListLabel16" w:customStyle="1">
    <w:name w:val="ListLabel 16"/>
    <w:qFormat/>
    <w:rPr>
      <w:rFonts w:cs="Courier New"/>
    </w:rPr>
  </w:style>
  <w:style w:type="character" w:styleId="ListLabel17" w:customStyle="1">
    <w:name w:val="ListLabel 17"/>
    <w:qFormat/>
    <w:rPr>
      <w:rFonts w:cs="Times New Roman"/>
    </w:rPr>
  </w:style>
  <w:style w:type="character" w:styleId="ListLabel18" w:customStyle="1">
    <w:name w:val="ListLabel 18"/>
    <w:qFormat/>
    <w:rPr>
      <w:rFonts w:cs="Courier New"/>
    </w:rPr>
  </w:style>
  <w:style w:type="character" w:styleId="ListLabel19" w:customStyle="1">
    <w:name w:val="ListLabel 19"/>
    <w:qFormat/>
    <w:rPr>
      <w:rFonts w:cs="Courier New"/>
    </w:rPr>
  </w:style>
  <w:style w:type="character" w:styleId="ListLabel20" w:customStyle="1">
    <w:name w:val="ListLabel 20"/>
    <w:qFormat/>
    <w:rPr>
      <w:rFonts w:cs="Courier New"/>
    </w:rPr>
  </w:style>
  <w:style w:type="character" w:styleId="ListLabel21" w:customStyle="1">
    <w:name w:val="ListLabel 21"/>
    <w:qFormat/>
    <w:rPr>
      <w:rFonts w:cs="Courier New"/>
    </w:rPr>
  </w:style>
  <w:style w:type="character" w:styleId="ListLabel22" w:customStyle="1">
    <w:name w:val="ListLabel 22"/>
    <w:qFormat/>
    <w:rPr>
      <w:rFonts w:cs="Courier New"/>
    </w:rPr>
  </w:style>
  <w:style w:type="character" w:styleId="ListLabel23" w:customStyle="1">
    <w:name w:val="ListLabel 23"/>
    <w:qFormat/>
    <w:rPr>
      <w:rFonts w:cs="Courier New"/>
    </w:rPr>
  </w:style>
  <w:style w:type="character" w:styleId="ListLabel24" w:customStyle="1">
    <w:name w:val="ListLabel 24"/>
    <w:qFormat/>
    <w:rPr>
      <w:rFonts w:eastAsia="SimSun" w:cs="Times New Roman"/>
    </w:rPr>
  </w:style>
  <w:style w:type="character" w:styleId="ListLabel25" w:customStyle="1">
    <w:name w:val="ListLabel 25"/>
    <w:qFormat/>
    <w:rPr>
      <w:rFonts w:cs="Courier New"/>
    </w:rPr>
  </w:style>
  <w:style w:type="character" w:styleId="ListLabel26" w:customStyle="1">
    <w:name w:val="ListLabel 26"/>
    <w:qFormat/>
    <w:rPr>
      <w:rFonts w:cs="Courier New"/>
    </w:rPr>
  </w:style>
  <w:style w:type="character" w:styleId="ListLabel27" w:customStyle="1">
    <w:name w:val="ListLabel 27"/>
    <w:qFormat/>
    <w:rPr>
      <w:rFonts w:cs="Courier New"/>
    </w:rPr>
  </w:style>
  <w:style w:type="character" w:styleId="ListLabel28" w:customStyle="1">
    <w:name w:val="ListLabel 28"/>
    <w:qFormat/>
    <w:rPr>
      <w:rFonts w:cs="Courier New"/>
    </w:rPr>
  </w:style>
  <w:style w:type="character" w:styleId="ListLabel29" w:customStyle="1">
    <w:name w:val="ListLabel 29"/>
    <w:qFormat/>
    <w:rPr>
      <w:rFonts w:cs="Courier New"/>
    </w:rPr>
  </w:style>
  <w:style w:type="character" w:styleId="ListLabel30" w:customStyle="1">
    <w:name w:val="ListLabel 30"/>
    <w:qFormat/>
    <w:rPr>
      <w:rFonts w:cs="Courier New"/>
    </w:rPr>
  </w:style>
  <w:style w:type="character" w:styleId="ListLabel31" w:customStyle="1">
    <w:name w:val="ListLabel 31"/>
    <w:qFormat/>
    <w:rPr>
      <w:rFonts w:cs="Courier New"/>
    </w:rPr>
  </w:style>
  <w:style w:type="character" w:styleId="ListLabel32" w:customStyle="1">
    <w:name w:val="ListLabel 32"/>
    <w:qFormat/>
    <w:rPr>
      <w:rFonts w:cs="Courier New"/>
    </w:rPr>
  </w:style>
  <w:style w:type="character" w:styleId="ListLabel33" w:customStyle="1">
    <w:name w:val="ListLabel 33"/>
    <w:qFormat/>
    <w:rPr>
      <w:rFonts w:cs="Courier New"/>
    </w:rPr>
  </w:style>
  <w:style w:type="character" w:styleId="ListLabel34" w:customStyle="1">
    <w:name w:val="ListLabel 34"/>
    <w:qFormat/>
    <w:rPr>
      <w:rFonts w:cs="Courier New"/>
    </w:rPr>
  </w:style>
  <w:style w:type="character" w:styleId="ListLabel35" w:customStyle="1">
    <w:name w:val="ListLabel 35"/>
    <w:qFormat/>
    <w:rPr>
      <w:rFonts w:cs="Courier New"/>
    </w:rPr>
  </w:style>
  <w:style w:type="character" w:styleId="ListLabel36" w:customStyle="1">
    <w:name w:val="ListLabel 36"/>
    <w:qFormat/>
    <w:rPr>
      <w:rFonts w:cs="Courier New"/>
    </w:rPr>
  </w:style>
  <w:style w:type="character" w:styleId="ListLabel37" w:customStyle="1">
    <w:name w:val="ListLabel 37"/>
    <w:qFormat/>
    <w:rPr>
      <w:b/>
      <w:i w:val="false"/>
      <w:caps w:val="false"/>
      <w:smallCaps w:val="false"/>
      <w:strike w:val="false"/>
      <w:dstrike w:val="false"/>
      <w:vanish w:val="false"/>
      <w:color w:val="000000"/>
      <w:position w:val="0"/>
      <w:sz w:val="24"/>
      <w:sz w:val="24"/>
      <w:effect w:val="none"/>
      <w:vertAlign w:val="baseline"/>
    </w:rPr>
  </w:style>
  <w:style w:type="character" w:styleId="ListLabel38" w:customStyle="1">
    <w:name w:val="ListLabel 38"/>
    <w:qFormat/>
    <w:rPr>
      <w:rFonts w:cs="Courier New"/>
    </w:rPr>
  </w:style>
  <w:style w:type="character" w:styleId="ListLabel39" w:customStyle="1">
    <w:name w:val="ListLabel 39"/>
    <w:qFormat/>
    <w:rPr>
      <w:rFonts w:cs="Courier New"/>
    </w:rPr>
  </w:style>
  <w:style w:type="character" w:styleId="ListLabel40" w:customStyle="1">
    <w:name w:val="ListLabel 40"/>
    <w:qFormat/>
    <w:rPr>
      <w:rFonts w:cs="Courier New"/>
    </w:rPr>
  </w:style>
  <w:style w:type="character" w:styleId="ListLabel41" w:customStyle="1">
    <w:name w:val="ListLabel 41"/>
    <w:qFormat/>
    <w:rPr>
      <w:rFonts w:eastAsia="Times New Roman" w:cs="Arial"/>
    </w:rPr>
  </w:style>
  <w:style w:type="character" w:styleId="ListLabel42" w:customStyle="1">
    <w:name w:val="ListLabel 42"/>
    <w:qFormat/>
    <w:rPr>
      <w:rFonts w:cs="Courier New"/>
    </w:rPr>
  </w:style>
  <w:style w:type="character" w:styleId="ListLabel43" w:customStyle="1">
    <w:name w:val="ListLabel 43"/>
    <w:qFormat/>
    <w:rPr>
      <w:rFonts w:cs="Courier New"/>
    </w:rPr>
  </w:style>
  <w:style w:type="character" w:styleId="ListLabel44" w:customStyle="1">
    <w:name w:val="ListLabel 44"/>
    <w:qFormat/>
    <w:rPr>
      <w:rFonts w:cs="Courier New"/>
    </w:rPr>
  </w:style>
  <w:style w:type="character" w:styleId="ListLabel45" w:customStyle="1">
    <w:name w:val="ListLabel 45"/>
    <w:qFormat/>
    <w:rPr>
      <w:rFonts w:eastAsia="Times New Roman" w:cs="Arial"/>
    </w:rPr>
  </w:style>
  <w:style w:type="character" w:styleId="ListLabel46" w:customStyle="1">
    <w:name w:val="ListLabel 46"/>
    <w:qFormat/>
    <w:rPr>
      <w:rFonts w:cs="Courier New"/>
    </w:rPr>
  </w:style>
  <w:style w:type="character" w:styleId="ListLabel47" w:customStyle="1">
    <w:name w:val="ListLabel 47"/>
    <w:qFormat/>
    <w:rPr>
      <w:rFonts w:cs="Courier New"/>
    </w:rPr>
  </w:style>
  <w:style w:type="character" w:styleId="ListLabel48" w:customStyle="1">
    <w:name w:val="ListLabel 48"/>
    <w:qFormat/>
    <w:rPr>
      <w:rFonts w:cs="Courier New"/>
    </w:rPr>
  </w:style>
  <w:style w:type="character" w:styleId="ListLabel49" w:customStyle="1">
    <w:name w:val="ListLabel 49"/>
    <w:qFormat/>
    <w:rPr>
      <w:rFonts w:eastAsia="SimSun" w:cs="Times New Roman"/>
    </w:rPr>
  </w:style>
  <w:style w:type="character" w:styleId="ListLabel50" w:customStyle="1">
    <w:name w:val="ListLabel 50"/>
    <w:qFormat/>
    <w:rPr>
      <w:rFonts w:cs="Courier New"/>
    </w:rPr>
  </w:style>
  <w:style w:type="character" w:styleId="ListLabel51" w:customStyle="1">
    <w:name w:val="ListLabel 51"/>
    <w:qFormat/>
    <w:rPr>
      <w:rFonts w:cs="Courier New"/>
    </w:rPr>
  </w:style>
  <w:style w:type="character" w:styleId="ListLabel52" w:customStyle="1">
    <w:name w:val="ListLabel 52"/>
    <w:qFormat/>
    <w:rPr>
      <w:rFonts w:cs="Courier New"/>
    </w:rPr>
  </w:style>
  <w:style w:type="character" w:styleId="ListLabel53" w:customStyle="1">
    <w:name w:val="ListLabel 53"/>
    <w:qFormat/>
    <w:rPr>
      <w:rFonts w:eastAsia="SimSun" w:cs="Times New Roman"/>
    </w:rPr>
  </w:style>
  <w:style w:type="character" w:styleId="ListLabel54" w:customStyle="1">
    <w:name w:val="ListLabel 54"/>
    <w:qFormat/>
    <w:rPr>
      <w:rFonts w:cs="Courier New"/>
    </w:rPr>
  </w:style>
  <w:style w:type="character" w:styleId="ListLabel55" w:customStyle="1">
    <w:name w:val="ListLabel 55"/>
    <w:qFormat/>
    <w:rPr>
      <w:rFonts w:cs="Courier New"/>
    </w:rPr>
  </w:style>
  <w:style w:type="character" w:styleId="ListLabel56" w:customStyle="1">
    <w:name w:val="ListLabel 56"/>
    <w:qFormat/>
    <w:rPr>
      <w:rFonts w:cs="Courier New"/>
    </w:rPr>
  </w:style>
  <w:style w:type="character" w:styleId="ListLabel57" w:customStyle="1">
    <w:name w:val="ListLabel 57"/>
    <w:qFormat/>
    <w:rPr>
      <w:rFonts w:eastAsia="SimSun" w:cs="Times New Roman"/>
    </w:rPr>
  </w:style>
  <w:style w:type="character" w:styleId="ListLabel58" w:customStyle="1">
    <w:name w:val="ListLabel 58"/>
    <w:qFormat/>
    <w:rPr>
      <w:rFonts w:cs="Courier New"/>
    </w:rPr>
  </w:style>
  <w:style w:type="character" w:styleId="ListLabel59" w:customStyle="1">
    <w:name w:val="ListLabel 59"/>
    <w:qFormat/>
    <w:rPr>
      <w:rFonts w:cs="Courier New"/>
    </w:rPr>
  </w:style>
  <w:style w:type="character" w:styleId="ListLabel60" w:customStyle="1">
    <w:name w:val="ListLabel 60"/>
    <w:qFormat/>
    <w:rPr>
      <w:rFonts w:cs="Courier New"/>
    </w:rPr>
  </w:style>
  <w:style w:type="character" w:styleId="ListLabel61" w:customStyle="1">
    <w:name w:val="ListLabel 61"/>
    <w:qFormat/>
    <w:rPr>
      <w:rFonts w:eastAsia="SimSun" w:cs="Times New Roman"/>
    </w:rPr>
  </w:style>
  <w:style w:type="character" w:styleId="ListLabel62" w:customStyle="1">
    <w:name w:val="ListLabel 62"/>
    <w:qFormat/>
    <w:rPr>
      <w:rFonts w:cs="Courier New"/>
    </w:rPr>
  </w:style>
  <w:style w:type="character" w:styleId="ListLabel63" w:customStyle="1">
    <w:name w:val="ListLabel 63"/>
    <w:qFormat/>
    <w:rPr>
      <w:rFonts w:cs="Courier New"/>
    </w:rPr>
  </w:style>
  <w:style w:type="character" w:styleId="ListLabel64" w:customStyle="1">
    <w:name w:val="ListLabel 64"/>
    <w:qFormat/>
    <w:rPr>
      <w:rFonts w:cs="Courier New"/>
    </w:rPr>
  </w:style>
  <w:style w:type="character" w:styleId="ListLabel65" w:customStyle="1">
    <w:name w:val="ListLabel 65"/>
    <w:qFormat/>
    <w:rPr>
      <w:rFonts w:eastAsia="Times New Roman" w:cs="Arial"/>
    </w:rPr>
  </w:style>
  <w:style w:type="character" w:styleId="ListLabel66" w:customStyle="1">
    <w:name w:val="ListLabel 66"/>
    <w:qFormat/>
    <w:rPr>
      <w:rFonts w:cs="Courier New"/>
    </w:rPr>
  </w:style>
  <w:style w:type="character" w:styleId="ListLabel67" w:customStyle="1">
    <w:name w:val="ListLabel 67"/>
    <w:qFormat/>
    <w:rPr>
      <w:rFonts w:cs="Courier New"/>
    </w:rPr>
  </w:style>
  <w:style w:type="character" w:styleId="ListLabel68" w:customStyle="1">
    <w:name w:val="ListLabel 68"/>
    <w:qFormat/>
    <w:rPr>
      <w:rFonts w:cs="Courier New"/>
    </w:rPr>
  </w:style>
  <w:style w:type="character" w:styleId="ListLabel69" w:customStyle="1">
    <w:name w:val="ListLabel 69"/>
    <w:qFormat/>
    <w:rPr>
      <w:rFonts w:cs="Courier New"/>
    </w:rPr>
  </w:style>
  <w:style w:type="character" w:styleId="ListLabel70" w:customStyle="1">
    <w:name w:val="ListLabel 70"/>
    <w:qFormat/>
    <w:rPr>
      <w:rFonts w:cs="Courier New"/>
    </w:rPr>
  </w:style>
  <w:style w:type="character" w:styleId="ListLabel71" w:customStyle="1">
    <w:name w:val="ListLabel 71"/>
    <w:qFormat/>
    <w:rPr>
      <w:rFonts w:cs="Courier New"/>
    </w:rPr>
  </w:style>
  <w:style w:type="character" w:styleId="ListLabel72" w:customStyle="1">
    <w:name w:val="ListLabel 72"/>
    <w:qFormat/>
    <w:rPr>
      <w:rFonts w:eastAsia="SimSun" w:cs="Times New Roman"/>
    </w:rPr>
  </w:style>
  <w:style w:type="character" w:styleId="ListLabel73" w:customStyle="1">
    <w:name w:val="ListLabel 73"/>
    <w:qFormat/>
    <w:rPr>
      <w:rFonts w:cs="Courier New"/>
    </w:rPr>
  </w:style>
  <w:style w:type="character" w:styleId="ListLabel74" w:customStyle="1">
    <w:name w:val="ListLabel 74"/>
    <w:qFormat/>
    <w:rPr>
      <w:rFonts w:cs="Courier New"/>
    </w:rPr>
  </w:style>
  <w:style w:type="character" w:styleId="ListLabel75" w:customStyle="1">
    <w:name w:val="ListLabel 75"/>
    <w:qFormat/>
    <w:rPr>
      <w:rFonts w:cs="Courier New"/>
    </w:rPr>
  </w:style>
  <w:style w:type="character" w:styleId="ListLabel76" w:customStyle="1">
    <w:name w:val="ListLabel 76"/>
    <w:qFormat/>
    <w:rPr>
      <w:rFonts w:eastAsia="MS Mincho" w:cs="Times New Roman"/>
    </w:rPr>
  </w:style>
  <w:style w:type="character" w:styleId="ListLabel77" w:customStyle="1">
    <w:name w:val="ListLabel 77"/>
    <w:qFormat/>
    <w:rPr>
      <w:rFonts w:cs="Courier New"/>
    </w:rPr>
  </w:style>
  <w:style w:type="character" w:styleId="ListLabel78" w:customStyle="1">
    <w:name w:val="ListLabel 78"/>
    <w:qFormat/>
    <w:rPr>
      <w:rFonts w:cs="Courier New"/>
    </w:rPr>
  </w:style>
  <w:style w:type="character" w:styleId="ListLabel79" w:customStyle="1">
    <w:name w:val="ListLabel 79"/>
    <w:qFormat/>
    <w:rPr>
      <w:rFonts w:cs="Courier New"/>
    </w:rPr>
  </w:style>
  <w:style w:type="character" w:styleId="ListLabel80" w:customStyle="1">
    <w:name w:val="ListLabel 80"/>
    <w:qFormat/>
    <w:rPr>
      <w:rFonts w:eastAsia="MS Mincho" w:cs="Times New Roman"/>
    </w:rPr>
  </w:style>
  <w:style w:type="character" w:styleId="ListLabel81" w:customStyle="1">
    <w:name w:val="ListLabel 81"/>
    <w:qFormat/>
    <w:rPr>
      <w:rFonts w:cs="Courier New"/>
    </w:rPr>
  </w:style>
  <w:style w:type="character" w:styleId="ListLabel82" w:customStyle="1">
    <w:name w:val="ListLabel 82"/>
    <w:qFormat/>
    <w:rPr>
      <w:rFonts w:cs="Courier New"/>
    </w:rPr>
  </w:style>
  <w:style w:type="character" w:styleId="ListLabel83" w:customStyle="1">
    <w:name w:val="ListLabel 83"/>
    <w:qFormat/>
    <w:rPr>
      <w:rFonts w:cs="Courier New"/>
    </w:rPr>
  </w:style>
  <w:style w:type="character" w:styleId="ListLabel84" w:customStyle="1">
    <w:name w:val="ListLabel 84"/>
    <w:qFormat/>
    <w:rPr>
      <w:rFonts w:eastAsia="MS Mincho" w:cs="Times New Roman"/>
    </w:rPr>
  </w:style>
  <w:style w:type="character" w:styleId="ListLabel85" w:customStyle="1">
    <w:name w:val="ListLabel 85"/>
    <w:qFormat/>
    <w:rPr>
      <w:rFonts w:cs="Courier New"/>
    </w:rPr>
  </w:style>
  <w:style w:type="character" w:styleId="ListLabel86" w:customStyle="1">
    <w:name w:val="ListLabel 86"/>
    <w:qFormat/>
    <w:rPr>
      <w:rFonts w:cs="Courier New"/>
    </w:rPr>
  </w:style>
  <w:style w:type="character" w:styleId="ListLabel87" w:customStyle="1">
    <w:name w:val="ListLabel 87"/>
    <w:qFormat/>
    <w:rPr>
      <w:rFonts w:cs="Courier New"/>
    </w:rPr>
  </w:style>
  <w:style w:type="character" w:styleId="ListLabel88" w:customStyle="1">
    <w:name w:val="ListLabel 88"/>
    <w:qFormat/>
    <w:rPr>
      <w:rFonts w:eastAsia="MS Mincho" w:cs="Times New Roman"/>
    </w:rPr>
  </w:style>
  <w:style w:type="character" w:styleId="ListLabel89" w:customStyle="1">
    <w:name w:val="ListLabel 89"/>
    <w:qFormat/>
    <w:rPr>
      <w:rFonts w:cs="Courier New"/>
    </w:rPr>
  </w:style>
  <w:style w:type="character" w:styleId="ListLabel90" w:customStyle="1">
    <w:name w:val="ListLabel 90"/>
    <w:qFormat/>
    <w:rPr>
      <w:rFonts w:cs="Courier New"/>
    </w:rPr>
  </w:style>
  <w:style w:type="character" w:styleId="ListLabel91" w:customStyle="1">
    <w:name w:val="ListLabel 91"/>
    <w:qFormat/>
    <w:rPr>
      <w:rFonts w:cs="Courier New"/>
    </w:rPr>
  </w:style>
  <w:style w:type="character" w:styleId="ListLabel92" w:customStyle="1">
    <w:name w:val="ListLabel 92"/>
    <w:qFormat/>
    <w:rPr>
      <w:rFonts w:eastAsia="Times New Roman" w:cs="Arial"/>
    </w:rPr>
  </w:style>
  <w:style w:type="character" w:styleId="ListLabel93" w:customStyle="1">
    <w:name w:val="ListLabel 93"/>
    <w:qFormat/>
    <w:rPr>
      <w:rFonts w:cs="Courier New"/>
    </w:rPr>
  </w:style>
  <w:style w:type="character" w:styleId="ListLabel94" w:customStyle="1">
    <w:name w:val="ListLabel 94"/>
    <w:qFormat/>
    <w:rPr>
      <w:rFonts w:cs="Courier New"/>
    </w:rPr>
  </w:style>
  <w:style w:type="character" w:styleId="ListLabel95" w:customStyle="1">
    <w:name w:val="ListLabel 95"/>
    <w:qFormat/>
    <w:rPr>
      <w:rFonts w:cs="Courier New"/>
    </w:rPr>
  </w:style>
  <w:style w:type="character" w:styleId="ListLabel96" w:customStyle="1">
    <w:name w:val="ListLabel 96"/>
    <w:qFormat/>
    <w:rPr>
      <w:rFonts w:cs="Courier New"/>
    </w:rPr>
  </w:style>
  <w:style w:type="character" w:styleId="ListLabel97" w:customStyle="1">
    <w:name w:val="ListLabel 97"/>
    <w:qFormat/>
    <w:rPr>
      <w:rFonts w:cs="Courier New"/>
    </w:rPr>
  </w:style>
  <w:style w:type="character" w:styleId="ListLabel98" w:customStyle="1">
    <w:name w:val="ListLabel 98"/>
    <w:qFormat/>
    <w:rPr>
      <w:rFonts w:cs="Courier New"/>
    </w:rPr>
  </w:style>
  <w:style w:type="character" w:styleId="ListLabel99" w:customStyle="1">
    <w:name w:val="ListLabel 99"/>
    <w:qFormat/>
    <w:rPr>
      <w:rFonts w:eastAsia="Times New Roman" w:cs="Arial"/>
    </w:rPr>
  </w:style>
  <w:style w:type="character" w:styleId="ListLabel100" w:customStyle="1">
    <w:name w:val="ListLabel 100"/>
    <w:qFormat/>
    <w:rPr>
      <w:rFonts w:cs="Courier New"/>
    </w:rPr>
  </w:style>
  <w:style w:type="character" w:styleId="ListLabel101" w:customStyle="1">
    <w:name w:val="ListLabel 101"/>
    <w:qFormat/>
    <w:rPr>
      <w:rFonts w:cs="Courier New"/>
    </w:rPr>
  </w:style>
  <w:style w:type="character" w:styleId="ListLabel102" w:customStyle="1">
    <w:name w:val="ListLabel 102"/>
    <w:qFormat/>
    <w:rPr>
      <w:rFonts w:cs="Courier New"/>
    </w:rPr>
  </w:style>
  <w:style w:type="character" w:styleId="ListLabel103" w:customStyle="1">
    <w:name w:val="ListLabel 103"/>
    <w:qFormat/>
    <w:rPr>
      <w:rFonts w:cs="Courier New"/>
    </w:rPr>
  </w:style>
  <w:style w:type="character" w:styleId="ListLabel104" w:customStyle="1">
    <w:name w:val="ListLabel 104"/>
    <w:qFormat/>
    <w:rPr>
      <w:rFonts w:cs="Courier New"/>
    </w:rPr>
  </w:style>
  <w:style w:type="character" w:styleId="ListLabel105" w:customStyle="1">
    <w:name w:val="ListLabel 105"/>
    <w:qFormat/>
    <w:rPr>
      <w:rFonts w:cs="Courier New"/>
    </w:rPr>
  </w:style>
  <w:style w:type="character" w:styleId="ListLabel106" w:customStyle="1">
    <w:name w:val="ListLabel 106"/>
    <w:qFormat/>
    <w:rPr>
      <w:rFonts w:cs="Courier New"/>
    </w:rPr>
  </w:style>
  <w:style w:type="character" w:styleId="ListLabel107" w:customStyle="1">
    <w:name w:val="ListLabel 107"/>
    <w:qFormat/>
    <w:rPr>
      <w:rFonts w:cs="Courier New"/>
    </w:rPr>
  </w:style>
  <w:style w:type="character" w:styleId="ListLabel108" w:customStyle="1">
    <w:name w:val="ListLabel 108"/>
    <w:qFormat/>
    <w:rPr>
      <w:rFonts w:cs="Courier New"/>
    </w:rPr>
  </w:style>
  <w:style w:type="character" w:styleId="ListLabel109" w:customStyle="1">
    <w:name w:val="ListLabel 109"/>
    <w:qFormat/>
    <w:rPr>
      <w:rFonts w:cs="Courier New"/>
    </w:rPr>
  </w:style>
  <w:style w:type="character" w:styleId="ListLabel110" w:customStyle="1">
    <w:name w:val="ListLabel 110"/>
    <w:qFormat/>
    <w:rPr>
      <w:rFonts w:cs="Courier New"/>
    </w:rPr>
  </w:style>
  <w:style w:type="character" w:styleId="ListLabel111" w:customStyle="1">
    <w:name w:val="ListLabel 111"/>
    <w:qFormat/>
    <w:rPr>
      <w:rFonts w:cs="Courier New"/>
    </w:rPr>
  </w:style>
  <w:style w:type="character" w:styleId="ListLabel112" w:customStyle="1">
    <w:name w:val="ListLabel 112"/>
    <w:qFormat/>
    <w:rPr>
      <w:rFonts w:cs="Courier New"/>
    </w:rPr>
  </w:style>
  <w:style w:type="character" w:styleId="ListLabel113" w:customStyle="1">
    <w:name w:val="ListLabel 113"/>
    <w:qFormat/>
    <w:rPr>
      <w:rFonts w:cs="Courier New"/>
    </w:rPr>
  </w:style>
  <w:style w:type="character" w:styleId="ListLabel114" w:customStyle="1">
    <w:name w:val="ListLabel 114"/>
    <w:qFormat/>
    <w:rPr>
      <w:rFonts w:cs="Courier New"/>
    </w:rPr>
  </w:style>
  <w:style w:type="character" w:styleId="ListLabel115" w:customStyle="1">
    <w:name w:val="ListLabel 115"/>
    <w:qFormat/>
    <w:rPr>
      <w:rFonts w:ascii="Times New Roman" w:hAnsi="Times New Roman" w:cs="Symbol"/>
      <w:sz w:val="20"/>
    </w:rPr>
  </w:style>
  <w:style w:type="character" w:styleId="ListLabel116" w:customStyle="1">
    <w:name w:val="ListLabel 116"/>
    <w:qFormat/>
    <w:rPr>
      <w:rFonts w:cs="Courier New"/>
    </w:rPr>
  </w:style>
  <w:style w:type="character" w:styleId="ListLabel117" w:customStyle="1">
    <w:name w:val="ListLabel 117"/>
    <w:qFormat/>
    <w:rPr>
      <w:rFonts w:cs="Wingdings"/>
    </w:rPr>
  </w:style>
  <w:style w:type="character" w:styleId="ListLabel118" w:customStyle="1">
    <w:name w:val="ListLabel 118"/>
    <w:qFormat/>
    <w:rPr>
      <w:rFonts w:cs="Symbol"/>
    </w:rPr>
  </w:style>
  <w:style w:type="character" w:styleId="ListLabel119" w:customStyle="1">
    <w:name w:val="ListLabel 119"/>
    <w:qFormat/>
    <w:rPr>
      <w:rFonts w:cs="Courier New"/>
    </w:rPr>
  </w:style>
  <w:style w:type="character" w:styleId="ListLabel120" w:customStyle="1">
    <w:name w:val="ListLabel 120"/>
    <w:qFormat/>
    <w:rPr>
      <w:rFonts w:cs="Wingdings"/>
    </w:rPr>
  </w:style>
  <w:style w:type="character" w:styleId="ListLabel121" w:customStyle="1">
    <w:name w:val="ListLabel 121"/>
    <w:qFormat/>
    <w:rPr>
      <w:rFonts w:cs="Symbol"/>
    </w:rPr>
  </w:style>
  <w:style w:type="character" w:styleId="ListLabel122" w:customStyle="1">
    <w:name w:val="ListLabel 122"/>
    <w:qFormat/>
    <w:rPr>
      <w:rFonts w:cs="Courier New"/>
    </w:rPr>
  </w:style>
  <w:style w:type="character" w:styleId="ListLabel123" w:customStyle="1">
    <w:name w:val="ListLabel 123"/>
    <w:qFormat/>
    <w:rPr>
      <w:rFonts w:cs="Wingdings"/>
    </w:rPr>
  </w:style>
  <w:style w:type="character" w:styleId="ListLabel124" w:customStyle="1">
    <w:name w:val="ListLabel 124"/>
    <w:qFormat/>
    <w:rPr>
      <w:rFonts w:ascii="Times New Roman" w:hAnsi="Times New Roman" w:cs="Symbol"/>
      <w:sz w:val="20"/>
    </w:rPr>
  </w:style>
  <w:style w:type="character" w:styleId="ListLabel125" w:customStyle="1">
    <w:name w:val="ListLabel 125"/>
    <w:qFormat/>
    <w:rPr>
      <w:rFonts w:ascii="Times New Roman" w:hAnsi="Times New Roman" w:cs="Courier New"/>
      <w:b/>
      <w:sz w:val="20"/>
    </w:rPr>
  </w:style>
  <w:style w:type="character" w:styleId="ListLabel126" w:customStyle="1">
    <w:name w:val="ListLabel 126"/>
    <w:qFormat/>
    <w:rPr>
      <w:rFonts w:cs="Wingdings"/>
    </w:rPr>
  </w:style>
  <w:style w:type="character" w:styleId="ListLabel127" w:customStyle="1">
    <w:name w:val="ListLabel 127"/>
    <w:qFormat/>
    <w:rPr>
      <w:rFonts w:cs="Symbol"/>
    </w:rPr>
  </w:style>
  <w:style w:type="character" w:styleId="ListLabel128" w:customStyle="1">
    <w:name w:val="ListLabel 128"/>
    <w:qFormat/>
    <w:rPr>
      <w:rFonts w:cs="Courier New"/>
    </w:rPr>
  </w:style>
  <w:style w:type="character" w:styleId="ListLabel129" w:customStyle="1">
    <w:name w:val="ListLabel 129"/>
    <w:qFormat/>
    <w:rPr>
      <w:rFonts w:cs="Wingdings"/>
    </w:rPr>
  </w:style>
  <w:style w:type="character" w:styleId="ListLabel130" w:customStyle="1">
    <w:name w:val="ListLabel 130"/>
    <w:qFormat/>
    <w:rPr>
      <w:rFonts w:cs="Symbol"/>
    </w:rPr>
  </w:style>
  <w:style w:type="character" w:styleId="ListLabel131" w:customStyle="1">
    <w:name w:val="ListLabel 131"/>
    <w:qFormat/>
    <w:rPr>
      <w:rFonts w:cs="Courier New"/>
    </w:rPr>
  </w:style>
  <w:style w:type="character" w:styleId="ListLabel132" w:customStyle="1">
    <w:name w:val="ListLabel 132"/>
    <w:qFormat/>
    <w:rPr>
      <w:rFonts w:cs="Wingdings"/>
    </w:rPr>
  </w:style>
  <w:style w:type="character" w:styleId="FootnoteCharacters" w:customStyle="1">
    <w:name w:val="Footnote Characters"/>
    <w:qFormat/>
    <w:rPr/>
  </w:style>
  <w:style w:type="character" w:styleId="ListLabel133" w:customStyle="1">
    <w:name w:val="ListLabel 133"/>
    <w:qFormat/>
    <w:rPr>
      <w:rFonts w:ascii="Times New Roman" w:hAnsi="Times New Roman" w:cs="Times New Roman"/>
      <w:sz w:val="20"/>
    </w:rPr>
  </w:style>
  <w:style w:type="character" w:styleId="ListLabel134" w:customStyle="1">
    <w:name w:val="ListLabel 134"/>
    <w:qFormat/>
    <w:rPr>
      <w:rFonts w:cs="Courier New"/>
    </w:rPr>
  </w:style>
  <w:style w:type="character" w:styleId="ListLabel135" w:customStyle="1">
    <w:name w:val="ListLabel 135"/>
    <w:qFormat/>
    <w:rPr>
      <w:rFonts w:cs="Wingdings"/>
    </w:rPr>
  </w:style>
  <w:style w:type="character" w:styleId="ListLabel136" w:customStyle="1">
    <w:name w:val="ListLabel 136"/>
    <w:qFormat/>
    <w:rPr>
      <w:rFonts w:cs="Symbol"/>
    </w:rPr>
  </w:style>
  <w:style w:type="character" w:styleId="ListLabel137" w:customStyle="1">
    <w:name w:val="ListLabel 137"/>
    <w:qFormat/>
    <w:rPr>
      <w:rFonts w:cs="Courier New"/>
    </w:rPr>
  </w:style>
  <w:style w:type="character" w:styleId="ListLabel138" w:customStyle="1">
    <w:name w:val="ListLabel 138"/>
    <w:qFormat/>
    <w:rPr>
      <w:rFonts w:cs="Wingdings"/>
    </w:rPr>
  </w:style>
  <w:style w:type="character" w:styleId="ListLabel139" w:customStyle="1">
    <w:name w:val="ListLabel 139"/>
    <w:qFormat/>
    <w:rPr>
      <w:rFonts w:cs="Symbol"/>
    </w:rPr>
  </w:style>
  <w:style w:type="character" w:styleId="ListLabel140" w:customStyle="1">
    <w:name w:val="ListLabel 140"/>
    <w:qFormat/>
    <w:rPr>
      <w:rFonts w:cs="Courier New"/>
    </w:rPr>
  </w:style>
  <w:style w:type="character" w:styleId="ListLabel141" w:customStyle="1">
    <w:name w:val="ListLabel 141"/>
    <w:qFormat/>
    <w:rPr>
      <w:rFonts w:cs="Wingdings"/>
    </w:rPr>
  </w:style>
  <w:style w:type="character" w:styleId="ListLabel142" w:customStyle="1">
    <w:name w:val="ListLabel 142"/>
    <w:qFormat/>
    <w:rPr>
      <w:rFonts w:cs="Symbol"/>
    </w:rPr>
  </w:style>
  <w:style w:type="character" w:styleId="ListLabel143" w:customStyle="1">
    <w:name w:val="ListLabel 143"/>
    <w:qFormat/>
    <w:rPr>
      <w:rFonts w:cs="Symbol"/>
    </w:rPr>
  </w:style>
  <w:style w:type="character" w:styleId="ListLabel144" w:customStyle="1">
    <w:name w:val="ListLabel 144"/>
    <w:qFormat/>
    <w:rPr>
      <w:rFonts w:cs="Symbol"/>
    </w:rPr>
  </w:style>
  <w:style w:type="character" w:styleId="ListLabel145" w:customStyle="1">
    <w:name w:val="ListLabel 145"/>
    <w:qFormat/>
    <w:rPr>
      <w:rFonts w:cs="Symbol"/>
    </w:rPr>
  </w:style>
  <w:style w:type="character" w:styleId="ListLabel146" w:customStyle="1">
    <w:name w:val="ListLabel 146"/>
    <w:qFormat/>
    <w:rPr>
      <w:rFonts w:cs="Symbol"/>
    </w:rPr>
  </w:style>
  <w:style w:type="character" w:styleId="ListLabel147" w:customStyle="1">
    <w:name w:val="ListLabel 147"/>
    <w:qFormat/>
    <w:rPr>
      <w:rFonts w:cs="Symbol"/>
    </w:rPr>
  </w:style>
  <w:style w:type="character" w:styleId="ListLabel148" w:customStyle="1">
    <w:name w:val="ListLabel 148"/>
    <w:qFormat/>
    <w:rPr>
      <w:rFonts w:cs="Symbol"/>
    </w:rPr>
  </w:style>
  <w:style w:type="character" w:styleId="ListLabel149" w:customStyle="1">
    <w:name w:val="ListLabel 149"/>
    <w:qFormat/>
    <w:rPr>
      <w:rFonts w:cs="Symbol"/>
    </w:rPr>
  </w:style>
  <w:style w:type="character" w:styleId="ListLabel150" w:customStyle="1">
    <w:name w:val="ListLabel 150"/>
    <w:qFormat/>
    <w:rPr>
      <w:rFonts w:cs="Symbol"/>
    </w:rPr>
  </w:style>
  <w:style w:type="character" w:styleId="ListLabel151" w:customStyle="1">
    <w:name w:val="ListLabel 151"/>
    <w:qFormat/>
    <w:rPr>
      <w:rFonts w:ascii="Times New Roman" w:hAnsi="Times New Roman" w:cs="Times New Roman"/>
      <w:sz w:val="20"/>
    </w:rPr>
  </w:style>
  <w:style w:type="character" w:styleId="ListLabel152" w:customStyle="1">
    <w:name w:val="ListLabel 152"/>
    <w:qFormat/>
    <w:rPr>
      <w:rFonts w:cs="Courier New"/>
    </w:rPr>
  </w:style>
  <w:style w:type="character" w:styleId="ListLabel153" w:customStyle="1">
    <w:name w:val="ListLabel 153"/>
    <w:qFormat/>
    <w:rPr>
      <w:rFonts w:cs="Wingdings"/>
    </w:rPr>
  </w:style>
  <w:style w:type="character" w:styleId="ListLabel154" w:customStyle="1">
    <w:name w:val="ListLabel 154"/>
    <w:qFormat/>
    <w:rPr>
      <w:rFonts w:cs="Symbol"/>
    </w:rPr>
  </w:style>
  <w:style w:type="character" w:styleId="ListLabel155" w:customStyle="1">
    <w:name w:val="ListLabel 155"/>
    <w:qFormat/>
    <w:rPr>
      <w:rFonts w:cs="Courier New"/>
    </w:rPr>
  </w:style>
  <w:style w:type="character" w:styleId="ListLabel156" w:customStyle="1">
    <w:name w:val="ListLabel 156"/>
    <w:qFormat/>
    <w:rPr>
      <w:rFonts w:cs="Wingdings"/>
    </w:rPr>
  </w:style>
  <w:style w:type="character" w:styleId="ListLabel157" w:customStyle="1">
    <w:name w:val="ListLabel 157"/>
    <w:qFormat/>
    <w:rPr>
      <w:rFonts w:cs="Symbol"/>
    </w:rPr>
  </w:style>
  <w:style w:type="character" w:styleId="ListLabel158" w:customStyle="1">
    <w:name w:val="ListLabel 158"/>
    <w:qFormat/>
    <w:rPr>
      <w:rFonts w:cs="Courier New"/>
    </w:rPr>
  </w:style>
  <w:style w:type="character" w:styleId="ListLabel159" w:customStyle="1">
    <w:name w:val="ListLabel 159"/>
    <w:qFormat/>
    <w:rPr>
      <w:rFonts w:cs="Wingdings"/>
    </w:rPr>
  </w:style>
  <w:style w:type="character" w:styleId="ListLabel160" w:customStyle="1">
    <w:name w:val="ListLabel 160"/>
    <w:qFormat/>
    <w:rPr>
      <w:rFonts w:cs="Symbol"/>
    </w:rPr>
  </w:style>
  <w:style w:type="character" w:styleId="ListLabel161" w:customStyle="1">
    <w:name w:val="ListLabel 161"/>
    <w:qFormat/>
    <w:rPr>
      <w:rFonts w:cs="Symbol"/>
    </w:rPr>
  </w:style>
  <w:style w:type="character" w:styleId="ListLabel162" w:customStyle="1">
    <w:name w:val="ListLabel 162"/>
    <w:qFormat/>
    <w:rPr>
      <w:rFonts w:cs="Symbol"/>
    </w:rPr>
  </w:style>
  <w:style w:type="character" w:styleId="ListLabel163" w:customStyle="1">
    <w:name w:val="ListLabel 163"/>
    <w:qFormat/>
    <w:rPr>
      <w:rFonts w:cs="Symbol"/>
    </w:rPr>
  </w:style>
  <w:style w:type="character" w:styleId="ListLabel164" w:customStyle="1">
    <w:name w:val="ListLabel 164"/>
    <w:qFormat/>
    <w:rPr>
      <w:rFonts w:cs="Symbol"/>
    </w:rPr>
  </w:style>
  <w:style w:type="character" w:styleId="ListLabel165" w:customStyle="1">
    <w:name w:val="ListLabel 165"/>
    <w:qFormat/>
    <w:rPr>
      <w:rFonts w:cs="Symbol"/>
    </w:rPr>
  </w:style>
  <w:style w:type="character" w:styleId="ListLabel166" w:customStyle="1">
    <w:name w:val="ListLabel 166"/>
    <w:qFormat/>
    <w:rPr>
      <w:rFonts w:cs="Symbol"/>
    </w:rPr>
  </w:style>
  <w:style w:type="character" w:styleId="ListLabel167" w:customStyle="1">
    <w:name w:val="ListLabel 167"/>
    <w:qFormat/>
    <w:rPr>
      <w:rFonts w:cs="Symbol"/>
    </w:rPr>
  </w:style>
  <w:style w:type="character" w:styleId="ListLabel168" w:customStyle="1">
    <w:name w:val="ListLabel 168"/>
    <w:qFormat/>
    <w:rPr>
      <w:rFonts w:cs="Symbol"/>
    </w:rPr>
  </w:style>
  <w:style w:type="character" w:styleId="ListLabel169" w:customStyle="1">
    <w:name w:val="ListLabel 169"/>
    <w:qFormat/>
    <w:rPr>
      <w:rFonts w:ascii="Times New Roman" w:hAnsi="Times New Roman" w:cs="Times New Roman"/>
      <w:sz w:val="20"/>
    </w:rPr>
  </w:style>
  <w:style w:type="character" w:styleId="ListLabel170" w:customStyle="1">
    <w:name w:val="ListLabel 170"/>
    <w:qFormat/>
    <w:rPr>
      <w:rFonts w:cs="Courier New"/>
    </w:rPr>
  </w:style>
  <w:style w:type="character" w:styleId="ListLabel171" w:customStyle="1">
    <w:name w:val="ListLabel 171"/>
    <w:qFormat/>
    <w:rPr>
      <w:rFonts w:cs="Wingdings"/>
    </w:rPr>
  </w:style>
  <w:style w:type="character" w:styleId="ListLabel172" w:customStyle="1">
    <w:name w:val="ListLabel 172"/>
    <w:qFormat/>
    <w:rPr>
      <w:rFonts w:cs="Symbol"/>
    </w:rPr>
  </w:style>
  <w:style w:type="character" w:styleId="ListLabel173" w:customStyle="1">
    <w:name w:val="ListLabel 173"/>
    <w:qFormat/>
    <w:rPr>
      <w:rFonts w:cs="Courier New"/>
    </w:rPr>
  </w:style>
  <w:style w:type="character" w:styleId="ListLabel174" w:customStyle="1">
    <w:name w:val="ListLabel 174"/>
    <w:qFormat/>
    <w:rPr>
      <w:rFonts w:cs="Wingdings"/>
    </w:rPr>
  </w:style>
  <w:style w:type="character" w:styleId="ListLabel175" w:customStyle="1">
    <w:name w:val="ListLabel 175"/>
    <w:qFormat/>
    <w:rPr>
      <w:rFonts w:cs="Symbol"/>
    </w:rPr>
  </w:style>
  <w:style w:type="character" w:styleId="ListLabel176" w:customStyle="1">
    <w:name w:val="ListLabel 176"/>
    <w:qFormat/>
    <w:rPr>
      <w:rFonts w:cs="Courier New"/>
    </w:rPr>
  </w:style>
  <w:style w:type="character" w:styleId="ListLabel177" w:customStyle="1">
    <w:name w:val="ListLabel 177"/>
    <w:qFormat/>
    <w:rPr>
      <w:rFonts w:cs="Wingdings"/>
    </w:rPr>
  </w:style>
  <w:style w:type="character" w:styleId="ListLabel178" w:customStyle="1">
    <w:name w:val="ListLabel 178"/>
    <w:qFormat/>
    <w:rPr>
      <w:rFonts w:cs="Symbol"/>
    </w:rPr>
  </w:style>
  <w:style w:type="character" w:styleId="ListLabel179" w:customStyle="1">
    <w:name w:val="ListLabel 179"/>
    <w:qFormat/>
    <w:rPr>
      <w:rFonts w:cs="Symbol"/>
    </w:rPr>
  </w:style>
  <w:style w:type="character" w:styleId="ListLabel180" w:customStyle="1">
    <w:name w:val="ListLabel 180"/>
    <w:qFormat/>
    <w:rPr>
      <w:rFonts w:cs="Symbol"/>
    </w:rPr>
  </w:style>
  <w:style w:type="character" w:styleId="ListLabel181" w:customStyle="1">
    <w:name w:val="ListLabel 181"/>
    <w:qFormat/>
    <w:rPr>
      <w:rFonts w:cs="Symbol"/>
    </w:rPr>
  </w:style>
  <w:style w:type="character" w:styleId="ListLabel182" w:customStyle="1">
    <w:name w:val="ListLabel 182"/>
    <w:qFormat/>
    <w:rPr>
      <w:rFonts w:cs="Symbol"/>
    </w:rPr>
  </w:style>
  <w:style w:type="character" w:styleId="ListLabel183" w:customStyle="1">
    <w:name w:val="ListLabel 183"/>
    <w:qFormat/>
    <w:rPr>
      <w:rFonts w:cs="Symbol"/>
    </w:rPr>
  </w:style>
  <w:style w:type="character" w:styleId="ListLabel184" w:customStyle="1">
    <w:name w:val="ListLabel 184"/>
    <w:qFormat/>
    <w:rPr>
      <w:rFonts w:cs="Symbol"/>
    </w:rPr>
  </w:style>
  <w:style w:type="character" w:styleId="ListLabel185" w:customStyle="1">
    <w:name w:val="ListLabel 185"/>
    <w:qFormat/>
    <w:rPr>
      <w:rFonts w:cs="Symbol"/>
    </w:rPr>
  </w:style>
  <w:style w:type="character" w:styleId="ListLabel186" w:customStyle="1">
    <w:name w:val="ListLabel 186"/>
    <w:qFormat/>
    <w:rPr>
      <w:rFonts w:cs="Symbol"/>
    </w:rPr>
  </w:style>
  <w:style w:type="character" w:styleId="ListLabel187" w:customStyle="1">
    <w:name w:val="ListLabel 187"/>
    <w:qFormat/>
    <w:rPr>
      <w:rFonts w:cs="Times New Roman"/>
      <w:sz w:val="24"/>
    </w:rPr>
  </w:style>
  <w:style w:type="character" w:styleId="ListLabel188" w:customStyle="1">
    <w:name w:val="ListLabel 188"/>
    <w:qFormat/>
    <w:rPr>
      <w:rFonts w:cs="Courier New"/>
    </w:rPr>
  </w:style>
  <w:style w:type="character" w:styleId="ListLabel189" w:customStyle="1">
    <w:name w:val="ListLabel 189"/>
    <w:qFormat/>
    <w:rPr>
      <w:rFonts w:cs="Wingdings"/>
    </w:rPr>
  </w:style>
  <w:style w:type="character" w:styleId="ListLabel190" w:customStyle="1">
    <w:name w:val="ListLabel 190"/>
    <w:qFormat/>
    <w:rPr>
      <w:rFonts w:cs="Symbol"/>
    </w:rPr>
  </w:style>
  <w:style w:type="character" w:styleId="ListLabel191" w:customStyle="1">
    <w:name w:val="ListLabel 191"/>
    <w:qFormat/>
    <w:rPr>
      <w:rFonts w:cs="Courier New"/>
    </w:rPr>
  </w:style>
  <w:style w:type="character" w:styleId="ListLabel192" w:customStyle="1">
    <w:name w:val="ListLabel 192"/>
    <w:qFormat/>
    <w:rPr>
      <w:rFonts w:cs="Wingdings"/>
    </w:rPr>
  </w:style>
  <w:style w:type="character" w:styleId="ListLabel193" w:customStyle="1">
    <w:name w:val="ListLabel 193"/>
    <w:qFormat/>
    <w:rPr>
      <w:rFonts w:cs="Symbol"/>
    </w:rPr>
  </w:style>
  <w:style w:type="character" w:styleId="ListLabel194" w:customStyle="1">
    <w:name w:val="ListLabel 194"/>
    <w:qFormat/>
    <w:rPr>
      <w:rFonts w:cs="Courier New"/>
    </w:rPr>
  </w:style>
  <w:style w:type="character" w:styleId="ListLabel195" w:customStyle="1">
    <w:name w:val="ListLabel 195"/>
    <w:qFormat/>
    <w:rPr>
      <w:rFonts w:cs="Wingdings"/>
    </w:rPr>
  </w:style>
  <w:style w:type="character" w:styleId="ListLabel196" w:customStyle="1">
    <w:name w:val="ListLabel 196"/>
    <w:qFormat/>
    <w:rPr>
      <w:rFonts w:cs="Symbol"/>
      <w:sz w:val="24"/>
    </w:rPr>
  </w:style>
  <w:style w:type="character" w:styleId="ListLabel197" w:customStyle="1">
    <w:name w:val="ListLabel 197"/>
    <w:qFormat/>
    <w:rPr>
      <w:rFonts w:cs="Symbol"/>
    </w:rPr>
  </w:style>
  <w:style w:type="character" w:styleId="ListLabel198" w:customStyle="1">
    <w:name w:val="ListLabel 198"/>
    <w:qFormat/>
    <w:rPr>
      <w:rFonts w:cs="Symbol"/>
    </w:rPr>
  </w:style>
  <w:style w:type="character" w:styleId="ListLabel199" w:customStyle="1">
    <w:name w:val="ListLabel 199"/>
    <w:qFormat/>
    <w:rPr>
      <w:rFonts w:cs="Symbol"/>
    </w:rPr>
  </w:style>
  <w:style w:type="character" w:styleId="ListLabel200" w:customStyle="1">
    <w:name w:val="ListLabel 200"/>
    <w:qFormat/>
    <w:rPr>
      <w:rFonts w:cs="Symbol"/>
    </w:rPr>
  </w:style>
  <w:style w:type="character" w:styleId="ListLabel201" w:customStyle="1">
    <w:name w:val="ListLabel 201"/>
    <w:qFormat/>
    <w:rPr>
      <w:rFonts w:cs="Symbol"/>
    </w:rPr>
  </w:style>
  <w:style w:type="character" w:styleId="ListLabel202" w:customStyle="1">
    <w:name w:val="ListLabel 202"/>
    <w:qFormat/>
    <w:rPr>
      <w:rFonts w:cs="Symbol"/>
    </w:rPr>
  </w:style>
  <w:style w:type="character" w:styleId="ListLabel203" w:customStyle="1">
    <w:name w:val="ListLabel 203"/>
    <w:qFormat/>
    <w:rPr>
      <w:rFonts w:cs="Symbol"/>
    </w:rPr>
  </w:style>
  <w:style w:type="character" w:styleId="ListLabel204" w:customStyle="1">
    <w:name w:val="ListLabel 204"/>
    <w:qFormat/>
    <w:rPr>
      <w:rFonts w:cs="Symbol"/>
    </w:rPr>
  </w:style>
  <w:style w:type="character" w:styleId="ListLabel205">
    <w:name w:val="ListLabel 205"/>
    <w:qFormat/>
    <w:rPr>
      <w:rFonts w:cs="Times New Roman"/>
      <w:sz w:val="24"/>
    </w:rPr>
  </w:style>
  <w:style w:type="character" w:styleId="ListLabel206">
    <w:name w:val="ListLabel 206"/>
    <w:qFormat/>
    <w:rPr>
      <w:rFonts w:cs="Courier New"/>
    </w:rPr>
  </w:style>
  <w:style w:type="character" w:styleId="ListLabel207">
    <w:name w:val="ListLabel 207"/>
    <w:qFormat/>
    <w:rPr>
      <w:rFonts w:cs="Wingdings"/>
    </w:rPr>
  </w:style>
  <w:style w:type="character" w:styleId="ListLabel208">
    <w:name w:val="ListLabel 208"/>
    <w:qFormat/>
    <w:rPr>
      <w:rFonts w:cs="Symbol"/>
    </w:rPr>
  </w:style>
  <w:style w:type="character" w:styleId="ListLabel209">
    <w:name w:val="ListLabel 209"/>
    <w:qFormat/>
    <w:rPr>
      <w:rFonts w:cs="Courier New"/>
    </w:rPr>
  </w:style>
  <w:style w:type="character" w:styleId="ListLabel210">
    <w:name w:val="ListLabel 210"/>
    <w:qFormat/>
    <w:rPr>
      <w:rFonts w:cs="Wingdings"/>
    </w:rPr>
  </w:style>
  <w:style w:type="character" w:styleId="ListLabel211">
    <w:name w:val="ListLabel 211"/>
    <w:qFormat/>
    <w:rPr>
      <w:rFonts w:cs="Symbol"/>
    </w:rPr>
  </w:style>
  <w:style w:type="character" w:styleId="ListLabel212">
    <w:name w:val="ListLabel 212"/>
    <w:qFormat/>
    <w:rPr>
      <w:rFonts w:cs="Courier New"/>
    </w:rPr>
  </w:style>
  <w:style w:type="character" w:styleId="ListLabel213">
    <w:name w:val="ListLabel 213"/>
    <w:qFormat/>
    <w:rPr>
      <w:rFonts w:cs="Wingdings"/>
    </w:rPr>
  </w:style>
  <w:style w:type="character" w:styleId="ListLabel214">
    <w:name w:val="ListLabel 214"/>
    <w:qFormat/>
    <w:rPr>
      <w:rFonts w:cs="Symbol"/>
      <w:sz w:val="24"/>
    </w:rPr>
  </w:style>
  <w:style w:type="character" w:styleId="ListLabel215">
    <w:name w:val="ListLabel 215"/>
    <w:qFormat/>
    <w:rPr>
      <w:rFonts w:cs="Symbol"/>
    </w:rPr>
  </w:style>
  <w:style w:type="character" w:styleId="ListLabel216">
    <w:name w:val="ListLabel 216"/>
    <w:qFormat/>
    <w:rPr>
      <w:rFonts w:cs="Symbol"/>
    </w:rPr>
  </w:style>
  <w:style w:type="character" w:styleId="ListLabel217">
    <w:name w:val="ListLabel 217"/>
    <w:qFormat/>
    <w:rPr>
      <w:rFonts w:cs="Symbol"/>
    </w:rPr>
  </w:style>
  <w:style w:type="character" w:styleId="ListLabel218">
    <w:name w:val="ListLabel 218"/>
    <w:qFormat/>
    <w:rPr>
      <w:rFonts w:cs="Symbol"/>
    </w:rPr>
  </w:style>
  <w:style w:type="character" w:styleId="ListLabel219">
    <w:name w:val="ListLabel 219"/>
    <w:qFormat/>
    <w:rPr>
      <w:rFonts w:cs="Symbol"/>
    </w:rPr>
  </w:style>
  <w:style w:type="character" w:styleId="ListLabel220">
    <w:name w:val="ListLabel 220"/>
    <w:qFormat/>
    <w:rPr>
      <w:rFonts w:cs="Symbol"/>
    </w:rPr>
  </w:style>
  <w:style w:type="character" w:styleId="ListLabel221">
    <w:name w:val="ListLabel 221"/>
    <w:qFormat/>
    <w:rPr>
      <w:rFonts w:cs="Symbol"/>
    </w:rPr>
  </w:style>
  <w:style w:type="character" w:styleId="ListLabel222">
    <w:name w:val="ListLabel 222"/>
    <w:qFormat/>
    <w:rPr>
      <w:rFonts w:cs="Symbol"/>
    </w:rPr>
  </w:style>
  <w:style w:type="paragraph" w:styleId="Heading" w:customStyle="1">
    <w:name w:val="Heading"/>
    <w:basedOn w:val="Normal"/>
    <w:next w:val="TextBody"/>
    <w:qFormat/>
    <w:pPr>
      <w:keepNext/>
      <w:spacing w:before="240" w:after="120"/>
    </w:pPr>
    <w:rPr>
      <w:rFonts w:ascii="Liberation Sans" w:hAnsi="Liberation Sans" w:eastAsia="Noto Sans CJK SC Regular" w:cs="FreeSans"/>
      <w:sz w:val="28"/>
      <w:szCs w:val="28"/>
    </w:rPr>
  </w:style>
  <w:style w:type="paragraph" w:styleId="TextBody">
    <w:name w:val="Body Text"/>
    <w:basedOn w:val="Normal"/>
    <w:link w:val="BodyTextChar"/>
    <w:rsid w:val="00d50f97"/>
    <w:pPr/>
    <w:rPr/>
  </w:style>
  <w:style w:type="paragraph" w:styleId="List">
    <w:name w:val="List"/>
    <w:basedOn w:val="Normal"/>
    <w:rsid w:val="00d50f97"/>
    <w:pPr>
      <w:ind w:left="568" w:hanging="284"/>
    </w:pPr>
    <w:rPr/>
  </w:style>
  <w:style w:type="paragraph" w:styleId="Caption">
    <w:name w:val="Caption"/>
    <w:basedOn w:val="Normal"/>
    <w:qFormat/>
    <w:pPr>
      <w:suppressLineNumbers/>
      <w:spacing w:before="120" w:after="120"/>
    </w:pPr>
    <w:rPr>
      <w:rFonts w:cs="FreeSans"/>
      <w:i/>
      <w:iCs/>
      <w:sz w:val="24"/>
      <w:szCs w:val="24"/>
    </w:rPr>
  </w:style>
  <w:style w:type="paragraph" w:styleId="Index" w:customStyle="1">
    <w:name w:val="Index"/>
    <w:basedOn w:val="Normal"/>
    <w:qFormat/>
    <w:pPr>
      <w:suppressLineNumbers/>
    </w:pPr>
    <w:rPr>
      <w:rFonts w:cs="FreeSans"/>
    </w:rPr>
  </w:style>
  <w:style w:type="paragraph" w:styleId="Caption1">
    <w:name w:val="caption"/>
    <w:basedOn w:val="Normal"/>
    <w:next w:val="Normal"/>
    <w:qFormat/>
    <w:rsid w:val="00d50f97"/>
    <w:pPr>
      <w:spacing w:before="0" w:after="240"/>
      <w:jc w:val="center"/>
    </w:pPr>
    <w:rPr>
      <w:b/>
      <w:bCs/>
    </w:rPr>
  </w:style>
  <w:style w:type="paragraph" w:styleId="Contents8">
    <w:name w:val="TOC 8"/>
    <w:basedOn w:val="Contents1"/>
    <w:semiHidden/>
    <w:rsid w:val="00d50f97"/>
    <w:pPr>
      <w:spacing w:before="180" w:after="160"/>
      <w:ind w:left="2693" w:hanging="2693"/>
    </w:pPr>
    <w:rPr>
      <w:b w:val="false"/>
      <w:bCs/>
    </w:rPr>
  </w:style>
  <w:style w:type="paragraph" w:styleId="Contents1">
    <w:name w:val="TOC 1"/>
    <w:basedOn w:val="Index"/>
    <w:uiPriority w:val="39"/>
    <w:rsid w:val="00d50f97"/>
    <w:pPr>
      <w:keepNext/>
      <w:keepLines/>
      <w:widowControl w:val="false"/>
      <w:tabs>
        <w:tab w:val="left" w:pos="1701" w:leader="none"/>
      </w:tabs>
      <w:spacing w:before="120" w:after="160"/>
      <w:ind w:left="1701" w:hanging="1701"/>
      <w:textAlignment w:val="baseline"/>
    </w:pPr>
    <w:rPr>
      <w:rFonts w:ascii="Arial" w:hAnsi="Arial"/>
      <w:b/>
      <w:lang w:eastAsia="zh-CN"/>
    </w:rPr>
  </w:style>
  <w:style w:type="paragraph" w:styleId="Figure" w:customStyle="1">
    <w:name w:val="Figure"/>
    <w:basedOn w:val="Normal"/>
    <w:next w:val="Caption"/>
    <w:qFormat/>
    <w:rsid w:val="00d50f97"/>
    <w:pPr>
      <w:keepNext/>
      <w:keepLines/>
      <w:spacing w:before="180" w:after="160"/>
      <w:jc w:val="center"/>
    </w:pPr>
    <w:rPr/>
  </w:style>
  <w:style w:type="paragraph" w:styleId="Contents5">
    <w:name w:val="TOC 5"/>
    <w:basedOn w:val="Contents4"/>
    <w:semiHidden/>
    <w:rsid w:val="00d50f97"/>
    <w:pPr>
      <w:tabs>
        <w:tab w:val="right" w:pos="1701" w:leader="none"/>
      </w:tabs>
      <w:ind w:left="1701" w:hanging="1701"/>
    </w:pPr>
    <w:rPr/>
  </w:style>
  <w:style w:type="paragraph" w:styleId="Contents4">
    <w:name w:val="TOC 4"/>
    <w:basedOn w:val="Contents3"/>
    <w:semiHidden/>
    <w:rsid w:val="00d50f97"/>
    <w:pPr>
      <w:ind w:left="1418" w:hanging="1418"/>
    </w:pPr>
    <w:rPr/>
  </w:style>
  <w:style w:type="paragraph" w:styleId="Contents3">
    <w:name w:val="TOC 3"/>
    <w:basedOn w:val="Contents2"/>
    <w:semiHidden/>
    <w:rsid w:val="00d50f97"/>
    <w:pPr>
      <w:ind w:left="1134" w:hanging="1134"/>
    </w:pPr>
    <w:rPr/>
  </w:style>
  <w:style w:type="paragraph" w:styleId="Contents2">
    <w:name w:val="TOC 2"/>
    <w:basedOn w:val="Contents1"/>
    <w:semiHidden/>
    <w:rsid w:val="00d50f97"/>
    <w:pPr>
      <w:spacing w:before="0" w:after="160"/>
      <w:ind w:left="851" w:hanging="851"/>
    </w:pPr>
    <w:rPr>
      <w:szCs w:val="20"/>
    </w:rPr>
  </w:style>
  <w:style w:type="paragraph" w:styleId="Index2">
    <w:name w:val="index 2"/>
    <w:semiHidden/>
    <w:qFormat/>
    <w:rsid w:val="00d50f97"/>
    <w:pPr>
      <w:widowControl w:val="false"/>
      <w:bidi w:val="0"/>
      <w:spacing w:lineRule="auto" w:line="276" w:before="0" w:after="200"/>
      <w:ind w:left="284" w:hanging="0"/>
      <w:jc w:val="left"/>
    </w:pPr>
    <w:rPr>
      <w:rFonts w:ascii="CG Times (WN)" w:hAnsi="CG Times (WN)" w:eastAsia="SimSun" w:cs="Times New Roman"/>
      <w:color w:val="00000A"/>
      <w:sz w:val="22"/>
      <w:szCs w:val="20"/>
      <w:lang w:val="en-US" w:eastAsia="en-US" w:bidi="ar-SA"/>
    </w:rPr>
  </w:style>
  <w:style w:type="paragraph" w:styleId="Index1">
    <w:name w:val="index 1"/>
    <w:basedOn w:val="Normal"/>
    <w:semiHidden/>
    <w:qFormat/>
    <w:rsid w:val="00d50f97"/>
    <w:pPr>
      <w:keepLines/>
      <w:spacing w:before="0" w:after="0"/>
    </w:pPr>
    <w:rPr/>
  </w:style>
  <w:style w:type="paragraph" w:styleId="DocumentMap">
    <w:name w:val="Document Map"/>
    <w:basedOn w:val="Normal"/>
    <w:semiHidden/>
    <w:qFormat/>
    <w:rsid w:val="00d50f97"/>
    <w:pPr>
      <w:shd w:val="clear" w:color="auto" w:fill="000080"/>
    </w:pPr>
    <w:rPr>
      <w:rFonts w:ascii="Tahoma" w:hAnsi="Tahoma" w:cs="Tahoma"/>
    </w:rPr>
  </w:style>
  <w:style w:type="paragraph" w:styleId="ListNumber2">
    <w:name w:val="List Number 2"/>
    <w:qFormat/>
    <w:rsid w:val="00d50f97"/>
    <w:pPr>
      <w:widowControl w:val="false"/>
      <w:bidi w:val="0"/>
      <w:spacing w:lineRule="auto" w:line="276" w:before="0" w:after="200"/>
      <w:ind w:left="851" w:hanging="0"/>
      <w:jc w:val="left"/>
    </w:pPr>
    <w:rPr>
      <w:rFonts w:ascii="CG Times (WN)" w:hAnsi="CG Times (WN)" w:eastAsia="SimSun" w:cs="Times New Roman"/>
      <w:color w:val="00000A"/>
      <w:sz w:val="22"/>
      <w:szCs w:val="20"/>
      <w:lang w:val="en-US" w:eastAsia="en-US" w:bidi="ar-SA"/>
    </w:rPr>
  </w:style>
  <w:style w:type="paragraph" w:styleId="ListNumber">
    <w:name w:val="List Number"/>
    <w:qFormat/>
    <w:rsid w:val="00d50f97"/>
    <w:pPr>
      <w:widowControl w:val="false"/>
      <w:bidi w:val="0"/>
      <w:ind w:left="1702" w:hanging="284"/>
      <w:jc w:val="left"/>
    </w:pPr>
    <w:rPr>
      <w:rFonts w:ascii="CG Times (WN)" w:hAnsi="CG Times (WN)" w:eastAsia="SimSun" w:cs="Times New Roman"/>
      <w:color w:val="auto"/>
      <w:sz w:val="22"/>
      <w:szCs w:val="20"/>
      <w:lang w:val="en-US" w:eastAsia="en-US" w:bidi="ar-SA"/>
    </w:rPr>
  </w:style>
  <w:style w:type="paragraph" w:styleId="Header">
    <w:name w:val="Header"/>
    <w:basedOn w:val="Normal"/>
    <w:rsid w:val="00d50f97"/>
    <w:pPr>
      <w:widowControl w:val="false"/>
      <w:textAlignment w:val="baseline"/>
    </w:pPr>
    <w:rPr>
      <w:rFonts w:ascii="Arial" w:hAnsi="Arial" w:cs="Arial"/>
      <w:b/>
      <w:bCs/>
      <w:sz w:val="18"/>
      <w:szCs w:val="18"/>
      <w:lang w:eastAsia="zh-CN"/>
    </w:rPr>
  </w:style>
  <w:style w:type="paragraph" w:styleId="Footnotetext">
    <w:name w:val="footnote text"/>
    <w:basedOn w:val="Normal"/>
    <w:semiHidden/>
    <w:qFormat/>
    <w:rsid w:val="00d50f97"/>
    <w:pPr>
      <w:keepLines/>
      <w:spacing w:before="0" w:after="0"/>
      <w:ind w:left="454" w:hanging="454"/>
    </w:pPr>
    <w:rPr>
      <w:sz w:val="16"/>
      <w:szCs w:val="16"/>
    </w:rPr>
  </w:style>
  <w:style w:type="paragraph" w:styleId="3GPPHeader" w:customStyle="1">
    <w:name w:val="3GPP_Header"/>
    <w:basedOn w:val="Normal"/>
    <w:qFormat/>
    <w:rsid w:val="00d50f97"/>
    <w:pPr>
      <w:tabs>
        <w:tab w:val="left" w:pos="1701" w:leader="none"/>
        <w:tab w:val="right" w:pos="9639" w:leader="none"/>
      </w:tabs>
      <w:spacing w:before="0" w:after="240"/>
    </w:pPr>
    <w:rPr>
      <w:b/>
      <w:sz w:val="24"/>
    </w:rPr>
  </w:style>
  <w:style w:type="paragraph" w:styleId="Contents9">
    <w:name w:val="TOC 9"/>
    <w:basedOn w:val="Contents8"/>
    <w:semiHidden/>
    <w:rsid w:val="00d50f97"/>
    <w:pPr>
      <w:ind w:left="1418" w:hanging="1418"/>
    </w:pPr>
    <w:rPr/>
  </w:style>
  <w:style w:type="paragraph" w:styleId="Contents6">
    <w:name w:val="TOC 6"/>
    <w:basedOn w:val="Contents5"/>
    <w:next w:val="Normal"/>
    <w:semiHidden/>
    <w:rsid w:val="00d50f97"/>
    <w:pPr>
      <w:ind w:left="1985" w:hanging="1985"/>
    </w:pPr>
    <w:rPr/>
  </w:style>
  <w:style w:type="paragraph" w:styleId="Contents7">
    <w:name w:val="TOC 7"/>
    <w:basedOn w:val="Contents6"/>
    <w:next w:val="Normal"/>
    <w:semiHidden/>
    <w:rsid w:val="00d50f97"/>
    <w:pPr>
      <w:ind w:left="2268" w:hanging="2268"/>
    </w:pPr>
    <w:rPr/>
  </w:style>
  <w:style w:type="paragraph" w:styleId="ListBullet2">
    <w:name w:val="List Bullet 2"/>
    <w:qFormat/>
    <w:rsid w:val="00d50f97"/>
    <w:pPr>
      <w:widowControl w:val="false"/>
      <w:bidi w:val="0"/>
      <w:spacing w:lineRule="auto" w:line="276" w:before="0" w:after="200"/>
      <w:jc w:val="left"/>
    </w:pPr>
    <w:rPr>
      <w:rFonts w:ascii="CG Times (WN)" w:hAnsi="CG Times (WN)" w:eastAsia="SimSun" w:cs="Times New Roman"/>
      <w:color w:val="00000A"/>
      <w:sz w:val="22"/>
      <w:szCs w:val="20"/>
      <w:lang w:val="en-US" w:eastAsia="en-US" w:bidi="ar-SA"/>
    </w:rPr>
  </w:style>
  <w:style w:type="paragraph" w:styleId="ListBullet">
    <w:name w:val="List Bullet"/>
    <w:basedOn w:val="TextBody"/>
    <w:qFormat/>
    <w:rsid w:val="00d50f97"/>
    <w:pPr/>
    <w:rPr/>
  </w:style>
  <w:style w:type="paragraph" w:styleId="ListBullet3">
    <w:name w:val="List Bullet 3"/>
    <w:basedOn w:val="List"/>
    <w:qFormat/>
    <w:rsid w:val="00d50f97"/>
    <w:pPr>
      <w:ind w:left="851" w:hanging="284"/>
    </w:pPr>
    <w:rPr/>
  </w:style>
  <w:style w:type="paragraph" w:styleId="EQ" w:customStyle="1">
    <w:name w:val="EQ"/>
    <w:basedOn w:val="Normal"/>
    <w:next w:val="Normal"/>
    <w:qFormat/>
    <w:rsid w:val="00d50f97"/>
    <w:pPr>
      <w:keepLines/>
      <w:tabs>
        <w:tab w:val="center" w:pos="4536" w:leader="none"/>
        <w:tab w:val="right" w:pos="9072" w:leader="none"/>
      </w:tabs>
      <w:spacing w:before="0" w:after="180"/>
    </w:pPr>
    <w:rPr/>
  </w:style>
  <w:style w:type="paragraph" w:styleId="ListBullet4">
    <w:name w:val="List Bullet 4"/>
    <w:basedOn w:val="ListBullet3"/>
    <w:qFormat/>
    <w:rsid w:val="00d50f97"/>
    <w:pPr/>
    <w:rPr/>
  </w:style>
  <w:style w:type="paragraph" w:styleId="ListBullet5">
    <w:name w:val="List Bullet 5"/>
    <w:basedOn w:val="ListBullet4"/>
    <w:qFormat/>
    <w:rsid w:val="00d50f97"/>
    <w:pPr/>
    <w:rPr/>
  </w:style>
  <w:style w:type="paragraph" w:styleId="EditorsNote" w:customStyle="1">
    <w:name w:val="Editor's Note"/>
    <w:basedOn w:val="Normal"/>
    <w:qFormat/>
    <w:rsid w:val="00d50f97"/>
    <w:pPr>
      <w:keepLines/>
      <w:spacing w:before="0" w:after="180"/>
      <w:ind w:left="1135" w:hanging="851"/>
    </w:pPr>
    <w:rPr>
      <w:color w:val="FF0000"/>
    </w:rPr>
  </w:style>
  <w:style w:type="paragraph" w:styleId="Footer">
    <w:name w:val="Footer"/>
    <w:basedOn w:val="Header"/>
    <w:semiHidden/>
    <w:rsid w:val="00d50f97"/>
    <w:pPr>
      <w:jc w:val="center"/>
    </w:pPr>
    <w:rPr>
      <w:i/>
      <w:iCs/>
    </w:rPr>
  </w:style>
  <w:style w:type="paragraph" w:styleId="Reference" w:customStyle="1">
    <w:name w:val="Reference"/>
    <w:basedOn w:val="Normal"/>
    <w:link w:val="ReferenceChar"/>
    <w:qFormat/>
    <w:rsid w:val="00d50f97"/>
    <w:pPr/>
    <w:rPr/>
  </w:style>
  <w:style w:type="paragraph" w:styleId="BalloonText">
    <w:name w:val="Balloon Text"/>
    <w:basedOn w:val="Normal"/>
    <w:semiHidden/>
    <w:qFormat/>
    <w:rsid w:val="00d50f97"/>
    <w:pPr/>
    <w:rPr>
      <w:rFonts w:ascii="Tahoma" w:hAnsi="Tahoma" w:cs="Tahoma"/>
      <w:sz w:val="16"/>
      <w:szCs w:val="16"/>
    </w:rPr>
  </w:style>
  <w:style w:type="paragraph" w:styleId="Annotationtext">
    <w:name w:val="annotation text"/>
    <w:basedOn w:val="Normal"/>
    <w:link w:val="CommentTextChar"/>
    <w:uiPriority w:val="99"/>
    <w:semiHidden/>
    <w:qFormat/>
    <w:rsid w:val="00d50f97"/>
    <w:pPr/>
    <w:rPr/>
  </w:style>
  <w:style w:type="paragraph" w:styleId="Annotationsubject">
    <w:name w:val="annotation subject"/>
    <w:basedOn w:val="Annotationtext"/>
    <w:semiHidden/>
    <w:qFormat/>
    <w:rsid w:val="00d50f97"/>
    <w:pPr/>
    <w:rPr>
      <w:b/>
      <w:bCs/>
    </w:rPr>
  </w:style>
  <w:style w:type="paragraph" w:styleId="B1" w:customStyle="1">
    <w:name w:val="B1"/>
    <w:basedOn w:val="List"/>
    <w:qFormat/>
    <w:rsid w:val="00d50f97"/>
    <w:pPr>
      <w:spacing w:before="0" w:after="180"/>
    </w:pPr>
    <w:rPr/>
  </w:style>
  <w:style w:type="paragraph" w:styleId="B2" w:customStyle="1">
    <w:name w:val="B2"/>
    <w:basedOn w:val="ListBullet3"/>
    <w:qFormat/>
    <w:rsid w:val="00d50f97"/>
    <w:pPr>
      <w:spacing w:before="0" w:after="180"/>
    </w:pPr>
    <w:rPr/>
  </w:style>
  <w:style w:type="paragraph" w:styleId="B3" w:customStyle="1">
    <w:name w:val="B3"/>
    <w:basedOn w:val="ListBullet4"/>
    <w:qFormat/>
    <w:rsid w:val="00d50f97"/>
    <w:pPr>
      <w:spacing w:before="0" w:after="180"/>
    </w:pPr>
    <w:rPr/>
  </w:style>
  <w:style w:type="paragraph" w:styleId="B4" w:customStyle="1">
    <w:name w:val="B4"/>
    <w:basedOn w:val="ListBullet5"/>
    <w:qFormat/>
    <w:rsid w:val="00d50f97"/>
    <w:pPr>
      <w:spacing w:before="0" w:after="180"/>
    </w:pPr>
    <w:rPr/>
  </w:style>
  <w:style w:type="paragraph" w:styleId="Proposal" w:customStyle="1">
    <w:name w:val="Proposal"/>
    <w:basedOn w:val="Normal"/>
    <w:qFormat/>
    <w:rsid w:val="00d50f97"/>
    <w:pPr>
      <w:tabs>
        <w:tab w:val="left" w:pos="1701" w:leader="none"/>
      </w:tabs>
      <w:ind w:left="1701" w:hanging="1701"/>
    </w:pPr>
    <w:rPr>
      <w:b/>
      <w:bCs/>
    </w:rPr>
  </w:style>
  <w:style w:type="paragraph" w:styleId="B5" w:customStyle="1">
    <w:name w:val="B5"/>
    <w:basedOn w:val="ListNumber"/>
    <w:qFormat/>
    <w:rsid w:val="00d50f97"/>
    <w:pPr>
      <w:spacing w:before="0" w:after="180"/>
    </w:pPr>
    <w:rPr/>
  </w:style>
  <w:style w:type="paragraph" w:styleId="EX" w:customStyle="1">
    <w:name w:val="EX"/>
    <w:basedOn w:val="Normal"/>
    <w:qFormat/>
    <w:rsid w:val="00d50f97"/>
    <w:pPr>
      <w:keepLines/>
      <w:spacing w:before="0" w:after="180"/>
      <w:ind w:left="1702" w:hanging="1418"/>
    </w:pPr>
    <w:rPr/>
  </w:style>
  <w:style w:type="paragraph" w:styleId="EW" w:customStyle="1">
    <w:name w:val="EW"/>
    <w:basedOn w:val="EX"/>
    <w:qFormat/>
    <w:rsid w:val="00d50f97"/>
    <w:pPr>
      <w:spacing w:before="0" w:after="0"/>
    </w:pPr>
    <w:rPr/>
  </w:style>
  <w:style w:type="paragraph" w:styleId="TAL" w:customStyle="1">
    <w:name w:val="TAL"/>
    <w:basedOn w:val="Normal"/>
    <w:qFormat/>
    <w:rsid w:val="00d50f97"/>
    <w:pPr>
      <w:keepNext/>
      <w:keepLines/>
      <w:spacing w:before="0" w:after="0"/>
    </w:pPr>
    <w:rPr>
      <w:sz w:val="18"/>
    </w:rPr>
  </w:style>
  <w:style w:type="paragraph" w:styleId="TAC" w:customStyle="1">
    <w:name w:val="TAC"/>
    <w:basedOn w:val="TAL"/>
    <w:qFormat/>
    <w:rsid w:val="00d50f97"/>
    <w:pPr>
      <w:jc w:val="center"/>
    </w:pPr>
    <w:rPr/>
  </w:style>
  <w:style w:type="paragraph" w:styleId="TAH" w:customStyle="1">
    <w:name w:val="TAH"/>
    <w:basedOn w:val="TAC"/>
    <w:qFormat/>
    <w:rsid w:val="00d50f97"/>
    <w:pPr/>
    <w:rPr>
      <w:b/>
    </w:rPr>
  </w:style>
  <w:style w:type="paragraph" w:styleId="TAN" w:customStyle="1">
    <w:name w:val="TAN"/>
    <w:basedOn w:val="TAL"/>
    <w:qFormat/>
    <w:rsid w:val="00d50f97"/>
    <w:pPr>
      <w:ind w:left="851" w:hanging="851"/>
    </w:pPr>
    <w:rPr/>
  </w:style>
  <w:style w:type="paragraph" w:styleId="TAR" w:customStyle="1">
    <w:name w:val="TAR"/>
    <w:basedOn w:val="TAL"/>
    <w:qFormat/>
    <w:rsid w:val="00d50f97"/>
    <w:pPr>
      <w:jc w:val="right"/>
    </w:pPr>
    <w:rPr/>
  </w:style>
  <w:style w:type="paragraph" w:styleId="TH" w:customStyle="1">
    <w:name w:val="TH"/>
    <w:basedOn w:val="Normal"/>
    <w:qFormat/>
    <w:rsid w:val="00d50f97"/>
    <w:pPr>
      <w:keepNext/>
      <w:keepLines/>
      <w:spacing w:before="60" w:after="180"/>
      <w:jc w:val="center"/>
    </w:pPr>
    <w:rPr>
      <w:b/>
    </w:rPr>
  </w:style>
  <w:style w:type="paragraph" w:styleId="TF" w:customStyle="1">
    <w:name w:val="TF"/>
    <w:basedOn w:val="TH"/>
    <w:qFormat/>
    <w:rsid w:val="00d50f97"/>
    <w:pPr>
      <w:spacing w:before="0" w:after="240"/>
    </w:pPr>
    <w:rPr/>
  </w:style>
  <w:style w:type="paragraph" w:styleId="TT" w:customStyle="1">
    <w:name w:val="TT"/>
    <w:basedOn w:val="Heading1"/>
    <w:next w:val="Normal"/>
    <w:qFormat/>
    <w:rsid w:val="00d50f97"/>
    <w:pPr>
      <w:numPr>
        <w:ilvl w:val="0"/>
        <w:numId w:val="0"/>
      </w:numPr>
      <w:ind w:left="1134" w:hanging="1134"/>
    </w:pPr>
    <w:rPr>
      <w:rFonts w:cs="Times New Roman"/>
      <w:szCs w:val="20"/>
      <w:lang w:eastAsia="en-US"/>
    </w:rPr>
  </w:style>
  <w:style w:type="paragraph" w:styleId="ZA" w:customStyle="1">
    <w:name w:val="ZA"/>
    <w:qFormat/>
    <w:rsid w:val="00d50f97"/>
    <w:pPr>
      <w:widowControl w:val="false"/>
      <w:pBdr>
        <w:bottom w:val="single" w:sz="12" w:space="1" w:color="00000A"/>
      </w:pBdr>
      <w:bidi w:val="0"/>
      <w:spacing w:lineRule="auto" w:line="276" w:before="0" w:after="200"/>
      <w:jc w:val="right"/>
      <w:textAlignment w:val="baseline"/>
    </w:pPr>
    <w:rPr>
      <w:rFonts w:ascii="Arial" w:hAnsi="Arial" w:eastAsia="SimSun" w:cs="Times New Roman"/>
      <w:color w:val="00000A"/>
      <w:sz w:val="40"/>
      <w:szCs w:val="20"/>
      <w:lang w:val="en-US" w:eastAsia="en-US" w:bidi="ar-SA"/>
    </w:rPr>
  </w:style>
  <w:style w:type="paragraph" w:styleId="ZB" w:customStyle="1">
    <w:name w:val="ZB"/>
    <w:qFormat/>
    <w:rsid w:val="00d50f97"/>
    <w:pPr>
      <w:widowControl w:val="false"/>
      <w:bidi w:val="0"/>
      <w:spacing w:lineRule="auto" w:line="276" w:before="0" w:after="200"/>
      <w:ind w:right="28" w:hanging="0"/>
      <w:jc w:val="right"/>
      <w:textAlignment w:val="baseline"/>
    </w:pPr>
    <w:rPr>
      <w:rFonts w:ascii="Arial" w:hAnsi="Arial" w:eastAsia="SimSun" w:cs="Times New Roman"/>
      <w:i/>
      <w:color w:val="00000A"/>
      <w:sz w:val="22"/>
      <w:szCs w:val="20"/>
      <w:lang w:val="en-US" w:eastAsia="en-US" w:bidi="ar-SA"/>
    </w:rPr>
  </w:style>
  <w:style w:type="paragraph" w:styleId="ZD" w:customStyle="1">
    <w:name w:val="ZD"/>
    <w:qFormat/>
    <w:rsid w:val="00d50f97"/>
    <w:pPr>
      <w:widowControl w:val="false"/>
      <w:bidi w:val="0"/>
      <w:spacing w:lineRule="auto" w:line="276" w:before="0" w:after="200"/>
      <w:jc w:val="left"/>
      <w:textAlignment w:val="baseline"/>
    </w:pPr>
    <w:rPr>
      <w:rFonts w:ascii="Arial" w:hAnsi="Arial" w:eastAsia="SimSun" w:cs="Times New Roman"/>
      <w:color w:val="00000A"/>
      <w:sz w:val="32"/>
      <w:szCs w:val="20"/>
      <w:lang w:val="en-US" w:eastAsia="en-US" w:bidi="ar-SA"/>
    </w:rPr>
  </w:style>
  <w:style w:type="paragraph" w:styleId="ZG" w:customStyle="1">
    <w:name w:val="ZG"/>
    <w:qFormat/>
    <w:rsid w:val="00d50f97"/>
    <w:pPr>
      <w:widowControl w:val="false"/>
      <w:bidi w:val="0"/>
      <w:spacing w:lineRule="auto" w:line="276" w:before="0" w:after="200"/>
      <w:jc w:val="right"/>
      <w:textAlignment w:val="baseline"/>
    </w:pPr>
    <w:rPr>
      <w:rFonts w:ascii="Arial" w:hAnsi="Arial" w:eastAsia="SimSun" w:cs="Times New Roman"/>
      <w:color w:val="00000A"/>
      <w:sz w:val="22"/>
      <w:szCs w:val="20"/>
      <w:lang w:val="en-US" w:eastAsia="en-US" w:bidi="ar-SA"/>
    </w:rPr>
  </w:style>
  <w:style w:type="paragraph" w:styleId="ZH" w:customStyle="1">
    <w:name w:val="ZH"/>
    <w:qFormat/>
    <w:rsid w:val="00d50f97"/>
    <w:pPr>
      <w:widowControl w:val="false"/>
      <w:bidi w:val="0"/>
      <w:spacing w:lineRule="auto" w:line="276" w:before="0" w:after="200"/>
      <w:jc w:val="left"/>
      <w:textAlignment w:val="baseline"/>
    </w:pPr>
    <w:rPr>
      <w:rFonts w:ascii="Arial" w:hAnsi="Arial" w:eastAsia="SimSun" w:cs="Times New Roman"/>
      <w:color w:val="00000A"/>
      <w:sz w:val="22"/>
      <w:szCs w:val="20"/>
      <w:lang w:val="en-US" w:eastAsia="en-US" w:bidi="ar-SA"/>
    </w:rPr>
  </w:style>
  <w:style w:type="paragraph" w:styleId="ZT" w:customStyle="1">
    <w:name w:val="ZT"/>
    <w:qFormat/>
    <w:rsid w:val="00d50f97"/>
    <w:pPr>
      <w:widowControl w:val="false"/>
      <w:bidi w:val="0"/>
      <w:spacing w:lineRule="atLeast" w:line="240" w:before="0" w:after="200"/>
      <w:jc w:val="right"/>
      <w:textAlignment w:val="baseline"/>
    </w:pPr>
    <w:rPr>
      <w:rFonts w:ascii="Arial" w:hAnsi="Arial" w:eastAsia="SimSun" w:cs="Times New Roman"/>
      <w:b/>
      <w:color w:val="00000A"/>
      <w:sz w:val="34"/>
      <w:szCs w:val="20"/>
      <w:lang w:val="en-GB" w:eastAsia="en-US" w:bidi="ar-SA"/>
    </w:rPr>
  </w:style>
  <w:style w:type="paragraph" w:styleId="ZTD" w:customStyle="1">
    <w:name w:val="ZTD"/>
    <w:basedOn w:val="ZB"/>
    <w:qFormat/>
    <w:rsid w:val="00d50f97"/>
    <w:pPr/>
    <w:rPr>
      <w:i w:val="false"/>
      <w:sz w:val="40"/>
    </w:rPr>
  </w:style>
  <w:style w:type="paragraph" w:styleId="ZU" w:customStyle="1">
    <w:name w:val="ZU"/>
    <w:qFormat/>
    <w:rsid w:val="00d50f97"/>
    <w:pPr>
      <w:widowControl w:val="false"/>
      <w:pBdr>
        <w:top w:val="single" w:sz="12" w:space="1" w:color="00000A"/>
      </w:pBdr>
      <w:bidi w:val="0"/>
      <w:spacing w:lineRule="auto" w:line="276" w:before="0" w:after="200"/>
      <w:jc w:val="right"/>
      <w:textAlignment w:val="baseline"/>
    </w:pPr>
    <w:rPr>
      <w:rFonts w:ascii="Arial" w:hAnsi="Arial" w:eastAsia="SimSun" w:cs="Times New Roman"/>
      <w:color w:val="00000A"/>
      <w:sz w:val="22"/>
      <w:szCs w:val="20"/>
      <w:lang w:val="en-US" w:eastAsia="en-US" w:bidi="ar-SA"/>
    </w:rPr>
  </w:style>
  <w:style w:type="paragraph" w:styleId="ZV" w:customStyle="1">
    <w:name w:val="ZV"/>
    <w:basedOn w:val="ZU"/>
    <w:qFormat/>
    <w:rsid w:val="00d50f97"/>
    <w:pPr/>
    <w:rPr/>
  </w:style>
  <w:style w:type="paragraph" w:styleId="FP" w:customStyle="1">
    <w:name w:val="FP"/>
    <w:basedOn w:val="Normal"/>
    <w:qFormat/>
    <w:rsid w:val="00d50f97"/>
    <w:pPr>
      <w:spacing w:before="0" w:after="0"/>
    </w:pPr>
    <w:rPr/>
  </w:style>
  <w:style w:type="paragraph" w:styleId="Observation" w:customStyle="1">
    <w:name w:val="Observation"/>
    <w:basedOn w:val="Proposal"/>
    <w:qFormat/>
    <w:rsid w:val="00d50f97"/>
    <w:pPr/>
    <w:rPr/>
  </w:style>
  <w:style w:type="paragraph" w:styleId="Tableoffigures">
    <w:name w:val="table of figures"/>
    <w:basedOn w:val="Normal"/>
    <w:next w:val="Normal"/>
    <w:uiPriority w:val="99"/>
    <w:qFormat/>
    <w:rsid w:val="00d50f97"/>
    <w:pPr>
      <w:ind w:left="1418" w:hanging="1418"/>
    </w:pPr>
    <w:rPr>
      <w:b/>
    </w:rPr>
  </w:style>
  <w:style w:type="paragraph" w:styleId="ListParagraph">
    <w:name w:val="List Paragraph"/>
    <w:basedOn w:val="Normal"/>
    <w:link w:val="ListParagraphChar"/>
    <w:uiPriority w:val="34"/>
    <w:qFormat/>
    <w:rsid w:val="0037640e"/>
    <w:pPr>
      <w:spacing w:before="0" w:after="160"/>
      <w:ind w:left="720" w:hanging="0"/>
      <w:contextualSpacing/>
    </w:pPr>
    <w:rPr/>
  </w:style>
  <w:style w:type="paragraph" w:styleId="Steps9thset" w:customStyle="1">
    <w:name w:val="Steps-9th set"/>
    <w:basedOn w:val="Normal"/>
    <w:qFormat/>
    <w:rsid w:val="005a22ac"/>
    <w:pPr>
      <w:widowControl w:val="false"/>
      <w:spacing w:before="120" w:after="160"/>
    </w:pPr>
    <w:rPr>
      <w:sz w:val="24"/>
      <w:szCs w:val="24"/>
    </w:rPr>
  </w:style>
  <w:style w:type="paragraph" w:styleId="Maintext" w:customStyle="1">
    <w:name w:val="main text"/>
    <w:basedOn w:val="Normal"/>
    <w:qFormat/>
    <w:rsid w:val="005a22ac"/>
    <w:pPr>
      <w:spacing w:lineRule="auto" w:line="288" w:before="60" w:after="60"/>
      <w:ind w:firstLine="200"/>
    </w:pPr>
    <w:rPr>
      <w:rFonts w:ascii="Times New Roman" w:hAnsi="Times New Roman" w:eastAsia="Malgun Gothic" w:cs="Batang"/>
      <w:lang w:eastAsia="ko-KR"/>
    </w:rPr>
  </w:style>
  <w:style w:type="paragraph" w:styleId="TableContents" w:customStyle="1">
    <w:name w:val="Table Content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rsid w:val="00793e8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F4EDA-F71A-43D4-865E-E5EB43A9E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Application>LibreOffice/5.1.6.2$Linux_X86_64 LibreOffice_project/10m0$Build-2</Application>
  <Pages>3</Pages>
  <Words>1170</Words>
  <Characters>6025</Characters>
  <CharactersWithSpaces>7302</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2021-01-12T09:57:00Z</dcterms:created>
  <dc:creator>Ramya</dc:creator>
  <dc:description/>
  <dc:language>en-IN</dc:language>
  <cp:lastModifiedBy/>
  <dcterms:modified xsi:type="dcterms:W3CDTF">2021-01-15T17:03:03Z</dcterms:modified>
  <cp:revision>43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