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27F06" w14:textId="08663D5E" w:rsidR="00A55B1D" w:rsidRPr="008645B4" w:rsidRDefault="007C71B5" w:rsidP="003E65B5">
      <w:pPr>
        <w:tabs>
          <w:tab w:val="center" w:pos="4536"/>
          <w:tab w:val="right" w:pos="8280"/>
          <w:tab w:val="right" w:pos="9639"/>
        </w:tabs>
        <w:ind w:right="2"/>
        <w:rPr>
          <w:rFonts w:asciiTheme="minorHAnsi" w:hAnsiTheme="minorHAnsi" w:cstheme="minorHAnsi"/>
          <w:b/>
          <w:bCs/>
          <w:sz w:val="28"/>
          <w:szCs w:val="24"/>
        </w:rPr>
      </w:pPr>
      <w:r w:rsidRPr="008645B4">
        <w:rPr>
          <w:rFonts w:asciiTheme="minorHAnsi" w:hAnsiTheme="minorHAnsi" w:cstheme="minorHAnsi"/>
          <w:b/>
          <w:bCs/>
          <w:sz w:val="28"/>
        </w:rPr>
        <w:t>3GPP TSG RAN WG1 #</w:t>
      </w:r>
      <w:r w:rsidR="00A911C3">
        <w:rPr>
          <w:rFonts w:asciiTheme="minorHAnsi" w:hAnsiTheme="minorHAnsi" w:cstheme="minorHAnsi"/>
          <w:b/>
          <w:bCs/>
          <w:sz w:val="28"/>
        </w:rPr>
        <w:t>10</w:t>
      </w:r>
      <w:r w:rsidR="00FB4040">
        <w:rPr>
          <w:rFonts w:asciiTheme="minorHAnsi" w:hAnsiTheme="minorHAnsi" w:cstheme="minorHAnsi"/>
          <w:b/>
          <w:bCs/>
          <w:sz w:val="28"/>
        </w:rPr>
        <w:t>4</w:t>
      </w:r>
      <w:r w:rsidR="006918EA" w:rsidRPr="008645B4">
        <w:rPr>
          <w:rFonts w:asciiTheme="minorHAnsi" w:hAnsiTheme="minorHAnsi" w:cstheme="minorHAnsi"/>
          <w:b/>
          <w:bCs/>
          <w:sz w:val="28"/>
        </w:rPr>
        <w:t xml:space="preserve">-e </w:t>
      </w:r>
      <w:r w:rsidRPr="008645B4">
        <w:rPr>
          <w:rFonts w:asciiTheme="minorHAnsi" w:hAnsiTheme="minorHAnsi" w:cstheme="minorHAnsi"/>
          <w:b/>
          <w:bCs/>
          <w:sz w:val="28"/>
        </w:rPr>
        <w:tab/>
      </w:r>
      <w:r w:rsidRPr="008645B4">
        <w:rPr>
          <w:rFonts w:asciiTheme="minorHAnsi" w:hAnsiTheme="minorHAnsi" w:cstheme="minorHAnsi"/>
          <w:b/>
          <w:bCs/>
          <w:sz w:val="28"/>
        </w:rPr>
        <w:tab/>
        <w:t xml:space="preserve">       </w:t>
      </w:r>
      <w:r w:rsidR="00A911C3" w:rsidRPr="00A911C3">
        <w:rPr>
          <w:rFonts w:asciiTheme="minorHAnsi" w:hAnsiTheme="minorHAnsi" w:cstheme="minorHAnsi"/>
          <w:b/>
          <w:bCs/>
          <w:sz w:val="28"/>
        </w:rPr>
        <w:t>R1-</w:t>
      </w:r>
      <w:r w:rsidR="00BF45C1">
        <w:rPr>
          <w:rFonts w:asciiTheme="minorHAnsi" w:hAnsiTheme="minorHAnsi" w:cstheme="minorHAnsi"/>
          <w:b/>
          <w:bCs/>
          <w:sz w:val="28"/>
        </w:rPr>
        <w:t>2100697</w:t>
      </w:r>
    </w:p>
    <w:p w14:paraId="76BA5AB9" w14:textId="413B2E20" w:rsidR="00A911C3" w:rsidRPr="00A911C3" w:rsidRDefault="0046422B" w:rsidP="00A911C3">
      <w:pPr>
        <w:pStyle w:val="TdocHeader2"/>
        <w:rPr>
          <w:rFonts w:asciiTheme="minorHAnsi" w:eastAsia="MS Mincho" w:hAnsiTheme="minorHAnsi" w:cstheme="minorHAnsi"/>
          <w:bCs/>
          <w:sz w:val="28"/>
          <w:lang w:eastAsia="ja-JP"/>
        </w:rPr>
      </w:pPr>
      <w:r>
        <w:rPr>
          <w:rFonts w:asciiTheme="minorHAnsi" w:eastAsia="MS Mincho" w:hAnsiTheme="minorHAnsi" w:cstheme="minorHAnsi"/>
          <w:bCs/>
          <w:sz w:val="28"/>
          <w:szCs w:val="22"/>
          <w:lang w:val="en-US" w:eastAsia="ja-JP"/>
        </w:rPr>
        <w:t>E-</w:t>
      </w:r>
      <w:r w:rsidRPr="008645B4">
        <w:rPr>
          <w:rFonts w:asciiTheme="minorHAnsi" w:eastAsia="MS Mincho" w:hAnsiTheme="minorHAnsi" w:cstheme="minorHAnsi"/>
          <w:bCs/>
          <w:sz w:val="28"/>
          <w:szCs w:val="22"/>
          <w:lang w:val="en-US" w:eastAsia="ja-JP"/>
        </w:rPr>
        <w:t>Meeting</w:t>
      </w:r>
      <w:r w:rsidR="00523EA6" w:rsidRPr="008645B4">
        <w:rPr>
          <w:rFonts w:asciiTheme="minorHAnsi" w:eastAsia="MS Mincho" w:hAnsiTheme="minorHAnsi" w:cstheme="minorHAnsi"/>
          <w:bCs/>
          <w:sz w:val="28"/>
          <w:szCs w:val="22"/>
          <w:lang w:val="en-US" w:eastAsia="ja-JP"/>
        </w:rPr>
        <w:t xml:space="preserve">, </w:t>
      </w:r>
      <w:r w:rsidR="00FB4040" w:rsidRPr="00B354E7">
        <w:rPr>
          <w:rFonts w:asciiTheme="minorHAnsi" w:eastAsia="MS Mincho" w:hAnsiTheme="minorHAnsi" w:cstheme="minorHAnsi"/>
          <w:bCs/>
          <w:sz w:val="28"/>
          <w:lang w:eastAsia="ja-JP"/>
        </w:rPr>
        <w:t xml:space="preserve">, </w:t>
      </w:r>
      <w:r w:rsidR="00FB4040">
        <w:rPr>
          <w:rFonts w:asciiTheme="minorHAnsi" w:eastAsia="MS Mincho" w:hAnsiTheme="minorHAnsi" w:cstheme="minorHAnsi"/>
          <w:bCs/>
          <w:sz w:val="28"/>
          <w:lang w:eastAsia="ja-JP"/>
        </w:rPr>
        <w:t>January 25</w:t>
      </w:r>
      <w:r w:rsidR="00FB4040" w:rsidRPr="00B70A87">
        <w:rPr>
          <w:rFonts w:asciiTheme="minorHAnsi" w:eastAsia="MS Mincho" w:hAnsiTheme="minorHAnsi" w:cstheme="minorHAnsi"/>
          <w:bCs/>
          <w:sz w:val="28"/>
          <w:vertAlign w:val="superscript"/>
          <w:lang w:eastAsia="ja-JP"/>
        </w:rPr>
        <w:t>th</w:t>
      </w:r>
      <w:r w:rsidR="00FB4040">
        <w:rPr>
          <w:rFonts w:asciiTheme="minorHAnsi" w:eastAsia="MS Mincho" w:hAnsiTheme="minorHAnsi" w:cstheme="minorHAnsi"/>
          <w:bCs/>
          <w:sz w:val="28"/>
          <w:lang w:eastAsia="ja-JP"/>
        </w:rPr>
        <w:t xml:space="preserve"> – February 5</w:t>
      </w:r>
      <w:r w:rsidR="00FB4040" w:rsidRPr="00B70A87">
        <w:rPr>
          <w:rFonts w:asciiTheme="minorHAnsi" w:eastAsia="MS Mincho" w:hAnsiTheme="minorHAnsi" w:cstheme="minorHAnsi"/>
          <w:bCs/>
          <w:sz w:val="28"/>
          <w:vertAlign w:val="superscript"/>
          <w:lang w:eastAsia="ja-JP"/>
        </w:rPr>
        <w:t>th</w:t>
      </w:r>
      <w:r w:rsidR="00FB4040">
        <w:rPr>
          <w:rFonts w:asciiTheme="minorHAnsi" w:eastAsia="MS Mincho" w:hAnsiTheme="minorHAnsi" w:cstheme="minorHAnsi"/>
          <w:bCs/>
          <w:sz w:val="28"/>
          <w:lang w:eastAsia="ja-JP"/>
        </w:rPr>
        <w:t xml:space="preserve">, </w:t>
      </w:r>
      <w:r w:rsidR="00FB4040" w:rsidRPr="00B354E7">
        <w:rPr>
          <w:rFonts w:asciiTheme="minorHAnsi" w:eastAsia="MS Mincho" w:hAnsiTheme="minorHAnsi" w:cstheme="minorHAnsi"/>
          <w:bCs/>
          <w:sz w:val="28"/>
          <w:lang w:eastAsia="ja-JP"/>
        </w:rPr>
        <w:t>202</w:t>
      </w:r>
      <w:r w:rsidR="00FB4040">
        <w:rPr>
          <w:rFonts w:asciiTheme="minorHAnsi" w:eastAsia="MS Mincho" w:hAnsiTheme="minorHAnsi" w:cstheme="minorHAnsi"/>
          <w:bCs/>
          <w:sz w:val="28"/>
          <w:lang w:eastAsia="ja-JP"/>
        </w:rPr>
        <w:t>1</w:t>
      </w:r>
    </w:p>
    <w:p w14:paraId="4F89E62D" w14:textId="73BEB889" w:rsidR="00A55B1D" w:rsidRPr="00A911C3" w:rsidRDefault="00A55B1D">
      <w:pPr>
        <w:pStyle w:val="TdocHeader2"/>
        <w:rPr>
          <w:rFonts w:asciiTheme="minorHAnsi" w:hAnsiTheme="minorHAnsi" w:cstheme="minorHAnsi"/>
          <w:sz w:val="22"/>
          <w:szCs w:val="24"/>
        </w:rPr>
      </w:pPr>
    </w:p>
    <w:p w14:paraId="78502F06" w14:textId="77777777" w:rsidR="00A55B1D" w:rsidRPr="008645B4" w:rsidRDefault="00A55B1D">
      <w:pPr>
        <w:pStyle w:val="TdocHeader2"/>
        <w:rPr>
          <w:rFonts w:asciiTheme="minorHAnsi" w:hAnsiTheme="minorHAnsi" w:cstheme="minorHAnsi"/>
          <w:kern w:val="2"/>
          <w:sz w:val="20"/>
          <w:lang w:eastAsia="zh-CN"/>
        </w:rPr>
      </w:pPr>
    </w:p>
    <w:p w14:paraId="372901DA" w14:textId="6F7432D4"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Agenda Item:</w:t>
      </w:r>
      <w:r w:rsidRPr="008645B4">
        <w:rPr>
          <w:rFonts w:asciiTheme="minorHAnsi" w:hAnsiTheme="minorHAnsi" w:cstheme="minorHAnsi"/>
          <w:kern w:val="2"/>
          <w:sz w:val="22"/>
          <w:szCs w:val="24"/>
          <w:lang w:eastAsia="zh-CN"/>
        </w:rPr>
        <w:tab/>
      </w:r>
      <w:r w:rsidR="00523EA6" w:rsidRPr="008645B4">
        <w:rPr>
          <w:rFonts w:asciiTheme="minorHAnsi" w:hAnsiTheme="minorHAnsi" w:cstheme="minorHAnsi"/>
          <w:kern w:val="2"/>
          <w:sz w:val="22"/>
          <w:szCs w:val="24"/>
          <w:lang w:eastAsia="zh-CN"/>
        </w:rPr>
        <w:t>8.</w:t>
      </w:r>
      <w:r w:rsidR="00C533E6">
        <w:rPr>
          <w:rFonts w:asciiTheme="minorHAnsi" w:hAnsiTheme="minorHAnsi" w:cstheme="minorHAnsi"/>
          <w:kern w:val="2"/>
          <w:sz w:val="22"/>
          <w:szCs w:val="24"/>
          <w:lang w:eastAsia="zh-CN"/>
        </w:rPr>
        <w:t>5.1</w:t>
      </w:r>
      <w:r w:rsidR="00523EA6" w:rsidRPr="008645B4">
        <w:rPr>
          <w:rFonts w:asciiTheme="minorHAnsi" w:hAnsiTheme="minorHAnsi" w:cstheme="minorHAnsi"/>
          <w:kern w:val="2"/>
          <w:sz w:val="22"/>
          <w:szCs w:val="24"/>
          <w:lang w:eastAsia="zh-CN"/>
        </w:rPr>
        <w:t xml:space="preserve">  </w:t>
      </w:r>
    </w:p>
    <w:p w14:paraId="3B38C7A9" w14:textId="77777777"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Source:</w:t>
      </w:r>
      <w:r w:rsidRPr="008645B4">
        <w:rPr>
          <w:rFonts w:asciiTheme="minorHAnsi" w:hAnsiTheme="minorHAnsi" w:cstheme="minorHAnsi"/>
          <w:kern w:val="2"/>
          <w:sz w:val="22"/>
          <w:szCs w:val="24"/>
          <w:lang w:eastAsia="zh-CN"/>
        </w:rPr>
        <w:tab/>
      </w:r>
      <w:r w:rsidRPr="008645B4">
        <w:rPr>
          <w:rFonts w:asciiTheme="minorHAnsi" w:hAnsiTheme="minorHAnsi" w:cstheme="minorHAnsi"/>
          <w:sz w:val="22"/>
          <w:szCs w:val="24"/>
        </w:rPr>
        <w:t>TCL Communication</w:t>
      </w:r>
    </w:p>
    <w:p w14:paraId="0D3EEECC" w14:textId="0234D76D" w:rsidR="0046422B" w:rsidRDefault="007C71B5">
      <w:pPr>
        <w:pStyle w:val="TdocHeader2"/>
        <w:rPr>
          <w:rFonts w:ascii="Times New Roman" w:hAnsi="Times New Roman"/>
          <w:color w:val="000000"/>
          <w:sz w:val="24"/>
          <w:szCs w:val="24"/>
        </w:rPr>
      </w:pPr>
      <w:r w:rsidRPr="008645B4">
        <w:rPr>
          <w:rFonts w:asciiTheme="minorHAnsi" w:hAnsiTheme="minorHAnsi" w:cstheme="minorHAnsi"/>
          <w:kern w:val="2"/>
          <w:sz w:val="22"/>
          <w:szCs w:val="24"/>
          <w:lang w:eastAsia="zh-CN"/>
        </w:rPr>
        <w:t>Title:</w:t>
      </w:r>
      <w:r w:rsidRPr="008645B4">
        <w:rPr>
          <w:rFonts w:asciiTheme="minorHAnsi" w:hAnsiTheme="minorHAnsi" w:cstheme="minorHAnsi"/>
          <w:kern w:val="2"/>
          <w:sz w:val="22"/>
          <w:szCs w:val="24"/>
          <w:lang w:eastAsia="zh-CN"/>
        </w:rPr>
        <w:tab/>
      </w:r>
      <w:r w:rsidR="0025256B">
        <w:rPr>
          <w:rFonts w:asciiTheme="minorHAnsi" w:hAnsiTheme="minorHAnsi" w:cstheme="minorHAnsi"/>
          <w:kern w:val="2"/>
          <w:sz w:val="22"/>
          <w:szCs w:val="24"/>
          <w:lang w:eastAsia="zh-CN"/>
        </w:rPr>
        <w:t>P</w:t>
      </w:r>
      <w:r w:rsidR="0025256B">
        <w:rPr>
          <w:rFonts w:ascii="Times New Roman" w:hAnsi="Times New Roman"/>
          <w:color w:val="000000"/>
          <w:sz w:val="24"/>
          <w:szCs w:val="24"/>
        </w:rPr>
        <w:t>ositioning enhancement by UE assistance</w:t>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p>
    <w:p w14:paraId="0544116E" w14:textId="4AB39015"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 xml:space="preserve">Document </w:t>
      </w:r>
      <w:r w:rsidR="0046422B" w:rsidRPr="008645B4">
        <w:rPr>
          <w:rFonts w:asciiTheme="minorHAnsi" w:hAnsiTheme="minorHAnsi" w:cstheme="minorHAnsi"/>
          <w:kern w:val="2"/>
          <w:sz w:val="22"/>
          <w:szCs w:val="24"/>
          <w:lang w:eastAsia="zh-CN"/>
        </w:rPr>
        <w:t>for</w:t>
      </w:r>
      <w:r w:rsidR="0046422B">
        <w:rPr>
          <w:rFonts w:asciiTheme="minorHAnsi" w:hAnsiTheme="minorHAnsi" w:cstheme="minorHAnsi"/>
          <w:kern w:val="2"/>
          <w:sz w:val="22"/>
          <w:szCs w:val="24"/>
          <w:lang w:eastAsia="zh-CN"/>
        </w:rPr>
        <w:t>:</w:t>
      </w:r>
      <w:r w:rsidRPr="008645B4">
        <w:rPr>
          <w:rFonts w:asciiTheme="minorHAnsi" w:hAnsiTheme="minorHAnsi" w:cstheme="minorHAnsi"/>
          <w:kern w:val="2"/>
          <w:sz w:val="22"/>
          <w:szCs w:val="24"/>
          <w:lang w:eastAsia="zh-CN"/>
        </w:rPr>
        <w:tab/>
        <w:t xml:space="preserve">Discussion and decision  </w:t>
      </w:r>
    </w:p>
    <w:p w14:paraId="1F5D6668" w14:textId="77777777" w:rsidR="00A55B1D" w:rsidRPr="008645B4" w:rsidRDefault="00A55B1D">
      <w:pPr>
        <w:pBdr>
          <w:bottom w:val="single" w:sz="4" w:space="1" w:color="000000"/>
        </w:pBdr>
        <w:spacing w:after="0"/>
        <w:jc w:val="left"/>
        <w:rPr>
          <w:rFonts w:asciiTheme="minorHAnsi" w:hAnsiTheme="minorHAnsi" w:cstheme="minorHAnsi"/>
          <w:b/>
          <w:kern w:val="2"/>
          <w:sz w:val="16"/>
          <w:szCs w:val="16"/>
          <w:lang w:eastAsia="zh-CN"/>
        </w:rPr>
      </w:pPr>
    </w:p>
    <w:p w14:paraId="0A2D34C2" w14:textId="2EF57A51" w:rsidR="00A55B1D" w:rsidRDefault="00931688" w:rsidP="00D5107C">
      <w:pPr>
        <w:pStyle w:val="Heading1"/>
        <w:rPr>
          <w:rFonts w:asciiTheme="minorHAnsi" w:hAnsiTheme="minorHAnsi" w:cstheme="minorHAnsi"/>
        </w:rPr>
      </w:pPr>
      <w:r w:rsidRPr="008645B4">
        <w:rPr>
          <w:rFonts w:asciiTheme="minorHAnsi" w:hAnsiTheme="minorHAnsi" w:cstheme="minorHAnsi"/>
        </w:rPr>
        <w:t xml:space="preserve">Motivation for </w:t>
      </w:r>
      <w:r w:rsidR="00E10ECB">
        <w:rPr>
          <w:rFonts w:asciiTheme="minorHAnsi" w:hAnsiTheme="minorHAnsi" w:cstheme="minorHAnsi"/>
        </w:rPr>
        <w:t>potential positioning enhancements</w:t>
      </w:r>
    </w:p>
    <w:p w14:paraId="640DD977" w14:textId="393E3A51" w:rsidR="0058035C" w:rsidRPr="0058035C" w:rsidRDefault="00EB7867" w:rsidP="0058035C">
      <w:pPr>
        <w:spacing w:before="120" w:line="260" w:lineRule="exact"/>
        <w:rPr>
          <w:rFonts w:cstheme="minorHAnsi"/>
        </w:rPr>
      </w:pPr>
      <w:r>
        <w:rPr>
          <w:rFonts w:cstheme="minorHAnsi"/>
        </w:rPr>
        <w:t>In Ran#90</w:t>
      </w:r>
      <w:r w:rsidR="0058035C" w:rsidRPr="0058035C">
        <w:rPr>
          <w:rFonts w:cstheme="minorHAnsi"/>
        </w:rPr>
        <w:t xml:space="preserve">-e, </w:t>
      </w:r>
      <w:r w:rsidR="0058035C" w:rsidRPr="0058035C">
        <w:rPr>
          <w:rFonts w:cstheme="minorHAnsi" w:hint="eastAsia"/>
        </w:rPr>
        <w:t>t</w:t>
      </w:r>
      <w:r w:rsidR="00BF45C1">
        <w:rPr>
          <w:rFonts w:cstheme="minorHAnsi"/>
        </w:rPr>
        <w:t>he W</w:t>
      </w:r>
      <w:r w:rsidR="0058035C" w:rsidRPr="0058035C">
        <w:rPr>
          <w:rFonts w:cstheme="minorHAnsi"/>
        </w:rPr>
        <w:t>ID</w:t>
      </w:r>
      <w:r w:rsidR="00BD7BBC" w:rsidRPr="00BD7BBC">
        <w:rPr>
          <w:rFonts w:cstheme="minorHAnsi"/>
        </w:rPr>
        <w:t xml:space="preserve"> </w:t>
      </w:r>
      <w:r w:rsidR="00BF45C1">
        <w:rPr>
          <w:rFonts w:cstheme="minorHAnsi"/>
          <w:noProof/>
        </w:rPr>
        <w:t>(RP-202900</w:t>
      </w:r>
      <w:r w:rsidR="00BF45C1" w:rsidRPr="00592B57">
        <w:rPr>
          <w:rFonts w:cstheme="minorHAnsi"/>
          <w:noProof/>
        </w:rPr>
        <w:t>)</w:t>
      </w:r>
      <w:r w:rsidR="00A26ED9">
        <w:rPr>
          <w:rFonts w:cstheme="minorHAnsi"/>
        </w:rPr>
        <w:t xml:space="preserve"> </w:t>
      </w:r>
      <w:r w:rsidR="0058035C" w:rsidRPr="0058035C">
        <w:rPr>
          <w:rFonts w:cstheme="minorHAnsi"/>
        </w:rPr>
        <w:t>on NR positioning enhancement was approved as below:</w:t>
      </w:r>
    </w:p>
    <w:p w14:paraId="2098326C" w14:textId="77777777" w:rsidR="00BF45C1" w:rsidRPr="00BF45C1" w:rsidRDefault="00BF45C1" w:rsidP="00BF45C1">
      <w:pPr>
        <w:numPr>
          <w:ilvl w:val="0"/>
          <w:numId w:val="40"/>
        </w:numPr>
        <w:spacing w:before="120" w:line="260" w:lineRule="exact"/>
        <w:rPr>
          <w:rFonts w:cstheme="minorHAnsi"/>
          <w:lang w:val="en-GB"/>
        </w:rPr>
      </w:pPr>
      <w:r w:rsidRPr="00BF45C1">
        <w:rPr>
          <w:rFonts w:cstheme="minorHAnsi"/>
          <w:lang w:val="en-GB"/>
        </w:rPr>
        <w:t>Specify methods, measurements, signalling, and procedures for improving positioning accuracy of the Rel-16 NR positioning methods</w:t>
      </w:r>
      <w:r w:rsidRPr="00BF45C1">
        <w:rPr>
          <w:rFonts w:cstheme="minorHAnsi"/>
          <w:u w:val="single"/>
          <w:lang w:val="en-GB"/>
        </w:rPr>
        <w:t xml:space="preserve"> </w:t>
      </w:r>
      <w:r w:rsidRPr="00BF45C1">
        <w:rPr>
          <w:rFonts w:cstheme="minorHAnsi"/>
          <w:lang w:val="en-GB"/>
        </w:rPr>
        <w:t>by mitigating UE Rx/Tx and/or gNB Rx/Tx timing delays, including [RAN1]</w:t>
      </w:r>
    </w:p>
    <w:p w14:paraId="09D31149" w14:textId="77777777" w:rsidR="00BF45C1" w:rsidRPr="00BF45C1" w:rsidRDefault="00BF45C1" w:rsidP="00BF45C1">
      <w:pPr>
        <w:numPr>
          <w:ilvl w:val="1"/>
          <w:numId w:val="40"/>
        </w:numPr>
        <w:spacing w:before="120" w:line="260" w:lineRule="exact"/>
        <w:rPr>
          <w:rFonts w:cstheme="minorHAnsi"/>
          <w:lang w:val="en-GB"/>
        </w:rPr>
      </w:pPr>
      <w:r w:rsidRPr="00BF45C1">
        <w:rPr>
          <w:rFonts w:cstheme="minorHAnsi" w:hint="eastAsia"/>
          <w:lang w:val="en-GB"/>
        </w:rPr>
        <w:t>DL, UL and DL+UL positioning methods</w:t>
      </w:r>
    </w:p>
    <w:p w14:paraId="014ACBE8" w14:textId="77777777" w:rsidR="00BF45C1" w:rsidRPr="00BF45C1" w:rsidRDefault="00BF45C1" w:rsidP="00BF45C1">
      <w:pPr>
        <w:numPr>
          <w:ilvl w:val="1"/>
          <w:numId w:val="40"/>
        </w:numPr>
        <w:spacing w:before="120" w:line="260" w:lineRule="exact"/>
        <w:rPr>
          <w:rFonts w:cstheme="minorHAnsi"/>
          <w:lang w:val="en-GB"/>
        </w:rPr>
      </w:pPr>
      <w:r w:rsidRPr="00BF45C1">
        <w:rPr>
          <w:rFonts w:cstheme="minorHAnsi" w:hint="eastAsia"/>
          <w:lang w:val="en-GB"/>
        </w:rPr>
        <w:t>UE-based and UE-assisted positioning solutions</w:t>
      </w:r>
    </w:p>
    <w:p w14:paraId="2D7D211B" w14:textId="77777777" w:rsidR="00BF45C1" w:rsidRPr="00BF45C1" w:rsidRDefault="00BF45C1" w:rsidP="00BF45C1">
      <w:pPr>
        <w:spacing w:before="120" w:line="260" w:lineRule="exact"/>
        <w:rPr>
          <w:rFonts w:cstheme="minorHAnsi"/>
          <w:lang w:val="en-GB"/>
        </w:rPr>
      </w:pPr>
    </w:p>
    <w:p w14:paraId="346BC787" w14:textId="77777777" w:rsidR="00BF45C1" w:rsidRPr="00BF45C1" w:rsidRDefault="00BF45C1" w:rsidP="00BF45C1">
      <w:pPr>
        <w:numPr>
          <w:ilvl w:val="0"/>
          <w:numId w:val="39"/>
        </w:numPr>
        <w:spacing w:before="120" w:line="260" w:lineRule="exact"/>
        <w:rPr>
          <w:rFonts w:cstheme="minorHAnsi"/>
          <w:lang w:val="en-GB"/>
        </w:rPr>
      </w:pPr>
      <w:r w:rsidRPr="00BF45C1">
        <w:rPr>
          <w:rFonts w:cstheme="minorHAnsi"/>
          <w:lang w:val="en-GB"/>
        </w:rPr>
        <w:t xml:space="preserve">Specify the </w:t>
      </w:r>
      <w:r w:rsidRPr="00BF45C1">
        <w:rPr>
          <w:rFonts w:cstheme="minorHAnsi" w:hint="eastAsia"/>
          <w:lang w:val="en-GB"/>
        </w:rPr>
        <w:t xml:space="preserve">procedure, measurements, reporting, and signalling </w:t>
      </w:r>
      <w:r w:rsidRPr="00BF45C1">
        <w:rPr>
          <w:rFonts w:cstheme="minorHAnsi"/>
          <w:lang w:val="en-GB"/>
        </w:rPr>
        <w:t>for improving the accuracy of [RAN1]</w:t>
      </w:r>
    </w:p>
    <w:p w14:paraId="25D2464C" w14:textId="77777777" w:rsidR="00BF45C1" w:rsidRPr="00BF45C1" w:rsidRDefault="00BF45C1" w:rsidP="00BF45C1">
      <w:pPr>
        <w:numPr>
          <w:ilvl w:val="1"/>
          <w:numId w:val="39"/>
        </w:numPr>
        <w:spacing w:before="120" w:line="260" w:lineRule="exact"/>
        <w:rPr>
          <w:rFonts w:cstheme="minorHAnsi"/>
          <w:lang w:val="en-GB"/>
        </w:rPr>
      </w:pPr>
      <w:r w:rsidRPr="00BF45C1">
        <w:rPr>
          <w:rFonts w:cstheme="minorHAnsi" w:hint="eastAsia"/>
          <w:lang w:val="en-GB"/>
        </w:rPr>
        <w:t>UL AoA for network-based positioning solutions.</w:t>
      </w:r>
    </w:p>
    <w:p w14:paraId="0EDF8EF1" w14:textId="77777777" w:rsidR="00BF45C1" w:rsidRPr="00BF45C1" w:rsidRDefault="00BF45C1" w:rsidP="00BF45C1">
      <w:pPr>
        <w:numPr>
          <w:ilvl w:val="1"/>
          <w:numId w:val="39"/>
        </w:numPr>
        <w:spacing w:before="120" w:line="260" w:lineRule="exact"/>
        <w:rPr>
          <w:rFonts w:cstheme="minorHAnsi"/>
          <w:lang w:val="en-GB"/>
        </w:rPr>
      </w:pPr>
      <w:r w:rsidRPr="00BF45C1">
        <w:rPr>
          <w:rFonts w:cstheme="minorHAnsi" w:hint="eastAsia"/>
          <w:lang w:val="en-GB"/>
        </w:rPr>
        <w:t>DL-AoD for UE-based and network-based (including UE-assisted) positioning solutions.</w:t>
      </w:r>
    </w:p>
    <w:p w14:paraId="317B6DA9" w14:textId="77777777" w:rsidR="00BF45C1" w:rsidRPr="00BF45C1" w:rsidRDefault="00BF45C1" w:rsidP="00BF45C1">
      <w:pPr>
        <w:spacing w:before="120" w:line="260" w:lineRule="exact"/>
        <w:rPr>
          <w:rFonts w:cstheme="minorHAnsi"/>
          <w:lang w:val="en-GB"/>
        </w:rPr>
      </w:pPr>
      <w:r w:rsidRPr="00BF45C1">
        <w:rPr>
          <w:rFonts w:cstheme="minorHAnsi"/>
          <w:lang w:val="en-GB"/>
        </w:rPr>
        <w:t>Note: RAN1 will discuss the candidate solutions and provide updates for this objective, with status to be reviewed in RAN#91e.</w:t>
      </w:r>
    </w:p>
    <w:p w14:paraId="3AD03BB7" w14:textId="618FBF5C" w:rsidR="0016117A" w:rsidRPr="00BF45C1" w:rsidRDefault="0016117A" w:rsidP="0058035C">
      <w:pPr>
        <w:spacing w:before="120" w:line="260" w:lineRule="exact"/>
        <w:rPr>
          <w:rFonts w:cstheme="minorHAnsi"/>
          <w:lang w:val="en-GB"/>
        </w:rPr>
      </w:pPr>
    </w:p>
    <w:p w14:paraId="62AD0B21" w14:textId="5B923BF1" w:rsidR="0016117A" w:rsidRDefault="0016117A" w:rsidP="0058035C">
      <w:pPr>
        <w:spacing w:before="120" w:line="260" w:lineRule="exact"/>
        <w:rPr>
          <w:rFonts w:cstheme="minorHAnsi"/>
        </w:rPr>
      </w:pPr>
      <w:r>
        <w:rPr>
          <w:rFonts w:cstheme="minorHAnsi"/>
        </w:rPr>
        <w:t xml:space="preserve">In this </w:t>
      </w:r>
      <w:r w:rsidR="00C33FA5">
        <w:rPr>
          <w:rFonts w:cstheme="minorHAnsi"/>
        </w:rPr>
        <w:t>document,</w:t>
      </w:r>
      <w:r>
        <w:rPr>
          <w:rFonts w:cstheme="minorHAnsi"/>
        </w:rPr>
        <w:t xml:space="preserve"> we focus on potential </w:t>
      </w:r>
      <w:r w:rsidR="00A73E5D">
        <w:rPr>
          <w:rFonts w:cstheme="minorHAnsi"/>
        </w:rPr>
        <w:t xml:space="preserve">enhancements of NR positioning techniques allowing a reduced latency and higher accuracy and device efficiency which could be useful for various scenarios such </w:t>
      </w:r>
      <w:r w:rsidR="00C33FA5">
        <w:rPr>
          <w:rFonts w:cstheme="minorHAnsi"/>
        </w:rPr>
        <w:t>as automotive and IIOT.</w:t>
      </w:r>
    </w:p>
    <w:p w14:paraId="14127262" w14:textId="77777777" w:rsidR="00447F42" w:rsidRDefault="00447F42" w:rsidP="0058035C">
      <w:pPr>
        <w:spacing w:before="120" w:line="260" w:lineRule="exact"/>
        <w:rPr>
          <w:rFonts w:cstheme="minorHAnsi"/>
        </w:rPr>
      </w:pPr>
    </w:p>
    <w:p w14:paraId="4898BC43" w14:textId="77777777" w:rsidR="007E04CC" w:rsidRPr="007E04CC" w:rsidRDefault="007E04CC" w:rsidP="007E04CC"/>
    <w:p w14:paraId="6CD78ACB" w14:textId="74A43B05" w:rsidR="00124AAF" w:rsidRPr="00C30A85" w:rsidRDefault="00C30A85" w:rsidP="00C30A85">
      <w:pPr>
        <w:pStyle w:val="Heading1"/>
        <w:rPr>
          <w:rFonts w:asciiTheme="minorHAnsi" w:hAnsiTheme="minorHAnsi" w:cstheme="minorHAnsi"/>
        </w:rPr>
      </w:pPr>
      <w:r w:rsidRPr="00C30A85">
        <w:rPr>
          <w:rFonts w:asciiTheme="minorHAnsi" w:hAnsiTheme="minorHAnsi" w:cstheme="minorHAnsi"/>
        </w:rPr>
        <w:t>SRS power control</w:t>
      </w:r>
    </w:p>
    <w:p w14:paraId="09CB684B" w14:textId="10F6CCDF" w:rsidR="001C693A" w:rsidRDefault="001C693A" w:rsidP="001C693A">
      <w:pPr>
        <w:rPr>
          <w:lang w:val="en-GB"/>
        </w:rPr>
      </w:pPr>
      <w:r>
        <w:rPr>
          <w:lang w:val="en-GB"/>
        </w:rPr>
        <w:t>In Rel-16, UL SRS based positioning rely only on open-loop power control. Such behaviour can be a cause of potential interference for the serving cell as well for neighbouring cells involved in positioning procedure</w:t>
      </w:r>
      <w:r w:rsidR="00D275F9">
        <w:rPr>
          <w:lang w:val="en-GB"/>
        </w:rPr>
        <w:t xml:space="preserve">. Closed-loop power control can then be used for SRS transmission and TPC command can be originated from the serving cell or a neighbouring cell as well. </w:t>
      </w:r>
      <w:r w:rsidR="00E91BB1">
        <w:rPr>
          <w:lang w:val="en-GB"/>
        </w:rPr>
        <w:t>In addition to interference reduction, this mechanism helps UE to adjust SRS transmission power in order to reduce power consumption.</w:t>
      </w:r>
    </w:p>
    <w:p w14:paraId="509AE880" w14:textId="4012B9F1" w:rsidR="00D275F9" w:rsidRDefault="00D275F9" w:rsidP="00D275F9">
      <w:pPr>
        <w:rPr>
          <w:rFonts w:cstheme="minorHAnsi"/>
        </w:rPr>
      </w:pPr>
      <w:r>
        <w:rPr>
          <w:rFonts w:cstheme="minorHAnsi"/>
          <w:b/>
        </w:rPr>
        <w:t>Proposal</w:t>
      </w:r>
      <w:r>
        <w:rPr>
          <w:rFonts w:cstheme="minorHAnsi"/>
        </w:rPr>
        <w:t xml:space="preserve"> </w:t>
      </w:r>
      <w:r w:rsidR="00C30A85">
        <w:rPr>
          <w:rFonts w:cstheme="minorHAnsi"/>
          <w:b/>
        </w:rPr>
        <w:t>1</w:t>
      </w:r>
      <w:r>
        <w:rPr>
          <w:rFonts w:cstheme="minorHAnsi"/>
          <w:b/>
        </w:rPr>
        <w:t xml:space="preserve">: </w:t>
      </w:r>
      <w:r>
        <w:rPr>
          <w:rFonts w:cstheme="minorHAnsi"/>
        </w:rPr>
        <w:t>Support Closed-loop power control for the transmission of SRS for positioning</w:t>
      </w:r>
    </w:p>
    <w:p w14:paraId="32F2FF85" w14:textId="77777777" w:rsidR="00825855" w:rsidRDefault="00825855" w:rsidP="00D275F9">
      <w:pPr>
        <w:rPr>
          <w:rFonts w:cstheme="minorHAnsi"/>
        </w:rPr>
      </w:pPr>
    </w:p>
    <w:p w14:paraId="411D3B69" w14:textId="2F414DC9" w:rsidR="00825855" w:rsidRDefault="00825855" w:rsidP="00825855">
      <w:pPr>
        <w:pStyle w:val="Heading1"/>
        <w:rPr>
          <w:rFonts w:asciiTheme="minorHAnsi" w:hAnsiTheme="minorHAnsi" w:cstheme="minorHAnsi"/>
        </w:rPr>
      </w:pPr>
      <w:r w:rsidRPr="00825855">
        <w:rPr>
          <w:rFonts w:asciiTheme="minorHAnsi" w:hAnsiTheme="minorHAnsi" w:cstheme="minorHAnsi"/>
        </w:rPr>
        <w:t>Improving positioning accuracy</w:t>
      </w:r>
    </w:p>
    <w:p w14:paraId="7751E1E5" w14:textId="09B03756" w:rsidR="00825855" w:rsidRDefault="00825855" w:rsidP="00825855">
      <w:r>
        <w:t xml:space="preserve">In the last </w:t>
      </w:r>
      <w:r w:rsidR="00C30A85">
        <w:t xml:space="preserve">RAN1 103-e meeting, the following </w:t>
      </w:r>
      <w:r>
        <w:t>agreement</w:t>
      </w:r>
      <w:r w:rsidR="00C30A85">
        <w:t>s were</w:t>
      </w:r>
      <w:r>
        <w:t xml:space="preserve"> made:</w:t>
      </w:r>
    </w:p>
    <w:p w14:paraId="014E5500" w14:textId="77777777" w:rsidR="00C30A85" w:rsidRPr="00C30A85" w:rsidRDefault="00C30A85" w:rsidP="00C30A85">
      <w:pPr>
        <w:snapToGrid/>
        <w:spacing w:after="0"/>
        <w:jc w:val="left"/>
        <w:rPr>
          <w:rFonts w:eastAsia="Batang"/>
          <w:sz w:val="20"/>
          <w:szCs w:val="20"/>
          <w:lang w:val="en-GB" w:eastAsia="x-none"/>
        </w:rPr>
      </w:pPr>
      <w:r w:rsidRPr="00C30A85">
        <w:rPr>
          <w:rFonts w:eastAsia="Batang"/>
          <w:sz w:val="20"/>
          <w:szCs w:val="20"/>
          <w:highlight w:val="green"/>
          <w:lang w:val="en-GB" w:eastAsia="x-none"/>
        </w:rPr>
        <w:t>Agreement:</w:t>
      </w:r>
    </w:p>
    <w:p w14:paraId="351FA316" w14:textId="77777777" w:rsidR="00C30A85" w:rsidRPr="00C30A85" w:rsidRDefault="00C30A85" w:rsidP="00C30A85">
      <w:pPr>
        <w:snapToGrid/>
        <w:spacing w:after="0"/>
        <w:jc w:val="left"/>
        <w:rPr>
          <w:rFonts w:eastAsia="Batang"/>
          <w:sz w:val="20"/>
          <w:szCs w:val="20"/>
          <w:lang w:val="en-GB" w:eastAsia="zh-CN"/>
        </w:rPr>
      </w:pPr>
      <w:r w:rsidRPr="00C30A85">
        <w:rPr>
          <w:rFonts w:eastAsia="Batang"/>
          <w:sz w:val="20"/>
          <w:szCs w:val="20"/>
          <w:lang w:val="en-GB" w:eastAsia="zh-CN"/>
        </w:rPr>
        <w:t>Capture the following in the TR:</w:t>
      </w:r>
    </w:p>
    <w:p w14:paraId="19C064C7" w14:textId="77777777" w:rsidR="00C30A85" w:rsidRPr="00C30A85" w:rsidRDefault="00C30A85" w:rsidP="00C30A85">
      <w:pPr>
        <w:numPr>
          <w:ilvl w:val="0"/>
          <w:numId w:val="42"/>
        </w:numPr>
        <w:overflowPunct w:val="0"/>
        <w:autoSpaceDE w:val="0"/>
        <w:autoSpaceDN w:val="0"/>
        <w:adjustRightInd w:val="0"/>
        <w:snapToGrid/>
        <w:spacing w:after="180"/>
        <w:contextualSpacing/>
        <w:jc w:val="left"/>
        <w:textAlignment w:val="baseline"/>
        <w:rPr>
          <w:sz w:val="20"/>
          <w:szCs w:val="20"/>
          <w:lang w:val="en-GB" w:eastAsia="ja-JP"/>
        </w:rPr>
      </w:pPr>
      <w:r w:rsidRPr="00C30A85">
        <w:rPr>
          <w:sz w:val="20"/>
          <w:szCs w:val="20"/>
          <w:lang w:val="en-GB" w:eastAsia="ja-JP"/>
        </w:rPr>
        <w:lastRenderedPageBreak/>
        <w:t xml:space="preserve">The methods, measurements, signaling, and procedures for improving positioning accuracy in the presence of the UE Rx/Tx timing delays, and/or and gNB Rx/Tx timing delays are recommended for normative work, including </w:t>
      </w:r>
    </w:p>
    <w:p w14:paraId="04E6E6D9" w14:textId="77777777" w:rsidR="00C30A85" w:rsidRPr="00C30A85" w:rsidRDefault="00C30A85" w:rsidP="00C30A85">
      <w:pPr>
        <w:numPr>
          <w:ilvl w:val="1"/>
          <w:numId w:val="42"/>
        </w:numPr>
        <w:overflowPunct w:val="0"/>
        <w:autoSpaceDE w:val="0"/>
        <w:autoSpaceDN w:val="0"/>
        <w:adjustRightInd w:val="0"/>
        <w:snapToGrid/>
        <w:spacing w:after="180"/>
        <w:contextualSpacing/>
        <w:jc w:val="left"/>
        <w:textAlignment w:val="baseline"/>
        <w:rPr>
          <w:rFonts w:eastAsia="MS Mincho"/>
          <w:sz w:val="20"/>
          <w:szCs w:val="20"/>
          <w:lang w:val="en-GB" w:eastAsia="ja-JP"/>
        </w:rPr>
      </w:pPr>
      <w:r w:rsidRPr="00C30A85">
        <w:rPr>
          <w:sz w:val="20"/>
          <w:szCs w:val="20"/>
          <w:lang w:val="en-GB" w:eastAsia="ja-JP"/>
        </w:rPr>
        <w:t xml:space="preserve">DL, UL and DL+UL positioning methods </w:t>
      </w:r>
    </w:p>
    <w:p w14:paraId="2932C5AC" w14:textId="77777777" w:rsidR="00C30A85" w:rsidRPr="00C30A85" w:rsidRDefault="00C30A85" w:rsidP="00C30A85">
      <w:pPr>
        <w:numPr>
          <w:ilvl w:val="1"/>
          <w:numId w:val="42"/>
        </w:numPr>
        <w:overflowPunct w:val="0"/>
        <w:autoSpaceDE w:val="0"/>
        <w:autoSpaceDN w:val="0"/>
        <w:adjustRightInd w:val="0"/>
        <w:snapToGrid/>
        <w:spacing w:after="180"/>
        <w:contextualSpacing/>
        <w:jc w:val="left"/>
        <w:textAlignment w:val="baseline"/>
        <w:rPr>
          <w:rFonts w:eastAsia="MS Mincho"/>
          <w:sz w:val="20"/>
          <w:szCs w:val="20"/>
          <w:lang w:val="en-GB" w:eastAsia="ja-JP"/>
        </w:rPr>
      </w:pPr>
      <w:r w:rsidRPr="00C30A85">
        <w:rPr>
          <w:sz w:val="20"/>
          <w:szCs w:val="20"/>
          <w:lang w:val="en-GB" w:eastAsia="ja-JP"/>
        </w:rPr>
        <w:t>UE-based and UE-assisted positioning solutions</w:t>
      </w:r>
    </w:p>
    <w:p w14:paraId="7BDC3AF4" w14:textId="2C9EEF56" w:rsidR="00C30A85" w:rsidRDefault="00C30A85" w:rsidP="00C30A85">
      <w:pPr>
        <w:numPr>
          <w:ilvl w:val="0"/>
          <w:numId w:val="42"/>
        </w:numPr>
        <w:overflowPunct w:val="0"/>
        <w:autoSpaceDE w:val="0"/>
        <w:autoSpaceDN w:val="0"/>
        <w:adjustRightInd w:val="0"/>
        <w:snapToGrid/>
        <w:spacing w:after="180"/>
        <w:contextualSpacing/>
        <w:jc w:val="left"/>
        <w:textAlignment w:val="baseline"/>
        <w:rPr>
          <w:sz w:val="20"/>
          <w:szCs w:val="20"/>
          <w:lang w:val="en-GB" w:eastAsia="ja-JP"/>
        </w:rPr>
      </w:pPr>
      <w:r w:rsidRPr="00C30A85">
        <w:rPr>
          <w:sz w:val="20"/>
          <w:szCs w:val="20"/>
          <w:lang w:val="en-GB" w:eastAsia="ja-JP"/>
        </w:rPr>
        <w:t>Note: The details of the solutions are left for further discussion in normative work.</w:t>
      </w:r>
    </w:p>
    <w:p w14:paraId="1CAFBD8F" w14:textId="0F9F6177" w:rsidR="00C30A85" w:rsidRDefault="00C30A85" w:rsidP="00C30A85">
      <w:pPr>
        <w:overflowPunct w:val="0"/>
        <w:autoSpaceDE w:val="0"/>
        <w:autoSpaceDN w:val="0"/>
        <w:adjustRightInd w:val="0"/>
        <w:snapToGrid/>
        <w:spacing w:after="180"/>
        <w:ind w:left="720"/>
        <w:contextualSpacing/>
        <w:jc w:val="left"/>
        <w:textAlignment w:val="baseline"/>
        <w:rPr>
          <w:sz w:val="20"/>
          <w:szCs w:val="20"/>
          <w:lang w:val="en-GB" w:eastAsia="ja-JP"/>
        </w:rPr>
      </w:pPr>
    </w:p>
    <w:p w14:paraId="706ACE65" w14:textId="4C7CF36C" w:rsidR="00C30A85" w:rsidRDefault="00C30A85" w:rsidP="00C30A85">
      <w:pPr>
        <w:overflowPunct w:val="0"/>
        <w:autoSpaceDE w:val="0"/>
        <w:autoSpaceDN w:val="0"/>
        <w:adjustRightInd w:val="0"/>
        <w:snapToGrid/>
        <w:spacing w:after="180"/>
        <w:ind w:left="720"/>
        <w:contextualSpacing/>
        <w:jc w:val="left"/>
        <w:textAlignment w:val="baseline"/>
        <w:rPr>
          <w:sz w:val="20"/>
          <w:szCs w:val="20"/>
          <w:lang w:val="en-GB" w:eastAsia="ja-JP"/>
        </w:rPr>
      </w:pPr>
    </w:p>
    <w:p w14:paraId="70936474" w14:textId="61819765" w:rsidR="00C30A85" w:rsidRDefault="00C30A85" w:rsidP="00C30A85">
      <w:pPr>
        <w:overflowPunct w:val="0"/>
        <w:autoSpaceDE w:val="0"/>
        <w:autoSpaceDN w:val="0"/>
        <w:adjustRightInd w:val="0"/>
        <w:snapToGrid/>
        <w:spacing w:after="180"/>
        <w:ind w:left="720"/>
        <w:contextualSpacing/>
        <w:jc w:val="left"/>
        <w:textAlignment w:val="baseline"/>
        <w:rPr>
          <w:sz w:val="20"/>
          <w:szCs w:val="20"/>
          <w:lang w:val="en-GB" w:eastAsia="ja-JP"/>
        </w:rPr>
      </w:pPr>
    </w:p>
    <w:p w14:paraId="4399F534" w14:textId="77777777" w:rsidR="00C30A85" w:rsidRDefault="00C30A85" w:rsidP="00C30A85">
      <w:pPr>
        <w:overflowPunct w:val="0"/>
        <w:autoSpaceDE w:val="0"/>
        <w:autoSpaceDN w:val="0"/>
        <w:adjustRightInd w:val="0"/>
        <w:snapToGrid/>
        <w:spacing w:after="180"/>
        <w:ind w:left="720"/>
        <w:contextualSpacing/>
        <w:jc w:val="left"/>
        <w:textAlignment w:val="baseline"/>
        <w:rPr>
          <w:sz w:val="20"/>
          <w:szCs w:val="20"/>
          <w:lang w:val="en-GB" w:eastAsia="ja-JP"/>
        </w:rPr>
      </w:pPr>
    </w:p>
    <w:p w14:paraId="36EBD035" w14:textId="77777777" w:rsidR="00C30A85" w:rsidRPr="00C30A85" w:rsidRDefault="00C30A85" w:rsidP="00C30A85">
      <w:pPr>
        <w:overflowPunct w:val="0"/>
        <w:autoSpaceDE w:val="0"/>
        <w:autoSpaceDN w:val="0"/>
        <w:adjustRightInd w:val="0"/>
        <w:snapToGrid/>
        <w:spacing w:after="180"/>
        <w:ind w:left="720"/>
        <w:contextualSpacing/>
        <w:jc w:val="left"/>
        <w:textAlignment w:val="baseline"/>
        <w:rPr>
          <w:sz w:val="20"/>
          <w:szCs w:val="20"/>
          <w:lang w:val="en-GB" w:eastAsia="ja-JP"/>
        </w:rPr>
      </w:pPr>
    </w:p>
    <w:p w14:paraId="2563AC8B" w14:textId="77777777" w:rsidR="00C30A85" w:rsidRPr="00C30A85" w:rsidRDefault="00C30A85" w:rsidP="00C30A85">
      <w:pPr>
        <w:snapToGrid/>
        <w:spacing w:after="0"/>
        <w:jc w:val="left"/>
        <w:rPr>
          <w:rFonts w:eastAsia="Batang"/>
          <w:sz w:val="20"/>
          <w:szCs w:val="20"/>
          <w:lang w:val="en-GB" w:eastAsia="x-none"/>
        </w:rPr>
      </w:pPr>
      <w:r w:rsidRPr="00C30A85">
        <w:rPr>
          <w:rFonts w:eastAsia="Batang"/>
          <w:sz w:val="20"/>
          <w:szCs w:val="20"/>
          <w:highlight w:val="green"/>
          <w:lang w:val="en-GB" w:eastAsia="x-none"/>
        </w:rPr>
        <w:t>Agreement:</w:t>
      </w:r>
    </w:p>
    <w:p w14:paraId="7BDF0BFC" w14:textId="77777777" w:rsidR="00C30A85" w:rsidRPr="00C30A85" w:rsidRDefault="00C30A85" w:rsidP="00C30A85">
      <w:pPr>
        <w:snapToGrid/>
        <w:spacing w:after="0"/>
        <w:jc w:val="left"/>
        <w:rPr>
          <w:rFonts w:eastAsia="Batang"/>
          <w:sz w:val="20"/>
          <w:szCs w:val="20"/>
          <w:lang w:val="en-GB" w:eastAsia="x-none"/>
        </w:rPr>
      </w:pPr>
      <w:r w:rsidRPr="00C30A85">
        <w:rPr>
          <w:rFonts w:eastAsia="Batang"/>
          <w:sz w:val="20"/>
          <w:szCs w:val="20"/>
          <w:lang w:val="en-GB" w:eastAsia="x-none"/>
        </w:rPr>
        <w:t>Capture the following in the TR:</w:t>
      </w:r>
    </w:p>
    <w:p w14:paraId="36DBCB4B" w14:textId="77777777" w:rsidR="00C30A85" w:rsidRPr="00C30A85" w:rsidRDefault="00C30A85" w:rsidP="00C30A85">
      <w:pPr>
        <w:numPr>
          <w:ilvl w:val="0"/>
          <w:numId w:val="43"/>
        </w:numPr>
        <w:snapToGrid/>
        <w:spacing w:after="0" w:line="276" w:lineRule="auto"/>
        <w:jc w:val="left"/>
        <w:rPr>
          <w:rFonts w:eastAsia="Batang"/>
          <w:sz w:val="20"/>
          <w:szCs w:val="20"/>
          <w:lang w:val="en-GB"/>
        </w:rPr>
      </w:pPr>
      <w:r w:rsidRPr="00C30A85">
        <w:rPr>
          <w:rFonts w:eastAsia="Batang"/>
          <w:sz w:val="20"/>
          <w:szCs w:val="20"/>
          <w:lang w:val="en-GB"/>
        </w:rPr>
        <w:t xml:space="preserve">The enhancements of signaling &amp; procedures for reducing NR positioning latency are recommended for normative work, including DL and DL+UL positioning methods  </w:t>
      </w:r>
    </w:p>
    <w:p w14:paraId="2912C2C1" w14:textId="77777777" w:rsidR="00C30A85" w:rsidRPr="00C30A85" w:rsidRDefault="00C30A85" w:rsidP="00C30A85">
      <w:pPr>
        <w:numPr>
          <w:ilvl w:val="1"/>
          <w:numId w:val="43"/>
        </w:numPr>
        <w:snapToGrid/>
        <w:spacing w:after="0" w:line="276" w:lineRule="auto"/>
        <w:jc w:val="left"/>
        <w:rPr>
          <w:rFonts w:eastAsia="Batang"/>
          <w:sz w:val="20"/>
          <w:szCs w:val="20"/>
          <w:lang w:val="en-GB"/>
        </w:rPr>
      </w:pPr>
      <w:r w:rsidRPr="00C30A85">
        <w:rPr>
          <w:rFonts w:eastAsia="Batang"/>
          <w:sz w:val="20"/>
          <w:szCs w:val="20"/>
          <w:lang w:val="en-GB"/>
        </w:rPr>
        <w:t>The details of the solutions are left for further discussion in normative work, which may include the following aspects:</w:t>
      </w:r>
    </w:p>
    <w:p w14:paraId="4FC63D08" w14:textId="77777777" w:rsidR="00C30A85" w:rsidRPr="00C30A85" w:rsidRDefault="00C30A85" w:rsidP="00C30A85">
      <w:pPr>
        <w:numPr>
          <w:ilvl w:val="2"/>
          <w:numId w:val="43"/>
        </w:numPr>
        <w:snapToGrid/>
        <w:spacing w:after="0" w:line="276" w:lineRule="auto"/>
        <w:jc w:val="left"/>
        <w:rPr>
          <w:rFonts w:eastAsia="Batang"/>
          <w:sz w:val="20"/>
          <w:szCs w:val="20"/>
          <w:lang w:val="en-GB"/>
        </w:rPr>
      </w:pPr>
      <w:r w:rsidRPr="00C30A85">
        <w:rPr>
          <w:rFonts w:eastAsia="Batang"/>
          <w:sz w:val="20"/>
          <w:szCs w:val="20"/>
          <w:lang w:val="en-GB"/>
        </w:rPr>
        <w:t>Latency reduction related to the measurement gap</w:t>
      </w:r>
    </w:p>
    <w:p w14:paraId="03202A5C" w14:textId="77777777" w:rsidR="00C30A85" w:rsidRPr="00C30A85" w:rsidRDefault="00C30A85" w:rsidP="00C30A85">
      <w:pPr>
        <w:numPr>
          <w:ilvl w:val="2"/>
          <w:numId w:val="43"/>
        </w:numPr>
        <w:snapToGrid/>
        <w:spacing w:after="0" w:line="276" w:lineRule="auto"/>
        <w:jc w:val="left"/>
        <w:rPr>
          <w:rFonts w:eastAsia="Batang"/>
          <w:sz w:val="20"/>
          <w:szCs w:val="20"/>
          <w:lang w:val="en-GB"/>
        </w:rPr>
      </w:pPr>
      <w:r w:rsidRPr="00C30A85">
        <w:rPr>
          <w:rFonts w:eastAsia="Batang"/>
          <w:sz w:val="20"/>
          <w:szCs w:val="20"/>
          <w:lang w:val="en-GB"/>
        </w:rPr>
        <w:t>Latency reduction related to the reporting and request of the measurements (e.g., via RRC signaling, MAC-CE and/or physical layer procedure, and/or priority rules)</w:t>
      </w:r>
    </w:p>
    <w:p w14:paraId="0405C5B8" w14:textId="77777777" w:rsidR="00C30A85" w:rsidRPr="00C30A85" w:rsidRDefault="00C30A85" w:rsidP="00C30A85">
      <w:pPr>
        <w:numPr>
          <w:ilvl w:val="2"/>
          <w:numId w:val="43"/>
        </w:numPr>
        <w:snapToGrid/>
        <w:spacing w:after="0" w:line="276" w:lineRule="auto"/>
        <w:jc w:val="left"/>
        <w:rPr>
          <w:rFonts w:eastAsia="Batang"/>
          <w:sz w:val="20"/>
          <w:szCs w:val="20"/>
          <w:lang w:val="en-GB"/>
        </w:rPr>
      </w:pPr>
      <w:r w:rsidRPr="00C30A85">
        <w:rPr>
          <w:rFonts w:eastAsia="Batang"/>
          <w:sz w:val="20"/>
          <w:szCs w:val="20"/>
          <w:lang w:val="en-GB"/>
        </w:rPr>
        <w:t>Latency reduction related to measurement time</w:t>
      </w:r>
    </w:p>
    <w:p w14:paraId="6C7EE375" w14:textId="77777777" w:rsidR="00C30A85" w:rsidRPr="00C30A85" w:rsidRDefault="00C30A85" w:rsidP="00C30A85">
      <w:pPr>
        <w:numPr>
          <w:ilvl w:val="0"/>
          <w:numId w:val="43"/>
        </w:numPr>
        <w:snapToGrid/>
        <w:spacing w:after="0" w:line="276" w:lineRule="auto"/>
        <w:jc w:val="left"/>
        <w:rPr>
          <w:rFonts w:eastAsia="Batang"/>
          <w:sz w:val="20"/>
          <w:szCs w:val="20"/>
          <w:lang w:val="en-GB"/>
        </w:rPr>
      </w:pPr>
      <w:r w:rsidRPr="00C30A85">
        <w:rPr>
          <w:rFonts w:eastAsia="Batang"/>
          <w:sz w:val="20"/>
          <w:szCs w:val="20"/>
          <w:lang w:val="en-GB"/>
        </w:rPr>
        <w:t>The following enhancements of signaling &amp; procedures for reducing NR positioning latency can be studied and specified, if needed</w:t>
      </w:r>
    </w:p>
    <w:p w14:paraId="5AE8F881" w14:textId="77777777" w:rsidR="00C30A85" w:rsidRPr="00C30A85" w:rsidRDefault="00C30A85" w:rsidP="00C30A85">
      <w:pPr>
        <w:numPr>
          <w:ilvl w:val="1"/>
          <w:numId w:val="43"/>
        </w:numPr>
        <w:snapToGrid/>
        <w:spacing w:after="0" w:line="276" w:lineRule="auto"/>
        <w:jc w:val="left"/>
        <w:rPr>
          <w:rFonts w:eastAsia="Batang"/>
          <w:sz w:val="20"/>
          <w:szCs w:val="20"/>
          <w:lang w:val="en-GB"/>
        </w:rPr>
      </w:pPr>
      <w:r w:rsidRPr="00C30A85">
        <w:rPr>
          <w:rFonts w:eastAsia="Batang"/>
          <w:sz w:val="20"/>
          <w:szCs w:val="20"/>
          <w:lang w:val="en-GB"/>
        </w:rPr>
        <w:t>Latency reduction related to the request and response of positioning assistance data (e.g., via RRC signaling, MAC-CE and/or physical layer procedure)</w:t>
      </w:r>
    </w:p>
    <w:p w14:paraId="369244E8" w14:textId="77777777" w:rsidR="00C30A85" w:rsidRPr="00C30A85" w:rsidRDefault="00C30A85" w:rsidP="00C30A85">
      <w:pPr>
        <w:numPr>
          <w:ilvl w:val="1"/>
          <w:numId w:val="43"/>
        </w:numPr>
        <w:snapToGrid/>
        <w:spacing w:after="0" w:line="276" w:lineRule="auto"/>
        <w:jc w:val="left"/>
        <w:rPr>
          <w:rFonts w:eastAsia="Batang"/>
          <w:sz w:val="20"/>
          <w:szCs w:val="20"/>
          <w:lang w:val="en-GB"/>
        </w:rPr>
      </w:pPr>
      <w:r w:rsidRPr="00C30A85">
        <w:rPr>
          <w:rFonts w:eastAsia="Batang"/>
          <w:sz w:val="20"/>
          <w:szCs w:val="20"/>
          <w:lang w:val="en-GB"/>
        </w:rPr>
        <w:t>Latency reduction related to the reception of DL PRS (e.g., priority rules for the reception of DL PRS)</w:t>
      </w:r>
    </w:p>
    <w:p w14:paraId="246A3C2B" w14:textId="77777777" w:rsidR="00C30A85" w:rsidRPr="00C30A85" w:rsidRDefault="00C30A85" w:rsidP="00C30A85">
      <w:pPr>
        <w:numPr>
          <w:ilvl w:val="0"/>
          <w:numId w:val="43"/>
        </w:numPr>
        <w:snapToGrid/>
        <w:spacing w:after="0" w:line="276" w:lineRule="auto"/>
        <w:jc w:val="left"/>
        <w:rPr>
          <w:rFonts w:eastAsia="Batang"/>
          <w:sz w:val="20"/>
          <w:szCs w:val="20"/>
          <w:lang w:val="en-GB"/>
        </w:rPr>
      </w:pPr>
      <w:r w:rsidRPr="00C30A85">
        <w:rPr>
          <w:rFonts w:eastAsia="Batang"/>
          <w:sz w:val="20"/>
          <w:szCs w:val="20"/>
          <w:lang w:val="en-GB"/>
        </w:rPr>
        <w:t>No assumptions are made on whether the LCS architecture specified in TS 23.273 is enhanced or not.</w:t>
      </w:r>
    </w:p>
    <w:p w14:paraId="1A2D296C" w14:textId="77777777" w:rsidR="00C30A85" w:rsidRDefault="00C30A85" w:rsidP="00825855">
      <w:pPr>
        <w:snapToGrid/>
        <w:spacing w:after="0"/>
        <w:jc w:val="left"/>
        <w:rPr>
          <w:lang w:val="en-GB"/>
        </w:rPr>
      </w:pPr>
    </w:p>
    <w:p w14:paraId="147B89BD" w14:textId="03DB9995" w:rsidR="00825855" w:rsidRDefault="00825855" w:rsidP="00825855">
      <w:pPr>
        <w:rPr>
          <w:lang w:val="en-GB"/>
        </w:rPr>
      </w:pPr>
    </w:p>
    <w:p w14:paraId="1A9FADEA" w14:textId="08A6D542" w:rsidR="00E94E7D" w:rsidRDefault="00E94E7D" w:rsidP="00825855">
      <w:pPr>
        <w:rPr>
          <w:lang w:val="en-GB"/>
        </w:rPr>
      </w:pPr>
      <w:r>
        <w:rPr>
          <w:lang w:val="en-GB"/>
        </w:rPr>
        <w:t xml:space="preserve">In out of coverage scenario, </w:t>
      </w:r>
      <w:r w:rsidR="00766D83">
        <w:rPr>
          <w:lang w:val="en-GB"/>
        </w:rPr>
        <w:t xml:space="preserve">positioning </w:t>
      </w:r>
      <w:r>
        <w:rPr>
          <w:lang w:val="en-GB"/>
        </w:rPr>
        <w:t xml:space="preserve">accuracy </w:t>
      </w:r>
      <w:r w:rsidR="005D2862">
        <w:rPr>
          <w:lang w:val="en-GB"/>
        </w:rPr>
        <w:t xml:space="preserve">and acquisition delays could be compromised due to the lack of GNSS or cellular positioning service. This could happen in scenarios where a user switches from in coverage to out-of-coverage zone </w:t>
      </w:r>
      <w:r w:rsidR="00F86427">
        <w:rPr>
          <w:lang w:val="en-GB"/>
        </w:rPr>
        <w:t xml:space="preserve">or vice versa, in the entry or exit from a tunnel or underground </w:t>
      </w:r>
      <w:r w:rsidR="00C27DFD">
        <w:rPr>
          <w:lang w:val="en-GB"/>
        </w:rPr>
        <w:t xml:space="preserve">parking for instance. Switching from positioning service to another should be assisted in order to reduce the switching operation latency. Positioning assistance information could be transmitted from the last node of a positioning system to a UE when the latter is about to enter another </w:t>
      </w:r>
      <w:r w:rsidR="00B7698E">
        <w:rPr>
          <w:lang w:val="en-GB"/>
        </w:rPr>
        <w:t>localization system</w:t>
      </w:r>
      <w:r w:rsidR="00A911C3">
        <w:rPr>
          <w:lang w:val="en-GB"/>
        </w:rPr>
        <w:t xml:space="preserve"> area</w:t>
      </w:r>
      <w:r w:rsidR="00B7698E">
        <w:rPr>
          <w:lang w:val="en-GB"/>
        </w:rPr>
        <w:t>. We give below an example of such scenario.</w:t>
      </w:r>
    </w:p>
    <w:p w14:paraId="7B3FCE7D" w14:textId="77777777" w:rsidR="00B7698E" w:rsidRDefault="00B7698E" w:rsidP="00B7698E">
      <w:pPr>
        <w:keepNext/>
        <w:jc w:val="center"/>
      </w:pPr>
      <w:r w:rsidRPr="001B44CD">
        <w:rPr>
          <w:rFonts w:ascii="Calibri" w:hAnsi="Calibri"/>
          <w:noProof/>
          <w:szCs w:val="20"/>
          <w:lang w:val="fr-FR" w:eastAsia="fr-FR"/>
        </w:rPr>
        <w:lastRenderedPageBreak/>
        <w:drawing>
          <wp:inline distT="0" distB="0" distL="0" distR="0" wp14:anchorId="71E31566" wp14:editId="272B4F11">
            <wp:extent cx="5543550" cy="3118175"/>
            <wp:effectExtent l="0" t="0" r="0" b="6350"/>
            <wp:docPr id="1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1"/>
                    <pic:cNvPicPr>
                      <a:picLocks noChangeAspect="1" noChangeArrowheads="1"/>
                    </pic:cNvPicPr>
                  </pic:nvPicPr>
                  <pic:blipFill>
                    <a:blip r:embed="rId11"/>
                    <a:stretch>
                      <a:fillRect/>
                    </a:stretch>
                  </pic:blipFill>
                  <pic:spPr bwMode="auto">
                    <a:xfrm>
                      <a:off x="0" y="0"/>
                      <a:ext cx="5554335" cy="3124242"/>
                    </a:xfrm>
                    <a:prstGeom prst="rect">
                      <a:avLst/>
                    </a:prstGeom>
                  </pic:spPr>
                </pic:pic>
              </a:graphicData>
            </a:graphic>
          </wp:inline>
        </w:drawing>
      </w:r>
    </w:p>
    <w:p w14:paraId="02389F9A" w14:textId="3C316423" w:rsidR="00B7698E" w:rsidRDefault="00B7698E" w:rsidP="00B7698E">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Pr="00B8244C">
        <w:t>Positioning assistance via network for O</w:t>
      </w:r>
      <w:r>
        <w:t xml:space="preserve">ut Of Coverage </w:t>
      </w:r>
      <w:r w:rsidRPr="00B8244C">
        <w:t>positioning</w:t>
      </w:r>
    </w:p>
    <w:p w14:paraId="63444060" w14:textId="77777777" w:rsidR="00B7698E" w:rsidRDefault="00B7698E" w:rsidP="00B7698E">
      <w:pPr>
        <w:jc w:val="left"/>
        <w:rPr>
          <w:rFonts w:ascii="Calibri" w:hAnsi="Calibri"/>
          <w:szCs w:val="20"/>
          <w:lang w:val="en-GB" w:eastAsia="zh-CN"/>
        </w:rPr>
      </w:pPr>
    </w:p>
    <w:p w14:paraId="605D6B51" w14:textId="389A07DC" w:rsidR="00B7698E" w:rsidRDefault="00B7698E" w:rsidP="00B7698E">
      <w:pPr>
        <w:jc w:val="left"/>
        <w:rPr>
          <w:rFonts w:ascii="Calibri" w:hAnsi="Calibri"/>
          <w:szCs w:val="20"/>
          <w:lang w:val="en-GB" w:eastAsia="zh-CN"/>
        </w:rPr>
      </w:pPr>
      <w:r>
        <w:rPr>
          <w:rFonts w:ascii="Calibri" w:hAnsi="Calibri"/>
          <w:szCs w:val="20"/>
          <w:lang w:val="en-GB" w:eastAsia="zh-CN"/>
        </w:rPr>
        <w:t>We consider a scenario where UE are passing through a tunnel where there is no GNSS-based or network-based positioning service, in a tunnel for instance. In the tunnel, fixed or moving Road Side units take over</w:t>
      </w:r>
      <w:r w:rsidR="00FF52EF">
        <w:rPr>
          <w:rFonts w:ascii="Calibri" w:hAnsi="Calibri"/>
          <w:szCs w:val="20"/>
          <w:lang w:val="en-GB" w:eastAsia="zh-CN"/>
        </w:rPr>
        <w:t xml:space="preserve"> the positioning service for UEs inside. Outside the tunnel,</w:t>
      </w:r>
      <w:r>
        <w:rPr>
          <w:rFonts w:ascii="Calibri" w:hAnsi="Calibri"/>
          <w:szCs w:val="20"/>
          <w:lang w:val="en-GB" w:eastAsia="zh-CN"/>
        </w:rPr>
        <w:t xml:space="preserve"> </w:t>
      </w:r>
      <w:r w:rsidR="00FF52EF">
        <w:rPr>
          <w:rFonts w:ascii="Calibri" w:hAnsi="Calibri"/>
          <w:szCs w:val="20"/>
          <w:lang w:val="en-GB" w:eastAsia="zh-CN"/>
        </w:rPr>
        <w:t>w</w:t>
      </w:r>
      <w:r w:rsidRPr="001B44CD">
        <w:rPr>
          <w:rFonts w:ascii="Calibri" w:hAnsi="Calibri"/>
          <w:szCs w:val="20"/>
          <w:lang w:val="en-GB" w:eastAsia="zh-CN"/>
        </w:rPr>
        <w:t xml:space="preserve">hen UE1 is in a </w:t>
      </w:r>
      <w:r w:rsidR="00FF52EF">
        <w:rPr>
          <w:rFonts w:ascii="Calibri" w:hAnsi="Calibri"/>
          <w:szCs w:val="20"/>
          <w:lang w:val="en-GB" w:eastAsia="zh-CN"/>
        </w:rPr>
        <w:t>configured position P1</w:t>
      </w:r>
      <w:r w:rsidRPr="001B44CD">
        <w:rPr>
          <w:rFonts w:ascii="Calibri" w:hAnsi="Calibri"/>
          <w:szCs w:val="20"/>
          <w:lang w:val="en-GB" w:eastAsia="zh-CN"/>
        </w:rPr>
        <w:t xml:space="preserve">, it receives positioning assistance data from its serving cell, here gNB3.  </w:t>
      </w:r>
      <w:r>
        <w:rPr>
          <w:rFonts w:ascii="Calibri" w:hAnsi="Calibri"/>
          <w:szCs w:val="20"/>
          <w:lang w:val="en-GB" w:eastAsia="zh-CN"/>
        </w:rPr>
        <w:t>T</w:t>
      </w:r>
      <w:r w:rsidRPr="001B44CD">
        <w:rPr>
          <w:rFonts w:ascii="Calibri" w:hAnsi="Calibri"/>
          <w:szCs w:val="20"/>
          <w:lang w:val="en-GB" w:eastAsia="zh-CN"/>
        </w:rPr>
        <w:t>he transmission of assistance data could be triggered by a UE request or directly from network upon detection (and potentially notification) of imminent transition from an IC to an OOC zone.</w:t>
      </w:r>
      <w:r w:rsidR="00FF52EF">
        <w:rPr>
          <w:rFonts w:ascii="Calibri" w:hAnsi="Calibri"/>
          <w:szCs w:val="20"/>
          <w:lang w:val="en-GB" w:eastAsia="zh-CN"/>
        </w:rPr>
        <w:t xml:space="preserve"> Assistance data comprises all information required by UE to be able to acquire its position in the tunnel such as the</w:t>
      </w:r>
      <w:r w:rsidR="00017178">
        <w:rPr>
          <w:rFonts w:ascii="Calibri" w:hAnsi="Calibri"/>
          <w:szCs w:val="20"/>
          <w:lang w:val="en-GB" w:eastAsia="zh-CN"/>
        </w:rPr>
        <w:t xml:space="preserve"> list and the</w:t>
      </w:r>
      <w:r w:rsidR="00FF52EF">
        <w:rPr>
          <w:rFonts w:ascii="Calibri" w:hAnsi="Calibri"/>
          <w:szCs w:val="20"/>
          <w:lang w:val="en-GB" w:eastAsia="zh-CN"/>
        </w:rPr>
        <w:t xml:space="preserve"> position of </w:t>
      </w:r>
      <w:r w:rsidR="00017178">
        <w:rPr>
          <w:rFonts w:ascii="Calibri" w:hAnsi="Calibri"/>
          <w:szCs w:val="20"/>
          <w:lang w:val="en-GB" w:eastAsia="zh-CN"/>
        </w:rPr>
        <w:t xml:space="preserve">each </w:t>
      </w:r>
      <w:r w:rsidR="00FF52EF">
        <w:rPr>
          <w:rFonts w:ascii="Calibri" w:hAnsi="Calibri"/>
          <w:szCs w:val="20"/>
          <w:lang w:val="en-GB" w:eastAsia="zh-CN"/>
        </w:rPr>
        <w:t>RSU</w:t>
      </w:r>
      <w:r w:rsidR="00017178">
        <w:rPr>
          <w:rFonts w:ascii="Calibri" w:hAnsi="Calibri"/>
          <w:szCs w:val="20"/>
          <w:lang w:val="en-GB" w:eastAsia="zh-CN"/>
        </w:rPr>
        <w:t xml:space="preserve"> and positioning signal characteristics they transmit. Similarly, at the exit of the tunnel, UE3 at a configured position P3 (about to switch to in Coverage zone) receives assistance information from RSU3 to help UE3 find positioning signals from gNB4 it will camp on once in coverage again.   </w:t>
      </w:r>
    </w:p>
    <w:p w14:paraId="082C4589" w14:textId="25745E9B" w:rsidR="00017178" w:rsidRDefault="00017178" w:rsidP="00B7698E">
      <w:pPr>
        <w:jc w:val="left"/>
        <w:rPr>
          <w:rFonts w:ascii="Calibri" w:hAnsi="Calibri"/>
          <w:szCs w:val="20"/>
          <w:lang w:val="en-GB" w:eastAsia="zh-CN"/>
        </w:rPr>
      </w:pPr>
    </w:p>
    <w:p w14:paraId="6647C446" w14:textId="149AB125" w:rsidR="00017178" w:rsidRDefault="00017178" w:rsidP="00017178">
      <w:pPr>
        <w:rPr>
          <w:rFonts w:cstheme="minorHAnsi"/>
        </w:rPr>
      </w:pPr>
      <w:r>
        <w:rPr>
          <w:rFonts w:cstheme="minorHAnsi"/>
          <w:b/>
        </w:rPr>
        <w:t>Proposal</w:t>
      </w:r>
      <w:r>
        <w:rPr>
          <w:rFonts w:cstheme="minorHAnsi"/>
        </w:rPr>
        <w:t xml:space="preserve"> </w:t>
      </w:r>
      <w:r w:rsidR="00444A2E">
        <w:rPr>
          <w:rFonts w:cstheme="minorHAnsi"/>
          <w:b/>
        </w:rPr>
        <w:t>2</w:t>
      </w:r>
      <w:r>
        <w:rPr>
          <w:rFonts w:cstheme="minorHAnsi"/>
          <w:b/>
        </w:rPr>
        <w:t xml:space="preserve">: </w:t>
      </w:r>
      <w:r>
        <w:rPr>
          <w:rFonts w:cstheme="minorHAnsi"/>
        </w:rPr>
        <w:t>Support</w:t>
      </w:r>
      <w:r w:rsidR="00A911C3">
        <w:rPr>
          <w:rFonts w:cstheme="minorHAnsi"/>
        </w:rPr>
        <w:t xml:space="preserve"> transmission of</w:t>
      </w:r>
      <w:r>
        <w:rPr>
          <w:rFonts w:cstheme="minorHAnsi"/>
        </w:rPr>
        <w:t xml:space="preserve"> assistance information </w:t>
      </w:r>
      <w:r w:rsidR="00A911C3">
        <w:rPr>
          <w:rFonts w:cstheme="minorHAnsi"/>
        </w:rPr>
        <w:t>to UEs switching between positioning systems to reduce position acquisition delay.</w:t>
      </w:r>
    </w:p>
    <w:p w14:paraId="6608C3BE" w14:textId="77777777" w:rsidR="00825855" w:rsidRPr="00825855" w:rsidRDefault="00825855" w:rsidP="00825855">
      <w:pPr>
        <w:rPr>
          <w:lang w:val="en-GB"/>
        </w:rPr>
      </w:pPr>
      <w:bookmarkStart w:id="0" w:name="_GoBack"/>
      <w:bookmarkEnd w:id="0"/>
    </w:p>
    <w:p w14:paraId="3A5B96AA" w14:textId="5AD7AA78" w:rsidR="00BE2265" w:rsidRPr="008645B4" w:rsidRDefault="00BE2265" w:rsidP="00AE4D1C">
      <w:pPr>
        <w:pStyle w:val="Heading1"/>
        <w:rPr>
          <w:rFonts w:asciiTheme="minorHAnsi" w:hAnsiTheme="minorHAnsi" w:cstheme="minorHAnsi"/>
        </w:rPr>
      </w:pPr>
      <w:r w:rsidRPr="008645B4">
        <w:rPr>
          <w:rFonts w:asciiTheme="minorHAnsi" w:hAnsiTheme="minorHAnsi" w:cstheme="minorHAnsi"/>
        </w:rPr>
        <w:t>Conclusions</w:t>
      </w:r>
    </w:p>
    <w:p w14:paraId="1EB392A4" w14:textId="2F0EA595" w:rsidR="00AE4D1C" w:rsidRDefault="007606B8" w:rsidP="00AE4D1C">
      <w:pPr>
        <w:rPr>
          <w:rFonts w:asciiTheme="minorHAnsi" w:hAnsiTheme="minorHAnsi" w:cstheme="minorHAnsi"/>
        </w:rPr>
      </w:pPr>
      <w:r>
        <w:rPr>
          <w:rFonts w:asciiTheme="minorHAnsi" w:hAnsiTheme="minorHAnsi" w:cstheme="minorHAnsi"/>
        </w:rPr>
        <w:t>Following proposals have been made in this document:</w:t>
      </w:r>
    </w:p>
    <w:p w14:paraId="1AB013BC" w14:textId="19EC90B9" w:rsidR="001C693A" w:rsidRDefault="00D275F9" w:rsidP="001C693A">
      <w:pPr>
        <w:rPr>
          <w:rFonts w:cstheme="minorHAnsi"/>
        </w:rPr>
      </w:pPr>
      <w:r>
        <w:rPr>
          <w:rFonts w:cstheme="minorHAnsi"/>
          <w:b/>
        </w:rPr>
        <w:t>Proposal</w:t>
      </w:r>
      <w:r>
        <w:rPr>
          <w:rFonts w:cstheme="minorHAnsi"/>
        </w:rPr>
        <w:t xml:space="preserve"> </w:t>
      </w:r>
      <w:r w:rsidR="00444A2E">
        <w:rPr>
          <w:rFonts w:cstheme="minorHAnsi"/>
          <w:b/>
        </w:rPr>
        <w:t>1</w:t>
      </w:r>
      <w:r>
        <w:rPr>
          <w:rFonts w:cstheme="minorHAnsi"/>
          <w:b/>
        </w:rPr>
        <w:t xml:space="preserve">: </w:t>
      </w:r>
      <w:r>
        <w:rPr>
          <w:rFonts w:cstheme="minorHAnsi"/>
        </w:rPr>
        <w:t>Support Closed-loop power control for the transmission of SRS for positioning</w:t>
      </w:r>
      <w:r w:rsidR="00A911C3">
        <w:rPr>
          <w:rFonts w:cstheme="minorHAnsi"/>
        </w:rPr>
        <w:t>.</w:t>
      </w:r>
    </w:p>
    <w:p w14:paraId="5B8EA7DE" w14:textId="0F8AE658" w:rsidR="00A911C3" w:rsidRDefault="00A911C3" w:rsidP="00A911C3">
      <w:pPr>
        <w:rPr>
          <w:rFonts w:cstheme="minorHAnsi"/>
        </w:rPr>
      </w:pPr>
      <w:r>
        <w:rPr>
          <w:rFonts w:cstheme="minorHAnsi"/>
          <w:b/>
        </w:rPr>
        <w:t>Proposal</w:t>
      </w:r>
      <w:r>
        <w:rPr>
          <w:rFonts w:cstheme="minorHAnsi"/>
        </w:rPr>
        <w:t xml:space="preserve"> </w:t>
      </w:r>
      <w:r w:rsidR="00444A2E">
        <w:rPr>
          <w:rFonts w:cstheme="minorHAnsi"/>
          <w:b/>
        </w:rPr>
        <w:t>2</w:t>
      </w:r>
      <w:r>
        <w:rPr>
          <w:rFonts w:cstheme="minorHAnsi"/>
          <w:b/>
        </w:rPr>
        <w:t xml:space="preserve">: </w:t>
      </w:r>
      <w:r>
        <w:rPr>
          <w:rFonts w:cstheme="minorHAnsi"/>
        </w:rPr>
        <w:t>Support transmission of assistance information to UEs switching between positioning systems to reduce position acquisition delay.</w:t>
      </w:r>
    </w:p>
    <w:p w14:paraId="06A1DD81" w14:textId="16DEAB47" w:rsidR="006A1574" w:rsidRDefault="006A1574" w:rsidP="006A1574">
      <w:pPr>
        <w:rPr>
          <w:rFonts w:cstheme="minorBidi"/>
          <w:lang w:val="en-GB"/>
        </w:rPr>
      </w:pPr>
    </w:p>
    <w:sdt>
      <w:sdtPr>
        <w:rPr>
          <w:b w:val="0"/>
          <w:bCs w:val="0"/>
          <w:sz w:val="22"/>
          <w:szCs w:val="22"/>
        </w:rPr>
        <w:id w:val="2108841963"/>
        <w:docPartObj>
          <w:docPartGallery w:val="Bibliographies"/>
          <w:docPartUnique/>
        </w:docPartObj>
      </w:sdtPr>
      <w:sdtEndPr/>
      <w:sdtContent>
        <w:p w14:paraId="2BA42959" w14:textId="11F3538F" w:rsidR="00A73E5D" w:rsidRDefault="00A73E5D">
          <w:pPr>
            <w:pStyle w:val="Heading1"/>
          </w:pPr>
          <w:r>
            <w:t>References</w:t>
          </w:r>
        </w:p>
        <w:sdt>
          <w:sdtPr>
            <w:id w:val="-573587230"/>
            <w:bibliography/>
          </w:sdtPr>
          <w:sdtEndPr/>
          <w:sdtContent>
            <w:p w14:paraId="1BCE6BBA" w14:textId="0077E14F" w:rsidR="00592B57" w:rsidRPr="00592B57" w:rsidRDefault="00A73E5D" w:rsidP="00592B57">
              <w:pPr>
                <w:pStyle w:val="Bibliography"/>
                <w:rPr>
                  <w:b/>
                  <w:bCs/>
                  <w:noProof/>
                </w:rPr>
              </w:pPr>
              <w:r>
                <w:fldChar w:fldCharType="begin"/>
              </w:r>
              <w:r>
                <w:instrText xml:space="preserve"> BIBLIOGRAPHY </w:instrText>
              </w:r>
              <w:r>
                <w:fldChar w:fldCharType="separate"/>
              </w:r>
              <w:r w:rsidR="00592B57">
                <w:rPr>
                  <w:b/>
                  <w:bCs/>
                  <w:noProof/>
                </w:rPr>
                <w:t>RP-202900.</w:t>
              </w:r>
              <w:r w:rsidR="00592B57">
                <w:rPr>
                  <w:noProof/>
                </w:rPr>
                <w:t xml:space="preserve"> </w:t>
              </w:r>
              <w:r w:rsidR="00592B57">
                <w:rPr>
                  <w:i/>
                  <w:iCs/>
                  <w:noProof/>
                </w:rPr>
                <w:t xml:space="preserve">New WID on NR Positioning Enhancements . </w:t>
              </w:r>
            </w:p>
            <w:p w14:paraId="5FF303EB" w14:textId="28865A5C" w:rsidR="006A1574" w:rsidRPr="00AC7A8A" w:rsidRDefault="00A73E5D" w:rsidP="00AE4D1C">
              <w:r>
                <w:rPr>
                  <w:b/>
                  <w:bCs/>
                  <w:noProof/>
                </w:rPr>
                <w:fldChar w:fldCharType="end"/>
              </w:r>
            </w:p>
          </w:sdtContent>
        </w:sdt>
      </w:sdtContent>
    </w:sdt>
    <w:sectPr w:rsidR="006A1574" w:rsidRPr="00AC7A8A">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2ACF5" w14:textId="77777777" w:rsidR="00A11704" w:rsidRDefault="00A11704" w:rsidP="00706465">
      <w:pPr>
        <w:spacing w:after="0"/>
      </w:pPr>
      <w:r>
        <w:separator/>
      </w:r>
    </w:p>
  </w:endnote>
  <w:endnote w:type="continuationSeparator" w:id="0">
    <w:p w14:paraId="0FC1E73F" w14:textId="77777777" w:rsidR="00A11704" w:rsidRDefault="00A11704" w:rsidP="00706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F2980" w14:textId="77777777" w:rsidR="00A11704" w:rsidRDefault="00A11704" w:rsidP="00706465">
      <w:pPr>
        <w:spacing w:after="0"/>
      </w:pPr>
      <w:r>
        <w:separator/>
      </w:r>
    </w:p>
  </w:footnote>
  <w:footnote w:type="continuationSeparator" w:id="0">
    <w:p w14:paraId="1F51A472" w14:textId="77777777" w:rsidR="00A11704" w:rsidRDefault="00A11704" w:rsidP="007064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71CE"/>
    <w:multiLevelType w:val="multilevel"/>
    <w:tmpl w:val="90B6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275D7E"/>
    <w:multiLevelType w:val="hybridMultilevel"/>
    <w:tmpl w:val="2D046D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6836E9"/>
    <w:multiLevelType w:val="hybridMultilevel"/>
    <w:tmpl w:val="A6E051E6"/>
    <w:lvl w:ilvl="0" w:tplc="B90CA4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4B3047"/>
    <w:multiLevelType w:val="multilevel"/>
    <w:tmpl w:val="BE928E1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B4745C"/>
    <w:multiLevelType w:val="multilevel"/>
    <w:tmpl w:val="6C42C2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C987104"/>
    <w:multiLevelType w:val="multilevel"/>
    <w:tmpl w:val="E8FCD01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329077B0"/>
    <w:multiLevelType w:val="multilevel"/>
    <w:tmpl w:val="ED36C128"/>
    <w:lvl w:ilvl="0">
      <w:start w:val="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72A0C21"/>
    <w:multiLevelType w:val="multilevel"/>
    <w:tmpl w:val="F1C4AB9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8566BB9"/>
    <w:multiLevelType w:val="multilevel"/>
    <w:tmpl w:val="B298049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EF2504"/>
    <w:multiLevelType w:val="multilevel"/>
    <w:tmpl w:val="749639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E8B6DA0"/>
    <w:multiLevelType w:val="multilevel"/>
    <w:tmpl w:val="AE3A5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F72537"/>
    <w:multiLevelType w:val="multilevel"/>
    <w:tmpl w:val="DC34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8557B34"/>
    <w:multiLevelType w:val="hybridMultilevel"/>
    <w:tmpl w:val="7B76E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F96F12"/>
    <w:multiLevelType w:val="multilevel"/>
    <w:tmpl w:val="99A27B88"/>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61136DDA"/>
    <w:multiLevelType w:val="hybridMultilevel"/>
    <w:tmpl w:val="6AD288A8"/>
    <w:lvl w:ilvl="0" w:tplc="75A017D4">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8F55029"/>
    <w:multiLevelType w:val="multilevel"/>
    <w:tmpl w:val="1688C9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4844E10"/>
    <w:multiLevelType w:val="hybridMultilevel"/>
    <w:tmpl w:val="47ECB436"/>
    <w:lvl w:ilvl="0" w:tplc="33E0AA2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95C1FFE"/>
    <w:multiLevelType w:val="multilevel"/>
    <w:tmpl w:val="F07086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79783703"/>
    <w:multiLevelType w:val="hybridMultilevel"/>
    <w:tmpl w:val="48EC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0"/>
  </w:num>
  <w:num w:numId="4">
    <w:abstractNumId w:val="7"/>
  </w:num>
  <w:num w:numId="5">
    <w:abstractNumId w:val="12"/>
  </w:num>
  <w:num w:numId="6">
    <w:abstractNumId w:val="4"/>
  </w:num>
  <w:num w:numId="7">
    <w:abstractNumId w:val="8"/>
  </w:num>
  <w:num w:numId="8">
    <w:abstractNumId w:val="19"/>
  </w:num>
  <w:num w:numId="9">
    <w:abstractNumId w:val="25"/>
  </w:num>
  <w:num w:numId="10">
    <w:abstractNumId w:val="5"/>
  </w:num>
  <w:num w:numId="11">
    <w:abstractNumId w:val="14"/>
  </w:num>
  <w:num w:numId="12">
    <w:abstractNumId w:val="24"/>
  </w:num>
  <w:num w:numId="13">
    <w:abstractNumId w:val="13"/>
  </w:num>
  <w:num w:numId="14">
    <w:abstractNumId w:val="20"/>
  </w:num>
  <w:num w:numId="15">
    <w:abstractNumId w:val="0"/>
  </w:num>
  <w:num w:numId="16">
    <w:abstractNumId w:val="6"/>
  </w:num>
  <w:num w:numId="17">
    <w:abstractNumId w:val="21"/>
  </w:num>
  <w:num w:numId="18">
    <w:abstractNumId w:val="22"/>
  </w:num>
  <w:num w:numId="19">
    <w:abstractNumId w:val="3"/>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5"/>
  </w:num>
  <w:num w:numId="28">
    <w:abstractNumId w:val="17"/>
  </w:num>
  <w:num w:numId="29">
    <w:abstractNumId w:val="17"/>
  </w:num>
  <w:num w:numId="30">
    <w:abstractNumId w:val="17"/>
  </w:num>
  <w:num w:numId="31">
    <w:abstractNumId w:val="17"/>
  </w:num>
  <w:num w:numId="32">
    <w:abstractNumId w:val="11"/>
  </w:num>
  <w:num w:numId="33">
    <w:abstractNumId w:val="17"/>
  </w:num>
  <w:num w:numId="34">
    <w:abstractNumId w:val="17"/>
  </w:num>
  <w:num w:numId="35">
    <w:abstractNumId w:val="17"/>
  </w:num>
  <w:num w:numId="36">
    <w:abstractNumId w:val="17"/>
  </w:num>
  <w:num w:numId="37">
    <w:abstractNumId w:val="18"/>
  </w:num>
  <w:num w:numId="38">
    <w:abstractNumId w:val="17"/>
  </w:num>
  <w:num w:numId="39">
    <w:abstractNumId w:val="1"/>
  </w:num>
  <w:num w:numId="40">
    <w:abstractNumId w:val="23"/>
  </w:num>
  <w:num w:numId="41">
    <w:abstractNumId w:val="17"/>
  </w:num>
  <w:num w:numId="42">
    <w:abstractNumId w:val="2"/>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B1D"/>
    <w:rsid w:val="00017178"/>
    <w:rsid w:val="00032B67"/>
    <w:rsid w:val="00052E21"/>
    <w:rsid w:val="000732F1"/>
    <w:rsid w:val="000863D3"/>
    <w:rsid w:val="000A7159"/>
    <w:rsid w:val="000B7F0F"/>
    <w:rsid w:val="000C1BFE"/>
    <w:rsid w:val="000C30CC"/>
    <w:rsid w:val="000C376F"/>
    <w:rsid w:val="000F45DD"/>
    <w:rsid w:val="00124AAF"/>
    <w:rsid w:val="00142BE6"/>
    <w:rsid w:val="00155F27"/>
    <w:rsid w:val="0016117A"/>
    <w:rsid w:val="00164DCC"/>
    <w:rsid w:val="001829CE"/>
    <w:rsid w:val="001B6BAB"/>
    <w:rsid w:val="001C693A"/>
    <w:rsid w:val="001C6AC1"/>
    <w:rsid w:val="001D0B97"/>
    <w:rsid w:val="001E1909"/>
    <w:rsid w:val="001E63AF"/>
    <w:rsid w:val="00200093"/>
    <w:rsid w:val="0021756C"/>
    <w:rsid w:val="00233C80"/>
    <w:rsid w:val="0025256B"/>
    <w:rsid w:val="00255997"/>
    <w:rsid w:val="00267D3D"/>
    <w:rsid w:val="00281455"/>
    <w:rsid w:val="0029588F"/>
    <w:rsid w:val="002A228B"/>
    <w:rsid w:val="002C257E"/>
    <w:rsid w:val="002D57CB"/>
    <w:rsid w:val="00304C79"/>
    <w:rsid w:val="0031031A"/>
    <w:rsid w:val="00324D38"/>
    <w:rsid w:val="003265AB"/>
    <w:rsid w:val="0033091B"/>
    <w:rsid w:val="00362A29"/>
    <w:rsid w:val="00364DD4"/>
    <w:rsid w:val="00385614"/>
    <w:rsid w:val="003A696F"/>
    <w:rsid w:val="003C5427"/>
    <w:rsid w:val="003E1A48"/>
    <w:rsid w:val="003E65B5"/>
    <w:rsid w:val="00411E04"/>
    <w:rsid w:val="00421596"/>
    <w:rsid w:val="004257CC"/>
    <w:rsid w:val="00444A2E"/>
    <w:rsid w:val="00447F42"/>
    <w:rsid w:val="0046422B"/>
    <w:rsid w:val="00481DF6"/>
    <w:rsid w:val="0049145A"/>
    <w:rsid w:val="004C3BF3"/>
    <w:rsid w:val="004F4ACE"/>
    <w:rsid w:val="004F7064"/>
    <w:rsid w:val="005203E5"/>
    <w:rsid w:val="00523EA6"/>
    <w:rsid w:val="00546BA7"/>
    <w:rsid w:val="0058035C"/>
    <w:rsid w:val="005900F5"/>
    <w:rsid w:val="00592B57"/>
    <w:rsid w:val="005B6298"/>
    <w:rsid w:val="005D2862"/>
    <w:rsid w:val="005D7AA1"/>
    <w:rsid w:val="00602FE4"/>
    <w:rsid w:val="006741F9"/>
    <w:rsid w:val="006918EA"/>
    <w:rsid w:val="00696F0C"/>
    <w:rsid w:val="006A1574"/>
    <w:rsid w:val="006B08BB"/>
    <w:rsid w:val="006B1A37"/>
    <w:rsid w:val="006B269D"/>
    <w:rsid w:val="006B4D59"/>
    <w:rsid w:val="006C291C"/>
    <w:rsid w:val="006C52E1"/>
    <w:rsid w:val="00706465"/>
    <w:rsid w:val="00735CA8"/>
    <w:rsid w:val="0075597F"/>
    <w:rsid w:val="007606B8"/>
    <w:rsid w:val="00766D83"/>
    <w:rsid w:val="0078021C"/>
    <w:rsid w:val="007C167A"/>
    <w:rsid w:val="007C71B5"/>
    <w:rsid w:val="007E04CC"/>
    <w:rsid w:val="007E4603"/>
    <w:rsid w:val="007E4C87"/>
    <w:rsid w:val="00825855"/>
    <w:rsid w:val="0085270D"/>
    <w:rsid w:val="008560D9"/>
    <w:rsid w:val="008645B4"/>
    <w:rsid w:val="00870C67"/>
    <w:rsid w:val="00872532"/>
    <w:rsid w:val="008752B5"/>
    <w:rsid w:val="00875E62"/>
    <w:rsid w:val="008875D2"/>
    <w:rsid w:val="00894780"/>
    <w:rsid w:val="008A0A51"/>
    <w:rsid w:val="008A7D28"/>
    <w:rsid w:val="008D4146"/>
    <w:rsid w:val="008F12EC"/>
    <w:rsid w:val="00931688"/>
    <w:rsid w:val="009567A4"/>
    <w:rsid w:val="009633B2"/>
    <w:rsid w:val="00970255"/>
    <w:rsid w:val="00984A05"/>
    <w:rsid w:val="00997CE4"/>
    <w:rsid w:val="009B2070"/>
    <w:rsid w:val="009B6E12"/>
    <w:rsid w:val="009C0BB1"/>
    <w:rsid w:val="009D69F9"/>
    <w:rsid w:val="00A10571"/>
    <w:rsid w:val="00A11704"/>
    <w:rsid w:val="00A1345A"/>
    <w:rsid w:val="00A24D6D"/>
    <w:rsid w:val="00A26ED9"/>
    <w:rsid w:val="00A55B1D"/>
    <w:rsid w:val="00A57AB5"/>
    <w:rsid w:val="00A73E5D"/>
    <w:rsid w:val="00A911C3"/>
    <w:rsid w:val="00AA4DEC"/>
    <w:rsid w:val="00AA6173"/>
    <w:rsid w:val="00AC7A8A"/>
    <w:rsid w:val="00AE1153"/>
    <w:rsid w:val="00AE4D1C"/>
    <w:rsid w:val="00AE55FD"/>
    <w:rsid w:val="00AE6E7E"/>
    <w:rsid w:val="00AE7417"/>
    <w:rsid w:val="00B14ED2"/>
    <w:rsid w:val="00B571E3"/>
    <w:rsid w:val="00B7698E"/>
    <w:rsid w:val="00B82102"/>
    <w:rsid w:val="00B87482"/>
    <w:rsid w:val="00B9037A"/>
    <w:rsid w:val="00B94F93"/>
    <w:rsid w:val="00BB2E25"/>
    <w:rsid w:val="00BC43F2"/>
    <w:rsid w:val="00BD5BAA"/>
    <w:rsid w:val="00BD7BBC"/>
    <w:rsid w:val="00BE2265"/>
    <w:rsid w:val="00BF45C1"/>
    <w:rsid w:val="00C00936"/>
    <w:rsid w:val="00C10E29"/>
    <w:rsid w:val="00C15A4C"/>
    <w:rsid w:val="00C27DFD"/>
    <w:rsid w:val="00C30A85"/>
    <w:rsid w:val="00C33FA5"/>
    <w:rsid w:val="00C533E6"/>
    <w:rsid w:val="00C60601"/>
    <w:rsid w:val="00C93154"/>
    <w:rsid w:val="00CC0A17"/>
    <w:rsid w:val="00CD0D3E"/>
    <w:rsid w:val="00D06678"/>
    <w:rsid w:val="00D26F1B"/>
    <w:rsid w:val="00D275F9"/>
    <w:rsid w:val="00D45DC8"/>
    <w:rsid w:val="00D5107C"/>
    <w:rsid w:val="00D663BF"/>
    <w:rsid w:val="00D776D6"/>
    <w:rsid w:val="00DC19DE"/>
    <w:rsid w:val="00DD486C"/>
    <w:rsid w:val="00DD48F2"/>
    <w:rsid w:val="00DF2A16"/>
    <w:rsid w:val="00E04796"/>
    <w:rsid w:val="00E10ECB"/>
    <w:rsid w:val="00E1174F"/>
    <w:rsid w:val="00E24CBE"/>
    <w:rsid w:val="00E86F8C"/>
    <w:rsid w:val="00E91BB1"/>
    <w:rsid w:val="00E94E7D"/>
    <w:rsid w:val="00EB31E8"/>
    <w:rsid w:val="00EB6EE5"/>
    <w:rsid w:val="00EB7867"/>
    <w:rsid w:val="00EC076F"/>
    <w:rsid w:val="00ED3EA6"/>
    <w:rsid w:val="00EE5943"/>
    <w:rsid w:val="00EF25BE"/>
    <w:rsid w:val="00F0764B"/>
    <w:rsid w:val="00F2579E"/>
    <w:rsid w:val="00F45BB7"/>
    <w:rsid w:val="00F53F29"/>
    <w:rsid w:val="00F60E01"/>
    <w:rsid w:val="00F61383"/>
    <w:rsid w:val="00F86427"/>
    <w:rsid w:val="00FB4040"/>
    <w:rsid w:val="00FF52EF"/>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D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uiPriority w:val="99"/>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character" w:customStyle="1" w:styleId="ListLabel49">
    <w:name w:val="ListLabel 49"/>
    <w:qFormat/>
    <w:rPr>
      <w:i w:val="0"/>
      <w:lang w:val="en-US"/>
    </w:rPr>
  </w:style>
  <w:style w:type="character" w:customStyle="1" w:styleId="ListLabel50">
    <w:name w:val="ListLabel 50"/>
    <w:qFormat/>
    <w:rPr>
      <w:b/>
      <w:i w:val="0"/>
      <w:sz w:val="24"/>
      <w:effect w:val="none"/>
      <w:lang w:val="en-US"/>
    </w:rPr>
  </w:style>
  <w:style w:type="character" w:customStyle="1" w:styleId="ListLabel51">
    <w:name w:val="ListLabel 51"/>
    <w:qFormat/>
    <w:rPr>
      <w:i w:val="0"/>
      <w:lang w:val="en-US"/>
    </w:rPr>
  </w:style>
  <w:style w:type="character" w:customStyle="1" w:styleId="ListLabel52">
    <w:name w:val="ListLabel 52"/>
    <w:qFormat/>
    <w:rPr>
      <w:b w:val="0"/>
      <w:i w:val="0"/>
      <w:sz w:val="22"/>
      <w:effect w:val="none"/>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sz w:val="20"/>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b/>
      <w:sz w:val="20"/>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i w:val="0"/>
      <w:lang w:val="en-US"/>
    </w:rPr>
  </w:style>
  <w:style w:type="character" w:customStyle="1" w:styleId="ListLabel108">
    <w:name w:val="ListLabel 108"/>
    <w:qFormat/>
    <w:rPr>
      <w:b/>
      <w:i w:val="0"/>
      <w:sz w:val="24"/>
      <w:effect w:val="none"/>
      <w:lang w:val="en-US"/>
    </w:rPr>
  </w:style>
  <w:style w:type="character" w:customStyle="1" w:styleId="ListLabel109">
    <w:name w:val="ListLabel 109"/>
    <w:qFormat/>
    <w:rPr>
      <w:i w:val="0"/>
      <w:lang w:val="en-US"/>
    </w:rPr>
  </w:style>
  <w:style w:type="character" w:customStyle="1" w:styleId="ListLabel110">
    <w:name w:val="ListLabel 110"/>
    <w:qFormat/>
    <w:rPr>
      <w:b/>
      <w:i w:val="0"/>
      <w:sz w:val="24"/>
      <w:effect w:val="none"/>
      <w:lang w:val="en-US"/>
    </w:rPr>
  </w:style>
  <w:style w:type="character" w:customStyle="1" w:styleId="ListLabel111">
    <w:name w:val="ListLabel 111"/>
    <w:qFormat/>
    <w:rPr>
      <w:i w:val="0"/>
      <w:lang w:val="en-US"/>
    </w:rPr>
  </w:style>
  <w:style w:type="character" w:customStyle="1" w:styleId="ListLabel112">
    <w:name w:val="ListLabel 112"/>
    <w:qFormat/>
    <w:rPr>
      <w:b/>
      <w:i w:val="0"/>
      <w:sz w:val="24"/>
      <w:effect w:val="none"/>
      <w:lang w:val="en-US"/>
    </w:rPr>
  </w:style>
  <w:style w:type="character" w:customStyle="1" w:styleId="ListLabel113">
    <w:name w:val="ListLabel 113"/>
    <w:qFormat/>
    <w:rPr>
      <w:i w:val="0"/>
      <w:lang w:val="en-US"/>
    </w:rPr>
  </w:style>
  <w:style w:type="character" w:customStyle="1" w:styleId="ListLabel114">
    <w:name w:val="ListLabel 114"/>
    <w:qFormat/>
    <w:rPr>
      <w:b/>
      <w:i w:val="0"/>
      <w:sz w:val="24"/>
      <w:effect w:val="none"/>
      <w:lang w:val="en-US"/>
    </w:rPr>
  </w:style>
  <w:style w:type="character" w:customStyle="1" w:styleId="ListLabel115">
    <w:name w:val="ListLabel 115"/>
    <w:qFormat/>
    <w:rPr>
      <w:i w:val="0"/>
      <w:lang w:val="en-US"/>
    </w:rPr>
  </w:style>
  <w:style w:type="character" w:customStyle="1" w:styleId="ListLabel116">
    <w:name w:val="ListLabel 116"/>
    <w:qFormat/>
    <w:rPr>
      <w:b/>
      <w:i w:val="0"/>
      <w:sz w:val="24"/>
      <w:effect w:val="none"/>
      <w:lang w:val="en-US"/>
    </w:rPr>
  </w:style>
  <w:style w:type="character" w:customStyle="1" w:styleId="ListLabel117">
    <w:name w:val="ListLabel 117"/>
    <w:qFormat/>
    <w:rPr>
      <w:i w:val="0"/>
      <w:lang w:val="en-US"/>
    </w:rPr>
  </w:style>
  <w:style w:type="character" w:customStyle="1" w:styleId="ListLabel118">
    <w:name w:val="ListLabel 118"/>
    <w:qFormat/>
    <w:rPr>
      <w:b/>
      <w:i w:val="0"/>
      <w:sz w:val="24"/>
      <w:effect w:val="none"/>
      <w:lang w:val="en-US"/>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sz w:val="20"/>
    </w:rPr>
  </w:style>
  <w:style w:type="character" w:customStyle="1" w:styleId="ListLabel126">
    <w:name w:val="ListLabel 126"/>
    <w:qFormat/>
    <w:rPr>
      <w:rFonts w:cs="Times New Roman"/>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sz w:val="20"/>
    </w:rPr>
  </w:style>
  <w:style w:type="character" w:customStyle="1" w:styleId="ListLabel134">
    <w:name w:val="ListLabel 134"/>
    <w:qFormat/>
    <w:rPr>
      <w:sz w:val="20"/>
    </w:rPr>
  </w:style>
  <w:style w:type="character" w:customStyle="1" w:styleId="ListLabel135">
    <w:name w:val="ListLabel 135"/>
    <w:qFormat/>
    <w:rPr>
      <w:rFonts w:cs="Times New Roman"/>
      <w:sz w:val="20"/>
    </w:rPr>
  </w:style>
  <w:style w:type="character" w:customStyle="1" w:styleId="ListLabel136">
    <w:name w:val="ListLabel 136"/>
    <w:qFormat/>
    <w:rPr>
      <w:sz w:val="20"/>
    </w:rPr>
  </w:style>
  <w:style w:type="character" w:customStyle="1" w:styleId="ListLabel137">
    <w:name w:val="ListLabel 137"/>
    <w:qFormat/>
    <w:rPr>
      <w:sz w:val="20"/>
    </w:rPr>
  </w:style>
  <w:style w:type="character" w:customStyle="1" w:styleId="ListLabel138">
    <w:name w:val="ListLabel 138"/>
    <w:qFormat/>
    <w:rPr>
      <w:sz w:val="20"/>
    </w:rPr>
  </w:style>
  <w:style w:type="character" w:customStyle="1" w:styleId="ListLabel139">
    <w:name w:val="ListLabel 139"/>
    <w:qFormat/>
    <w:rPr>
      <w:sz w:val="20"/>
    </w:rPr>
  </w:style>
  <w:style w:type="character" w:customStyle="1" w:styleId="ListLabel140">
    <w:name w:val="ListLabel 140"/>
    <w:qFormat/>
    <w:rPr>
      <w:sz w:val="20"/>
    </w:rPr>
  </w:style>
  <w:style w:type="character" w:customStyle="1" w:styleId="ListLabel141">
    <w:name w:val="ListLabel 141"/>
    <w:qFormat/>
    <w:rPr>
      <w:sz w:val="20"/>
    </w:rPr>
  </w:style>
  <w:style w:type="character" w:customStyle="1" w:styleId="ListLabel142">
    <w:name w:val="ListLabel 142"/>
    <w:qFormat/>
    <w:rPr>
      <w:sz w:val="20"/>
    </w:rPr>
  </w:style>
  <w:style w:type="character" w:customStyle="1" w:styleId="ListLabel143">
    <w:name w:val="ListLabel 143"/>
    <w:qFormat/>
    <w:rPr>
      <w:sz w:val="20"/>
    </w:rPr>
  </w:style>
  <w:style w:type="character" w:customStyle="1" w:styleId="ListLabel144">
    <w:name w:val="ListLabel 144"/>
    <w:qFormat/>
    <w:rPr>
      <w:rFonts w:cs="Times New Roman"/>
      <w:sz w:val="20"/>
    </w:rPr>
  </w:style>
  <w:style w:type="character" w:customStyle="1" w:styleId="ListLabel145">
    <w:name w:val="ListLabel 145"/>
    <w:qFormat/>
    <w:rPr>
      <w:sz w:val="20"/>
    </w:rPr>
  </w:style>
  <w:style w:type="character" w:customStyle="1" w:styleId="ListLabel146">
    <w:name w:val="ListLabel 146"/>
    <w:qFormat/>
    <w:rPr>
      <w:sz w:val="20"/>
    </w:rPr>
  </w:style>
  <w:style w:type="character" w:customStyle="1" w:styleId="ListLabel147">
    <w:name w:val="ListLabel 147"/>
    <w:qFormat/>
    <w:rPr>
      <w:sz w:val="20"/>
    </w:rPr>
  </w:style>
  <w:style w:type="character" w:customStyle="1" w:styleId="ListLabel148">
    <w:name w:val="ListLabel 148"/>
    <w:qFormat/>
    <w:rPr>
      <w:sz w:val="20"/>
    </w:rPr>
  </w:style>
  <w:style w:type="character" w:customStyle="1" w:styleId="ListLabel149">
    <w:name w:val="ListLabel 149"/>
    <w:qFormat/>
    <w:rPr>
      <w:sz w:val="20"/>
    </w:rPr>
  </w:style>
  <w:style w:type="character" w:customStyle="1" w:styleId="ListLabel150">
    <w:name w:val="ListLabel 150"/>
    <w:qFormat/>
    <w:rPr>
      <w:sz w:val="20"/>
    </w:rPr>
  </w:style>
  <w:style w:type="character" w:customStyle="1" w:styleId="ListLabel151">
    <w:name w:val="ListLabel 151"/>
    <w:qFormat/>
    <w:rPr>
      <w:sz w:val="20"/>
    </w:rPr>
  </w:style>
  <w:style w:type="character" w:customStyle="1" w:styleId="ListLabel152">
    <w:name w:val="ListLabel 152"/>
    <w:qFormat/>
    <w:rPr>
      <w:sz w:val="20"/>
    </w:rPr>
  </w:style>
  <w:style w:type="character" w:customStyle="1" w:styleId="ListLabel153">
    <w:name w:val="ListLabel 153"/>
    <w:qFormat/>
    <w:rPr>
      <w:rFonts w:cs="Times New Roman"/>
      <w:sz w:val="20"/>
    </w:rPr>
  </w:style>
  <w:style w:type="character" w:customStyle="1" w:styleId="ListLabel154">
    <w:name w:val="ListLabel 154"/>
    <w:qFormat/>
    <w:rPr>
      <w:sz w:val="20"/>
    </w:rPr>
  </w:style>
  <w:style w:type="character" w:customStyle="1" w:styleId="ListLabel155">
    <w:name w:val="ListLabel 155"/>
    <w:qFormat/>
    <w:rPr>
      <w:sz w:val="20"/>
    </w:rPr>
  </w:style>
  <w:style w:type="character" w:customStyle="1" w:styleId="ListLabel156">
    <w:name w:val="ListLabel 156"/>
    <w:qFormat/>
    <w:rPr>
      <w:sz w:val="20"/>
    </w:rPr>
  </w:style>
  <w:style w:type="character" w:customStyle="1" w:styleId="ListLabel157">
    <w:name w:val="ListLabel 157"/>
    <w:qFormat/>
    <w:rPr>
      <w:sz w:val="20"/>
    </w:rPr>
  </w:style>
  <w:style w:type="character" w:customStyle="1" w:styleId="ListLabel158">
    <w:name w:val="ListLabel 158"/>
    <w:qFormat/>
    <w:rPr>
      <w:sz w:val="20"/>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character" w:customStyle="1" w:styleId="ListLabel164">
    <w:name w:val="ListLabel 164"/>
    <w:qFormat/>
    <w:rPr>
      <w:rFonts w:eastAsia="SimSun" w:cs="Times New Roman"/>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Normal"/>
    <w:link w:val="THChar"/>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BodyText"/>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Normal"/>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paragraph" w:customStyle="1" w:styleId="Reference">
    <w:name w:val="Reference"/>
    <w:basedOn w:val="BodyText"/>
    <w:qFormat/>
    <w:rsid w:val="005D2092"/>
    <w:pPr>
      <w:snapToGrid/>
      <w:spacing w:line="259" w:lineRule="auto"/>
      <w:jc w:val="left"/>
    </w:pPr>
    <w:rPr>
      <w:rFonts w:asciiTheme="minorHAnsi" w:eastAsia="Times New Roman" w:hAnsi="Calibri"/>
      <w:sz w:val="22"/>
      <w:szCs w:val="22"/>
      <w:lang w:val="fr-FR" w:eastAsia="zh-CN"/>
    </w:rPr>
  </w:style>
  <w:style w:type="paragraph" w:customStyle="1" w:styleId="DECISION">
    <w:name w:val="DECISION"/>
    <w:basedOn w:val="Normal"/>
    <w:qFormat/>
    <w:rsid w:val="009503C5"/>
    <w:pPr>
      <w:widowControl w:val="0"/>
      <w:snapToGrid/>
      <w:spacing w:before="120"/>
    </w:pPr>
    <w:rPr>
      <w:rFonts w:ascii="Arial" w:hAnsi="Arial"/>
      <w:b/>
      <w:color w:val="0000FF"/>
      <w:sz w:val="20"/>
      <w:szCs w:val="20"/>
      <w:u w:val="single"/>
      <w:lang w:val="en-GB"/>
    </w:r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C257E"/>
    <w:pPr>
      <w:snapToGrid/>
      <w:spacing w:before="100" w:beforeAutospacing="1" w:after="100" w:afterAutospacing="1"/>
      <w:jc w:val="left"/>
    </w:pPr>
    <w:rPr>
      <w:rFonts w:eastAsia="Times New Roman"/>
      <w:sz w:val="24"/>
      <w:szCs w:val="24"/>
      <w:lang w:eastAsia="zh-CN"/>
    </w:rPr>
  </w:style>
  <w:style w:type="character" w:customStyle="1" w:styleId="normaltextrun">
    <w:name w:val="normaltextrun"/>
    <w:basedOn w:val="DefaultParagraphFont"/>
    <w:rsid w:val="002C257E"/>
  </w:style>
  <w:style w:type="character" w:customStyle="1" w:styleId="eop">
    <w:name w:val="eop"/>
    <w:basedOn w:val="DefaultParagraphFont"/>
    <w:rsid w:val="002C257E"/>
  </w:style>
  <w:style w:type="character" w:customStyle="1" w:styleId="findhit">
    <w:name w:val="findhit"/>
    <w:basedOn w:val="DefaultParagraphFont"/>
    <w:rsid w:val="002C257E"/>
  </w:style>
  <w:style w:type="character" w:customStyle="1" w:styleId="B1Char1">
    <w:name w:val="B1 Char1"/>
    <w:qFormat/>
    <w:rsid w:val="0049145A"/>
    <w:rPr>
      <w:rFonts w:ascii="Times New Roman" w:hAnsi="Times New Roman"/>
      <w:lang w:val="en-GB" w:bidi="ar-SA"/>
    </w:rPr>
  </w:style>
  <w:style w:type="paragraph" w:customStyle="1" w:styleId="TAC">
    <w:name w:val="TAC"/>
    <w:basedOn w:val="Normal"/>
    <w:link w:val="TACChar"/>
    <w:qFormat/>
    <w:rsid w:val="0049145A"/>
    <w:pPr>
      <w:keepNext/>
      <w:keepLines/>
      <w:snapToGrid/>
      <w:spacing w:after="0"/>
      <w:jc w:val="center"/>
    </w:pPr>
    <w:rPr>
      <w:rFonts w:ascii="Arial" w:hAnsi="Arial"/>
      <w:sz w:val="18"/>
      <w:szCs w:val="20"/>
      <w:lang w:val="en-GB"/>
    </w:rPr>
  </w:style>
  <w:style w:type="character" w:customStyle="1" w:styleId="TACChar">
    <w:name w:val="TAC Char"/>
    <w:link w:val="TAC"/>
    <w:qFormat/>
    <w:locked/>
    <w:rsid w:val="0049145A"/>
    <w:rPr>
      <w:rFonts w:ascii="Arial" w:hAnsi="Arial"/>
      <w:sz w:val="18"/>
      <w:lang w:val="en-GB"/>
    </w:rPr>
  </w:style>
  <w:style w:type="character" w:customStyle="1" w:styleId="THChar">
    <w:name w:val="TH Char"/>
    <w:link w:val="TH"/>
    <w:qFormat/>
    <w:rsid w:val="0049145A"/>
    <w:rPr>
      <w:rFonts w:ascii="Arial" w:eastAsia="Malgun Gothic" w:hAnsi="Arial"/>
      <w:b/>
      <w:lang w:val="en-GB"/>
    </w:rPr>
  </w:style>
  <w:style w:type="character" w:customStyle="1" w:styleId="Heading1Char">
    <w:name w:val="Heading 1 Char"/>
    <w:basedOn w:val="DefaultParagraphFont"/>
    <w:link w:val="Heading1"/>
    <w:uiPriority w:val="9"/>
    <w:rsid w:val="00A26ED9"/>
    <w:rPr>
      <w:b/>
      <w:bCs/>
      <w:sz w:val="28"/>
      <w:szCs w:val="28"/>
    </w:rPr>
  </w:style>
  <w:style w:type="paragraph" w:styleId="Bibliography">
    <w:name w:val="Bibliography"/>
    <w:basedOn w:val="Normal"/>
    <w:next w:val="Normal"/>
    <w:uiPriority w:val="37"/>
    <w:unhideWhenUsed/>
    <w:rsid w:val="00A26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4550">
      <w:bodyDiv w:val="1"/>
      <w:marLeft w:val="0"/>
      <w:marRight w:val="0"/>
      <w:marTop w:val="0"/>
      <w:marBottom w:val="0"/>
      <w:divBdr>
        <w:top w:val="none" w:sz="0" w:space="0" w:color="auto"/>
        <w:left w:val="none" w:sz="0" w:space="0" w:color="auto"/>
        <w:bottom w:val="none" w:sz="0" w:space="0" w:color="auto"/>
        <w:right w:val="none" w:sz="0" w:space="0" w:color="auto"/>
      </w:divBdr>
    </w:div>
    <w:div w:id="97801006">
      <w:bodyDiv w:val="1"/>
      <w:marLeft w:val="0"/>
      <w:marRight w:val="0"/>
      <w:marTop w:val="0"/>
      <w:marBottom w:val="0"/>
      <w:divBdr>
        <w:top w:val="none" w:sz="0" w:space="0" w:color="auto"/>
        <w:left w:val="none" w:sz="0" w:space="0" w:color="auto"/>
        <w:bottom w:val="none" w:sz="0" w:space="0" w:color="auto"/>
        <w:right w:val="none" w:sz="0" w:space="0" w:color="auto"/>
      </w:divBdr>
    </w:div>
    <w:div w:id="185755963">
      <w:bodyDiv w:val="1"/>
      <w:marLeft w:val="0"/>
      <w:marRight w:val="0"/>
      <w:marTop w:val="0"/>
      <w:marBottom w:val="0"/>
      <w:divBdr>
        <w:top w:val="none" w:sz="0" w:space="0" w:color="auto"/>
        <w:left w:val="none" w:sz="0" w:space="0" w:color="auto"/>
        <w:bottom w:val="none" w:sz="0" w:space="0" w:color="auto"/>
        <w:right w:val="none" w:sz="0" w:space="0" w:color="auto"/>
      </w:divBdr>
    </w:div>
    <w:div w:id="189538566">
      <w:bodyDiv w:val="1"/>
      <w:marLeft w:val="0"/>
      <w:marRight w:val="0"/>
      <w:marTop w:val="0"/>
      <w:marBottom w:val="0"/>
      <w:divBdr>
        <w:top w:val="none" w:sz="0" w:space="0" w:color="auto"/>
        <w:left w:val="none" w:sz="0" w:space="0" w:color="auto"/>
        <w:bottom w:val="none" w:sz="0" w:space="0" w:color="auto"/>
        <w:right w:val="none" w:sz="0" w:space="0" w:color="auto"/>
      </w:divBdr>
    </w:div>
    <w:div w:id="225148887">
      <w:bodyDiv w:val="1"/>
      <w:marLeft w:val="0"/>
      <w:marRight w:val="0"/>
      <w:marTop w:val="0"/>
      <w:marBottom w:val="0"/>
      <w:divBdr>
        <w:top w:val="none" w:sz="0" w:space="0" w:color="auto"/>
        <w:left w:val="none" w:sz="0" w:space="0" w:color="auto"/>
        <w:bottom w:val="none" w:sz="0" w:space="0" w:color="auto"/>
        <w:right w:val="none" w:sz="0" w:space="0" w:color="auto"/>
      </w:divBdr>
    </w:div>
    <w:div w:id="247619101">
      <w:bodyDiv w:val="1"/>
      <w:marLeft w:val="0"/>
      <w:marRight w:val="0"/>
      <w:marTop w:val="0"/>
      <w:marBottom w:val="0"/>
      <w:divBdr>
        <w:top w:val="none" w:sz="0" w:space="0" w:color="auto"/>
        <w:left w:val="none" w:sz="0" w:space="0" w:color="auto"/>
        <w:bottom w:val="none" w:sz="0" w:space="0" w:color="auto"/>
        <w:right w:val="none" w:sz="0" w:space="0" w:color="auto"/>
      </w:divBdr>
    </w:div>
    <w:div w:id="286863847">
      <w:bodyDiv w:val="1"/>
      <w:marLeft w:val="0"/>
      <w:marRight w:val="0"/>
      <w:marTop w:val="0"/>
      <w:marBottom w:val="0"/>
      <w:divBdr>
        <w:top w:val="none" w:sz="0" w:space="0" w:color="auto"/>
        <w:left w:val="none" w:sz="0" w:space="0" w:color="auto"/>
        <w:bottom w:val="none" w:sz="0" w:space="0" w:color="auto"/>
        <w:right w:val="none" w:sz="0" w:space="0" w:color="auto"/>
      </w:divBdr>
    </w:div>
    <w:div w:id="299044250">
      <w:bodyDiv w:val="1"/>
      <w:marLeft w:val="0"/>
      <w:marRight w:val="0"/>
      <w:marTop w:val="0"/>
      <w:marBottom w:val="0"/>
      <w:divBdr>
        <w:top w:val="none" w:sz="0" w:space="0" w:color="auto"/>
        <w:left w:val="none" w:sz="0" w:space="0" w:color="auto"/>
        <w:bottom w:val="none" w:sz="0" w:space="0" w:color="auto"/>
        <w:right w:val="none" w:sz="0" w:space="0" w:color="auto"/>
      </w:divBdr>
    </w:div>
    <w:div w:id="386294851">
      <w:bodyDiv w:val="1"/>
      <w:marLeft w:val="0"/>
      <w:marRight w:val="0"/>
      <w:marTop w:val="0"/>
      <w:marBottom w:val="0"/>
      <w:divBdr>
        <w:top w:val="none" w:sz="0" w:space="0" w:color="auto"/>
        <w:left w:val="none" w:sz="0" w:space="0" w:color="auto"/>
        <w:bottom w:val="none" w:sz="0" w:space="0" w:color="auto"/>
        <w:right w:val="none" w:sz="0" w:space="0" w:color="auto"/>
      </w:divBdr>
    </w:div>
    <w:div w:id="420027707">
      <w:bodyDiv w:val="1"/>
      <w:marLeft w:val="0"/>
      <w:marRight w:val="0"/>
      <w:marTop w:val="0"/>
      <w:marBottom w:val="0"/>
      <w:divBdr>
        <w:top w:val="none" w:sz="0" w:space="0" w:color="auto"/>
        <w:left w:val="none" w:sz="0" w:space="0" w:color="auto"/>
        <w:bottom w:val="none" w:sz="0" w:space="0" w:color="auto"/>
        <w:right w:val="none" w:sz="0" w:space="0" w:color="auto"/>
      </w:divBdr>
    </w:div>
    <w:div w:id="464469241">
      <w:bodyDiv w:val="1"/>
      <w:marLeft w:val="0"/>
      <w:marRight w:val="0"/>
      <w:marTop w:val="0"/>
      <w:marBottom w:val="0"/>
      <w:divBdr>
        <w:top w:val="none" w:sz="0" w:space="0" w:color="auto"/>
        <w:left w:val="none" w:sz="0" w:space="0" w:color="auto"/>
        <w:bottom w:val="none" w:sz="0" w:space="0" w:color="auto"/>
        <w:right w:val="none" w:sz="0" w:space="0" w:color="auto"/>
      </w:divBdr>
    </w:div>
    <w:div w:id="488250055">
      <w:bodyDiv w:val="1"/>
      <w:marLeft w:val="0"/>
      <w:marRight w:val="0"/>
      <w:marTop w:val="0"/>
      <w:marBottom w:val="0"/>
      <w:divBdr>
        <w:top w:val="none" w:sz="0" w:space="0" w:color="auto"/>
        <w:left w:val="none" w:sz="0" w:space="0" w:color="auto"/>
        <w:bottom w:val="none" w:sz="0" w:space="0" w:color="auto"/>
        <w:right w:val="none" w:sz="0" w:space="0" w:color="auto"/>
      </w:divBdr>
    </w:div>
    <w:div w:id="507646294">
      <w:bodyDiv w:val="1"/>
      <w:marLeft w:val="0"/>
      <w:marRight w:val="0"/>
      <w:marTop w:val="0"/>
      <w:marBottom w:val="0"/>
      <w:divBdr>
        <w:top w:val="none" w:sz="0" w:space="0" w:color="auto"/>
        <w:left w:val="none" w:sz="0" w:space="0" w:color="auto"/>
        <w:bottom w:val="none" w:sz="0" w:space="0" w:color="auto"/>
        <w:right w:val="none" w:sz="0" w:space="0" w:color="auto"/>
      </w:divBdr>
    </w:div>
    <w:div w:id="531917158">
      <w:bodyDiv w:val="1"/>
      <w:marLeft w:val="0"/>
      <w:marRight w:val="0"/>
      <w:marTop w:val="0"/>
      <w:marBottom w:val="0"/>
      <w:divBdr>
        <w:top w:val="none" w:sz="0" w:space="0" w:color="auto"/>
        <w:left w:val="none" w:sz="0" w:space="0" w:color="auto"/>
        <w:bottom w:val="none" w:sz="0" w:space="0" w:color="auto"/>
        <w:right w:val="none" w:sz="0" w:space="0" w:color="auto"/>
      </w:divBdr>
    </w:div>
    <w:div w:id="555311628">
      <w:bodyDiv w:val="1"/>
      <w:marLeft w:val="0"/>
      <w:marRight w:val="0"/>
      <w:marTop w:val="0"/>
      <w:marBottom w:val="0"/>
      <w:divBdr>
        <w:top w:val="none" w:sz="0" w:space="0" w:color="auto"/>
        <w:left w:val="none" w:sz="0" w:space="0" w:color="auto"/>
        <w:bottom w:val="none" w:sz="0" w:space="0" w:color="auto"/>
        <w:right w:val="none" w:sz="0" w:space="0" w:color="auto"/>
      </w:divBdr>
    </w:div>
    <w:div w:id="564724374">
      <w:bodyDiv w:val="1"/>
      <w:marLeft w:val="0"/>
      <w:marRight w:val="0"/>
      <w:marTop w:val="0"/>
      <w:marBottom w:val="0"/>
      <w:divBdr>
        <w:top w:val="none" w:sz="0" w:space="0" w:color="auto"/>
        <w:left w:val="none" w:sz="0" w:space="0" w:color="auto"/>
        <w:bottom w:val="none" w:sz="0" w:space="0" w:color="auto"/>
        <w:right w:val="none" w:sz="0" w:space="0" w:color="auto"/>
      </w:divBdr>
    </w:div>
    <w:div w:id="576019697">
      <w:bodyDiv w:val="1"/>
      <w:marLeft w:val="0"/>
      <w:marRight w:val="0"/>
      <w:marTop w:val="0"/>
      <w:marBottom w:val="0"/>
      <w:divBdr>
        <w:top w:val="none" w:sz="0" w:space="0" w:color="auto"/>
        <w:left w:val="none" w:sz="0" w:space="0" w:color="auto"/>
        <w:bottom w:val="none" w:sz="0" w:space="0" w:color="auto"/>
        <w:right w:val="none" w:sz="0" w:space="0" w:color="auto"/>
      </w:divBdr>
    </w:div>
    <w:div w:id="623580701">
      <w:bodyDiv w:val="1"/>
      <w:marLeft w:val="0"/>
      <w:marRight w:val="0"/>
      <w:marTop w:val="0"/>
      <w:marBottom w:val="0"/>
      <w:divBdr>
        <w:top w:val="none" w:sz="0" w:space="0" w:color="auto"/>
        <w:left w:val="none" w:sz="0" w:space="0" w:color="auto"/>
        <w:bottom w:val="none" w:sz="0" w:space="0" w:color="auto"/>
        <w:right w:val="none" w:sz="0" w:space="0" w:color="auto"/>
      </w:divBdr>
    </w:div>
    <w:div w:id="636029303">
      <w:bodyDiv w:val="1"/>
      <w:marLeft w:val="0"/>
      <w:marRight w:val="0"/>
      <w:marTop w:val="0"/>
      <w:marBottom w:val="0"/>
      <w:divBdr>
        <w:top w:val="none" w:sz="0" w:space="0" w:color="auto"/>
        <w:left w:val="none" w:sz="0" w:space="0" w:color="auto"/>
        <w:bottom w:val="none" w:sz="0" w:space="0" w:color="auto"/>
        <w:right w:val="none" w:sz="0" w:space="0" w:color="auto"/>
      </w:divBdr>
    </w:div>
    <w:div w:id="674262084">
      <w:bodyDiv w:val="1"/>
      <w:marLeft w:val="0"/>
      <w:marRight w:val="0"/>
      <w:marTop w:val="0"/>
      <w:marBottom w:val="0"/>
      <w:divBdr>
        <w:top w:val="none" w:sz="0" w:space="0" w:color="auto"/>
        <w:left w:val="none" w:sz="0" w:space="0" w:color="auto"/>
        <w:bottom w:val="none" w:sz="0" w:space="0" w:color="auto"/>
        <w:right w:val="none" w:sz="0" w:space="0" w:color="auto"/>
      </w:divBdr>
    </w:div>
    <w:div w:id="691759277">
      <w:bodyDiv w:val="1"/>
      <w:marLeft w:val="0"/>
      <w:marRight w:val="0"/>
      <w:marTop w:val="0"/>
      <w:marBottom w:val="0"/>
      <w:divBdr>
        <w:top w:val="none" w:sz="0" w:space="0" w:color="auto"/>
        <w:left w:val="none" w:sz="0" w:space="0" w:color="auto"/>
        <w:bottom w:val="none" w:sz="0" w:space="0" w:color="auto"/>
        <w:right w:val="none" w:sz="0" w:space="0" w:color="auto"/>
      </w:divBdr>
    </w:div>
    <w:div w:id="732896743">
      <w:bodyDiv w:val="1"/>
      <w:marLeft w:val="0"/>
      <w:marRight w:val="0"/>
      <w:marTop w:val="0"/>
      <w:marBottom w:val="0"/>
      <w:divBdr>
        <w:top w:val="none" w:sz="0" w:space="0" w:color="auto"/>
        <w:left w:val="none" w:sz="0" w:space="0" w:color="auto"/>
        <w:bottom w:val="none" w:sz="0" w:space="0" w:color="auto"/>
        <w:right w:val="none" w:sz="0" w:space="0" w:color="auto"/>
      </w:divBdr>
    </w:div>
    <w:div w:id="738289986">
      <w:bodyDiv w:val="1"/>
      <w:marLeft w:val="0"/>
      <w:marRight w:val="0"/>
      <w:marTop w:val="0"/>
      <w:marBottom w:val="0"/>
      <w:divBdr>
        <w:top w:val="none" w:sz="0" w:space="0" w:color="auto"/>
        <w:left w:val="none" w:sz="0" w:space="0" w:color="auto"/>
        <w:bottom w:val="none" w:sz="0" w:space="0" w:color="auto"/>
        <w:right w:val="none" w:sz="0" w:space="0" w:color="auto"/>
      </w:divBdr>
    </w:div>
    <w:div w:id="748424564">
      <w:bodyDiv w:val="1"/>
      <w:marLeft w:val="0"/>
      <w:marRight w:val="0"/>
      <w:marTop w:val="0"/>
      <w:marBottom w:val="0"/>
      <w:divBdr>
        <w:top w:val="none" w:sz="0" w:space="0" w:color="auto"/>
        <w:left w:val="none" w:sz="0" w:space="0" w:color="auto"/>
        <w:bottom w:val="none" w:sz="0" w:space="0" w:color="auto"/>
        <w:right w:val="none" w:sz="0" w:space="0" w:color="auto"/>
      </w:divBdr>
    </w:div>
    <w:div w:id="805048473">
      <w:bodyDiv w:val="1"/>
      <w:marLeft w:val="0"/>
      <w:marRight w:val="0"/>
      <w:marTop w:val="0"/>
      <w:marBottom w:val="0"/>
      <w:divBdr>
        <w:top w:val="none" w:sz="0" w:space="0" w:color="auto"/>
        <w:left w:val="none" w:sz="0" w:space="0" w:color="auto"/>
        <w:bottom w:val="none" w:sz="0" w:space="0" w:color="auto"/>
        <w:right w:val="none" w:sz="0" w:space="0" w:color="auto"/>
      </w:divBdr>
    </w:div>
    <w:div w:id="884609381">
      <w:bodyDiv w:val="1"/>
      <w:marLeft w:val="0"/>
      <w:marRight w:val="0"/>
      <w:marTop w:val="0"/>
      <w:marBottom w:val="0"/>
      <w:divBdr>
        <w:top w:val="none" w:sz="0" w:space="0" w:color="auto"/>
        <w:left w:val="none" w:sz="0" w:space="0" w:color="auto"/>
        <w:bottom w:val="none" w:sz="0" w:space="0" w:color="auto"/>
        <w:right w:val="none" w:sz="0" w:space="0" w:color="auto"/>
      </w:divBdr>
    </w:div>
    <w:div w:id="998384459">
      <w:bodyDiv w:val="1"/>
      <w:marLeft w:val="0"/>
      <w:marRight w:val="0"/>
      <w:marTop w:val="0"/>
      <w:marBottom w:val="0"/>
      <w:divBdr>
        <w:top w:val="none" w:sz="0" w:space="0" w:color="auto"/>
        <w:left w:val="none" w:sz="0" w:space="0" w:color="auto"/>
        <w:bottom w:val="none" w:sz="0" w:space="0" w:color="auto"/>
        <w:right w:val="none" w:sz="0" w:space="0" w:color="auto"/>
      </w:divBdr>
      <w:divsChild>
        <w:div w:id="267930566">
          <w:marLeft w:val="0"/>
          <w:marRight w:val="0"/>
          <w:marTop w:val="0"/>
          <w:marBottom w:val="0"/>
          <w:divBdr>
            <w:top w:val="none" w:sz="0" w:space="0" w:color="auto"/>
            <w:left w:val="none" w:sz="0" w:space="0" w:color="auto"/>
            <w:bottom w:val="none" w:sz="0" w:space="0" w:color="auto"/>
            <w:right w:val="none" w:sz="0" w:space="0" w:color="auto"/>
          </w:divBdr>
        </w:div>
        <w:div w:id="516965868">
          <w:marLeft w:val="0"/>
          <w:marRight w:val="0"/>
          <w:marTop w:val="0"/>
          <w:marBottom w:val="0"/>
          <w:divBdr>
            <w:top w:val="none" w:sz="0" w:space="0" w:color="auto"/>
            <w:left w:val="none" w:sz="0" w:space="0" w:color="auto"/>
            <w:bottom w:val="none" w:sz="0" w:space="0" w:color="auto"/>
            <w:right w:val="none" w:sz="0" w:space="0" w:color="auto"/>
          </w:divBdr>
        </w:div>
        <w:div w:id="1097360255">
          <w:marLeft w:val="0"/>
          <w:marRight w:val="0"/>
          <w:marTop w:val="0"/>
          <w:marBottom w:val="0"/>
          <w:divBdr>
            <w:top w:val="none" w:sz="0" w:space="0" w:color="auto"/>
            <w:left w:val="none" w:sz="0" w:space="0" w:color="auto"/>
            <w:bottom w:val="none" w:sz="0" w:space="0" w:color="auto"/>
            <w:right w:val="none" w:sz="0" w:space="0" w:color="auto"/>
          </w:divBdr>
        </w:div>
        <w:div w:id="1179662026">
          <w:marLeft w:val="0"/>
          <w:marRight w:val="0"/>
          <w:marTop w:val="0"/>
          <w:marBottom w:val="0"/>
          <w:divBdr>
            <w:top w:val="none" w:sz="0" w:space="0" w:color="auto"/>
            <w:left w:val="none" w:sz="0" w:space="0" w:color="auto"/>
            <w:bottom w:val="none" w:sz="0" w:space="0" w:color="auto"/>
            <w:right w:val="none" w:sz="0" w:space="0" w:color="auto"/>
          </w:divBdr>
        </w:div>
        <w:div w:id="1237667185">
          <w:marLeft w:val="0"/>
          <w:marRight w:val="0"/>
          <w:marTop w:val="0"/>
          <w:marBottom w:val="0"/>
          <w:divBdr>
            <w:top w:val="none" w:sz="0" w:space="0" w:color="auto"/>
            <w:left w:val="none" w:sz="0" w:space="0" w:color="auto"/>
            <w:bottom w:val="none" w:sz="0" w:space="0" w:color="auto"/>
            <w:right w:val="none" w:sz="0" w:space="0" w:color="auto"/>
          </w:divBdr>
        </w:div>
        <w:div w:id="1564947918">
          <w:marLeft w:val="0"/>
          <w:marRight w:val="0"/>
          <w:marTop w:val="0"/>
          <w:marBottom w:val="0"/>
          <w:divBdr>
            <w:top w:val="none" w:sz="0" w:space="0" w:color="auto"/>
            <w:left w:val="none" w:sz="0" w:space="0" w:color="auto"/>
            <w:bottom w:val="none" w:sz="0" w:space="0" w:color="auto"/>
            <w:right w:val="none" w:sz="0" w:space="0" w:color="auto"/>
          </w:divBdr>
        </w:div>
        <w:div w:id="1586065739">
          <w:marLeft w:val="0"/>
          <w:marRight w:val="0"/>
          <w:marTop w:val="0"/>
          <w:marBottom w:val="0"/>
          <w:divBdr>
            <w:top w:val="none" w:sz="0" w:space="0" w:color="auto"/>
            <w:left w:val="none" w:sz="0" w:space="0" w:color="auto"/>
            <w:bottom w:val="none" w:sz="0" w:space="0" w:color="auto"/>
            <w:right w:val="none" w:sz="0" w:space="0" w:color="auto"/>
          </w:divBdr>
        </w:div>
        <w:div w:id="2068338826">
          <w:marLeft w:val="0"/>
          <w:marRight w:val="0"/>
          <w:marTop w:val="0"/>
          <w:marBottom w:val="0"/>
          <w:divBdr>
            <w:top w:val="none" w:sz="0" w:space="0" w:color="auto"/>
            <w:left w:val="none" w:sz="0" w:space="0" w:color="auto"/>
            <w:bottom w:val="none" w:sz="0" w:space="0" w:color="auto"/>
            <w:right w:val="none" w:sz="0" w:space="0" w:color="auto"/>
          </w:divBdr>
        </w:div>
        <w:div w:id="2080710000">
          <w:marLeft w:val="0"/>
          <w:marRight w:val="0"/>
          <w:marTop w:val="0"/>
          <w:marBottom w:val="0"/>
          <w:divBdr>
            <w:top w:val="none" w:sz="0" w:space="0" w:color="auto"/>
            <w:left w:val="none" w:sz="0" w:space="0" w:color="auto"/>
            <w:bottom w:val="none" w:sz="0" w:space="0" w:color="auto"/>
            <w:right w:val="none" w:sz="0" w:space="0" w:color="auto"/>
          </w:divBdr>
        </w:div>
        <w:div w:id="2083604173">
          <w:marLeft w:val="0"/>
          <w:marRight w:val="0"/>
          <w:marTop w:val="0"/>
          <w:marBottom w:val="0"/>
          <w:divBdr>
            <w:top w:val="none" w:sz="0" w:space="0" w:color="auto"/>
            <w:left w:val="none" w:sz="0" w:space="0" w:color="auto"/>
            <w:bottom w:val="none" w:sz="0" w:space="0" w:color="auto"/>
            <w:right w:val="none" w:sz="0" w:space="0" w:color="auto"/>
          </w:divBdr>
        </w:div>
      </w:divsChild>
    </w:div>
    <w:div w:id="1003239215">
      <w:bodyDiv w:val="1"/>
      <w:marLeft w:val="0"/>
      <w:marRight w:val="0"/>
      <w:marTop w:val="0"/>
      <w:marBottom w:val="0"/>
      <w:divBdr>
        <w:top w:val="none" w:sz="0" w:space="0" w:color="auto"/>
        <w:left w:val="none" w:sz="0" w:space="0" w:color="auto"/>
        <w:bottom w:val="none" w:sz="0" w:space="0" w:color="auto"/>
        <w:right w:val="none" w:sz="0" w:space="0" w:color="auto"/>
      </w:divBdr>
    </w:div>
    <w:div w:id="1010832769">
      <w:bodyDiv w:val="1"/>
      <w:marLeft w:val="0"/>
      <w:marRight w:val="0"/>
      <w:marTop w:val="0"/>
      <w:marBottom w:val="0"/>
      <w:divBdr>
        <w:top w:val="none" w:sz="0" w:space="0" w:color="auto"/>
        <w:left w:val="none" w:sz="0" w:space="0" w:color="auto"/>
        <w:bottom w:val="none" w:sz="0" w:space="0" w:color="auto"/>
        <w:right w:val="none" w:sz="0" w:space="0" w:color="auto"/>
      </w:divBdr>
    </w:div>
    <w:div w:id="1103379413">
      <w:bodyDiv w:val="1"/>
      <w:marLeft w:val="0"/>
      <w:marRight w:val="0"/>
      <w:marTop w:val="0"/>
      <w:marBottom w:val="0"/>
      <w:divBdr>
        <w:top w:val="none" w:sz="0" w:space="0" w:color="auto"/>
        <w:left w:val="none" w:sz="0" w:space="0" w:color="auto"/>
        <w:bottom w:val="none" w:sz="0" w:space="0" w:color="auto"/>
        <w:right w:val="none" w:sz="0" w:space="0" w:color="auto"/>
      </w:divBdr>
    </w:div>
    <w:div w:id="1133602128">
      <w:bodyDiv w:val="1"/>
      <w:marLeft w:val="0"/>
      <w:marRight w:val="0"/>
      <w:marTop w:val="0"/>
      <w:marBottom w:val="0"/>
      <w:divBdr>
        <w:top w:val="none" w:sz="0" w:space="0" w:color="auto"/>
        <w:left w:val="none" w:sz="0" w:space="0" w:color="auto"/>
        <w:bottom w:val="none" w:sz="0" w:space="0" w:color="auto"/>
        <w:right w:val="none" w:sz="0" w:space="0" w:color="auto"/>
      </w:divBdr>
    </w:div>
    <w:div w:id="1310280675">
      <w:bodyDiv w:val="1"/>
      <w:marLeft w:val="0"/>
      <w:marRight w:val="0"/>
      <w:marTop w:val="0"/>
      <w:marBottom w:val="0"/>
      <w:divBdr>
        <w:top w:val="none" w:sz="0" w:space="0" w:color="auto"/>
        <w:left w:val="none" w:sz="0" w:space="0" w:color="auto"/>
        <w:bottom w:val="none" w:sz="0" w:space="0" w:color="auto"/>
        <w:right w:val="none" w:sz="0" w:space="0" w:color="auto"/>
      </w:divBdr>
    </w:div>
    <w:div w:id="1321808433">
      <w:bodyDiv w:val="1"/>
      <w:marLeft w:val="0"/>
      <w:marRight w:val="0"/>
      <w:marTop w:val="0"/>
      <w:marBottom w:val="0"/>
      <w:divBdr>
        <w:top w:val="none" w:sz="0" w:space="0" w:color="auto"/>
        <w:left w:val="none" w:sz="0" w:space="0" w:color="auto"/>
        <w:bottom w:val="none" w:sz="0" w:space="0" w:color="auto"/>
        <w:right w:val="none" w:sz="0" w:space="0" w:color="auto"/>
      </w:divBdr>
    </w:div>
    <w:div w:id="1332945773">
      <w:bodyDiv w:val="1"/>
      <w:marLeft w:val="0"/>
      <w:marRight w:val="0"/>
      <w:marTop w:val="0"/>
      <w:marBottom w:val="0"/>
      <w:divBdr>
        <w:top w:val="none" w:sz="0" w:space="0" w:color="auto"/>
        <w:left w:val="none" w:sz="0" w:space="0" w:color="auto"/>
        <w:bottom w:val="none" w:sz="0" w:space="0" w:color="auto"/>
        <w:right w:val="none" w:sz="0" w:space="0" w:color="auto"/>
      </w:divBdr>
    </w:div>
    <w:div w:id="1350061006">
      <w:bodyDiv w:val="1"/>
      <w:marLeft w:val="0"/>
      <w:marRight w:val="0"/>
      <w:marTop w:val="0"/>
      <w:marBottom w:val="0"/>
      <w:divBdr>
        <w:top w:val="none" w:sz="0" w:space="0" w:color="auto"/>
        <w:left w:val="none" w:sz="0" w:space="0" w:color="auto"/>
        <w:bottom w:val="none" w:sz="0" w:space="0" w:color="auto"/>
        <w:right w:val="none" w:sz="0" w:space="0" w:color="auto"/>
      </w:divBdr>
    </w:div>
    <w:div w:id="1356350211">
      <w:bodyDiv w:val="1"/>
      <w:marLeft w:val="0"/>
      <w:marRight w:val="0"/>
      <w:marTop w:val="0"/>
      <w:marBottom w:val="0"/>
      <w:divBdr>
        <w:top w:val="none" w:sz="0" w:space="0" w:color="auto"/>
        <w:left w:val="none" w:sz="0" w:space="0" w:color="auto"/>
        <w:bottom w:val="none" w:sz="0" w:space="0" w:color="auto"/>
        <w:right w:val="none" w:sz="0" w:space="0" w:color="auto"/>
      </w:divBdr>
    </w:div>
    <w:div w:id="1385563169">
      <w:bodyDiv w:val="1"/>
      <w:marLeft w:val="0"/>
      <w:marRight w:val="0"/>
      <w:marTop w:val="0"/>
      <w:marBottom w:val="0"/>
      <w:divBdr>
        <w:top w:val="none" w:sz="0" w:space="0" w:color="auto"/>
        <w:left w:val="none" w:sz="0" w:space="0" w:color="auto"/>
        <w:bottom w:val="none" w:sz="0" w:space="0" w:color="auto"/>
        <w:right w:val="none" w:sz="0" w:space="0" w:color="auto"/>
      </w:divBdr>
    </w:div>
    <w:div w:id="1397506528">
      <w:bodyDiv w:val="1"/>
      <w:marLeft w:val="0"/>
      <w:marRight w:val="0"/>
      <w:marTop w:val="0"/>
      <w:marBottom w:val="0"/>
      <w:divBdr>
        <w:top w:val="none" w:sz="0" w:space="0" w:color="auto"/>
        <w:left w:val="none" w:sz="0" w:space="0" w:color="auto"/>
        <w:bottom w:val="none" w:sz="0" w:space="0" w:color="auto"/>
        <w:right w:val="none" w:sz="0" w:space="0" w:color="auto"/>
      </w:divBdr>
    </w:div>
    <w:div w:id="1472554417">
      <w:bodyDiv w:val="1"/>
      <w:marLeft w:val="0"/>
      <w:marRight w:val="0"/>
      <w:marTop w:val="0"/>
      <w:marBottom w:val="0"/>
      <w:divBdr>
        <w:top w:val="none" w:sz="0" w:space="0" w:color="auto"/>
        <w:left w:val="none" w:sz="0" w:space="0" w:color="auto"/>
        <w:bottom w:val="none" w:sz="0" w:space="0" w:color="auto"/>
        <w:right w:val="none" w:sz="0" w:space="0" w:color="auto"/>
      </w:divBdr>
    </w:div>
    <w:div w:id="1525557066">
      <w:bodyDiv w:val="1"/>
      <w:marLeft w:val="0"/>
      <w:marRight w:val="0"/>
      <w:marTop w:val="0"/>
      <w:marBottom w:val="0"/>
      <w:divBdr>
        <w:top w:val="none" w:sz="0" w:space="0" w:color="auto"/>
        <w:left w:val="none" w:sz="0" w:space="0" w:color="auto"/>
        <w:bottom w:val="none" w:sz="0" w:space="0" w:color="auto"/>
        <w:right w:val="none" w:sz="0" w:space="0" w:color="auto"/>
      </w:divBdr>
    </w:div>
    <w:div w:id="1546289119">
      <w:bodyDiv w:val="1"/>
      <w:marLeft w:val="0"/>
      <w:marRight w:val="0"/>
      <w:marTop w:val="0"/>
      <w:marBottom w:val="0"/>
      <w:divBdr>
        <w:top w:val="none" w:sz="0" w:space="0" w:color="auto"/>
        <w:left w:val="none" w:sz="0" w:space="0" w:color="auto"/>
        <w:bottom w:val="none" w:sz="0" w:space="0" w:color="auto"/>
        <w:right w:val="none" w:sz="0" w:space="0" w:color="auto"/>
      </w:divBdr>
    </w:div>
    <w:div w:id="1568109462">
      <w:bodyDiv w:val="1"/>
      <w:marLeft w:val="0"/>
      <w:marRight w:val="0"/>
      <w:marTop w:val="0"/>
      <w:marBottom w:val="0"/>
      <w:divBdr>
        <w:top w:val="none" w:sz="0" w:space="0" w:color="auto"/>
        <w:left w:val="none" w:sz="0" w:space="0" w:color="auto"/>
        <w:bottom w:val="none" w:sz="0" w:space="0" w:color="auto"/>
        <w:right w:val="none" w:sz="0" w:space="0" w:color="auto"/>
      </w:divBdr>
    </w:div>
    <w:div w:id="1604341977">
      <w:bodyDiv w:val="1"/>
      <w:marLeft w:val="0"/>
      <w:marRight w:val="0"/>
      <w:marTop w:val="0"/>
      <w:marBottom w:val="0"/>
      <w:divBdr>
        <w:top w:val="none" w:sz="0" w:space="0" w:color="auto"/>
        <w:left w:val="none" w:sz="0" w:space="0" w:color="auto"/>
        <w:bottom w:val="none" w:sz="0" w:space="0" w:color="auto"/>
        <w:right w:val="none" w:sz="0" w:space="0" w:color="auto"/>
      </w:divBdr>
    </w:div>
    <w:div w:id="1609388960">
      <w:bodyDiv w:val="1"/>
      <w:marLeft w:val="0"/>
      <w:marRight w:val="0"/>
      <w:marTop w:val="0"/>
      <w:marBottom w:val="0"/>
      <w:divBdr>
        <w:top w:val="none" w:sz="0" w:space="0" w:color="auto"/>
        <w:left w:val="none" w:sz="0" w:space="0" w:color="auto"/>
        <w:bottom w:val="none" w:sz="0" w:space="0" w:color="auto"/>
        <w:right w:val="none" w:sz="0" w:space="0" w:color="auto"/>
      </w:divBdr>
    </w:div>
    <w:div w:id="1616249042">
      <w:bodyDiv w:val="1"/>
      <w:marLeft w:val="0"/>
      <w:marRight w:val="0"/>
      <w:marTop w:val="0"/>
      <w:marBottom w:val="0"/>
      <w:divBdr>
        <w:top w:val="none" w:sz="0" w:space="0" w:color="auto"/>
        <w:left w:val="none" w:sz="0" w:space="0" w:color="auto"/>
        <w:bottom w:val="none" w:sz="0" w:space="0" w:color="auto"/>
        <w:right w:val="none" w:sz="0" w:space="0" w:color="auto"/>
      </w:divBdr>
    </w:div>
    <w:div w:id="1679119423">
      <w:bodyDiv w:val="1"/>
      <w:marLeft w:val="0"/>
      <w:marRight w:val="0"/>
      <w:marTop w:val="0"/>
      <w:marBottom w:val="0"/>
      <w:divBdr>
        <w:top w:val="none" w:sz="0" w:space="0" w:color="auto"/>
        <w:left w:val="none" w:sz="0" w:space="0" w:color="auto"/>
        <w:bottom w:val="none" w:sz="0" w:space="0" w:color="auto"/>
        <w:right w:val="none" w:sz="0" w:space="0" w:color="auto"/>
      </w:divBdr>
    </w:div>
    <w:div w:id="1725717980">
      <w:bodyDiv w:val="1"/>
      <w:marLeft w:val="0"/>
      <w:marRight w:val="0"/>
      <w:marTop w:val="0"/>
      <w:marBottom w:val="0"/>
      <w:divBdr>
        <w:top w:val="none" w:sz="0" w:space="0" w:color="auto"/>
        <w:left w:val="none" w:sz="0" w:space="0" w:color="auto"/>
        <w:bottom w:val="none" w:sz="0" w:space="0" w:color="auto"/>
        <w:right w:val="none" w:sz="0" w:space="0" w:color="auto"/>
      </w:divBdr>
    </w:div>
    <w:div w:id="1736582664">
      <w:bodyDiv w:val="1"/>
      <w:marLeft w:val="0"/>
      <w:marRight w:val="0"/>
      <w:marTop w:val="0"/>
      <w:marBottom w:val="0"/>
      <w:divBdr>
        <w:top w:val="none" w:sz="0" w:space="0" w:color="auto"/>
        <w:left w:val="none" w:sz="0" w:space="0" w:color="auto"/>
        <w:bottom w:val="none" w:sz="0" w:space="0" w:color="auto"/>
        <w:right w:val="none" w:sz="0" w:space="0" w:color="auto"/>
      </w:divBdr>
    </w:div>
    <w:div w:id="1762556326">
      <w:bodyDiv w:val="1"/>
      <w:marLeft w:val="0"/>
      <w:marRight w:val="0"/>
      <w:marTop w:val="0"/>
      <w:marBottom w:val="0"/>
      <w:divBdr>
        <w:top w:val="none" w:sz="0" w:space="0" w:color="auto"/>
        <w:left w:val="none" w:sz="0" w:space="0" w:color="auto"/>
        <w:bottom w:val="none" w:sz="0" w:space="0" w:color="auto"/>
        <w:right w:val="none" w:sz="0" w:space="0" w:color="auto"/>
      </w:divBdr>
    </w:div>
    <w:div w:id="1768501516">
      <w:bodyDiv w:val="1"/>
      <w:marLeft w:val="0"/>
      <w:marRight w:val="0"/>
      <w:marTop w:val="0"/>
      <w:marBottom w:val="0"/>
      <w:divBdr>
        <w:top w:val="none" w:sz="0" w:space="0" w:color="auto"/>
        <w:left w:val="none" w:sz="0" w:space="0" w:color="auto"/>
        <w:bottom w:val="none" w:sz="0" w:space="0" w:color="auto"/>
        <w:right w:val="none" w:sz="0" w:space="0" w:color="auto"/>
      </w:divBdr>
    </w:div>
    <w:div w:id="1833370430">
      <w:bodyDiv w:val="1"/>
      <w:marLeft w:val="0"/>
      <w:marRight w:val="0"/>
      <w:marTop w:val="0"/>
      <w:marBottom w:val="0"/>
      <w:divBdr>
        <w:top w:val="none" w:sz="0" w:space="0" w:color="auto"/>
        <w:left w:val="none" w:sz="0" w:space="0" w:color="auto"/>
        <w:bottom w:val="none" w:sz="0" w:space="0" w:color="auto"/>
        <w:right w:val="none" w:sz="0" w:space="0" w:color="auto"/>
      </w:divBdr>
    </w:div>
    <w:div w:id="1859270274">
      <w:bodyDiv w:val="1"/>
      <w:marLeft w:val="0"/>
      <w:marRight w:val="0"/>
      <w:marTop w:val="0"/>
      <w:marBottom w:val="0"/>
      <w:divBdr>
        <w:top w:val="none" w:sz="0" w:space="0" w:color="auto"/>
        <w:left w:val="none" w:sz="0" w:space="0" w:color="auto"/>
        <w:bottom w:val="none" w:sz="0" w:space="0" w:color="auto"/>
        <w:right w:val="none" w:sz="0" w:space="0" w:color="auto"/>
      </w:divBdr>
    </w:div>
    <w:div w:id="1986886318">
      <w:bodyDiv w:val="1"/>
      <w:marLeft w:val="0"/>
      <w:marRight w:val="0"/>
      <w:marTop w:val="0"/>
      <w:marBottom w:val="0"/>
      <w:divBdr>
        <w:top w:val="none" w:sz="0" w:space="0" w:color="auto"/>
        <w:left w:val="none" w:sz="0" w:space="0" w:color="auto"/>
        <w:bottom w:val="none" w:sz="0" w:space="0" w:color="auto"/>
        <w:right w:val="none" w:sz="0" w:space="0" w:color="auto"/>
      </w:divBdr>
    </w:div>
    <w:div w:id="1999187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GB.XSL" StyleName="GB7714" Version="2005">
  <b:Source>
    <b:Tag>RP21</b:Tag>
    <b:SourceType>Report</b:SourceType>
    <b:Guid>{F5889CDF-F487-46B8-9F09-4C113BDFC56C}</b:Guid>
    <b:Author>
      <b:Author>
        <b:NameList>
          <b:Person>
            <b:Last>RP-200928</b:Last>
          </b:Person>
        </b:NameList>
      </b:Author>
    </b:Author>
    <b:Title>New WID on NR Positioning Enhancements </b:Title>
    <b:RefOrder>1</b:RefOrder>
  </b:Source>
</b:Sources>
</file>

<file path=customXml/itemProps1.xml><?xml version="1.0" encoding="utf-8"?>
<ds:datastoreItem xmlns:ds="http://schemas.openxmlformats.org/officeDocument/2006/customXml" ds:itemID="{FC613CAF-73C9-439B-A8D2-2DC754585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A9114D-EEB0-46B4-8A2C-28665F45D342}">
  <ds:schemaRefs>
    <ds:schemaRef ds:uri="http://schemas.microsoft.com/sharepoint/v3/contenttype/forms"/>
  </ds:schemaRefs>
</ds:datastoreItem>
</file>

<file path=customXml/itemProps3.xml><?xml version="1.0" encoding="utf-8"?>
<ds:datastoreItem xmlns:ds="http://schemas.openxmlformats.org/officeDocument/2006/customXml" ds:itemID="{B09D9A24-A49B-4741-90C4-A0573ACC1D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B1538E-5FD0-451D-A214-F8D0C9433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909</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2021-01-18T15:17:00Z</dcterms:created>
  <dcterms:modified xsi:type="dcterms:W3CDTF">2021-01-18T17:28:00Z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ies>
</file>