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6F82D765" w:rsidR="00695123" w:rsidRPr="00695123" w:rsidRDefault="008857D2" w:rsidP="00695123">
      <w:pPr>
        <w:tabs>
          <w:tab w:val="center" w:pos="4536"/>
          <w:tab w:val="right" w:pos="8280"/>
          <w:tab w:val="right" w:pos="9639"/>
        </w:tabs>
        <w:ind w:right="2"/>
        <w:rPr>
          <w:b/>
          <w:bCs/>
          <w:sz w:val="28"/>
        </w:rPr>
      </w:pPr>
      <w:r>
        <w:rPr>
          <w:b/>
          <w:bCs/>
          <w:sz w:val="28"/>
        </w:rPr>
        <w:t>3GPP TSG RAN WG1 #104</w:t>
      </w:r>
      <w:r w:rsidR="00695123" w:rsidRPr="00695123">
        <w:rPr>
          <w:b/>
          <w:bCs/>
          <w:sz w:val="28"/>
        </w:rPr>
        <w:t>-e</w:t>
      </w:r>
      <w:r w:rsidR="00695123" w:rsidRPr="00695123">
        <w:rPr>
          <w:b/>
          <w:bCs/>
          <w:sz w:val="28"/>
        </w:rPr>
        <w:tab/>
      </w:r>
      <w:r w:rsidR="00695123" w:rsidRPr="00695123">
        <w:rPr>
          <w:b/>
          <w:bCs/>
          <w:sz w:val="28"/>
        </w:rPr>
        <w:tab/>
      </w:r>
      <w:bookmarkStart w:id="0" w:name="_GoBack"/>
      <w:r w:rsidR="00E06A43">
        <w:rPr>
          <w:b/>
          <w:bCs/>
          <w:sz w:val="28"/>
        </w:rPr>
        <w:tab/>
      </w:r>
      <w:r w:rsidR="00E06A43" w:rsidRPr="00E06A43">
        <w:rPr>
          <w:b/>
          <w:bCs/>
          <w:sz w:val="28"/>
        </w:rPr>
        <w:t>R1-2100607</w:t>
      </w:r>
      <w:bookmarkEnd w:id="0"/>
    </w:p>
    <w:p w14:paraId="468022D7" w14:textId="472562E9" w:rsidR="005C41F1" w:rsidRPr="00695123" w:rsidRDefault="007A4E87" w:rsidP="00695123">
      <w:pPr>
        <w:spacing w:afterLines="50" w:after="120"/>
        <w:ind w:left="1985" w:hanging="1985"/>
        <w:rPr>
          <w:b/>
          <w:sz w:val="28"/>
          <w:szCs w:val="28"/>
        </w:rPr>
      </w:pPr>
      <w:r>
        <w:rPr>
          <w:rFonts w:eastAsia="MS Mincho"/>
          <w:b/>
          <w:bCs/>
          <w:sz w:val="28"/>
          <w:lang w:eastAsia="ja-JP"/>
        </w:rPr>
        <w:t>e-Meeting, January 25</w:t>
      </w:r>
      <w:r w:rsidR="00695123" w:rsidRPr="00695123">
        <w:rPr>
          <w:rFonts w:eastAsia="MS Mincho"/>
          <w:b/>
          <w:bCs/>
          <w:sz w:val="28"/>
          <w:vertAlign w:val="superscript"/>
          <w:lang w:eastAsia="ja-JP"/>
        </w:rPr>
        <w:t>th</w:t>
      </w:r>
      <w:r>
        <w:rPr>
          <w:rFonts w:eastAsia="MS Mincho"/>
          <w:b/>
          <w:bCs/>
          <w:sz w:val="28"/>
          <w:lang w:eastAsia="ja-JP"/>
        </w:rPr>
        <w:t xml:space="preserve"> – February 5</w:t>
      </w:r>
      <w:r w:rsidR="00695123" w:rsidRPr="00695123">
        <w:rPr>
          <w:rFonts w:eastAsia="MS Mincho"/>
          <w:b/>
          <w:bCs/>
          <w:sz w:val="28"/>
          <w:vertAlign w:val="superscript"/>
          <w:lang w:eastAsia="ja-JP"/>
        </w:rPr>
        <w:t>th</w:t>
      </w:r>
      <w:r w:rsidR="00695123" w:rsidRPr="00695123">
        <w:rPr>
          <w:rFonts w:eastAsia="MS Mincho"/>
          <w:b/>
          <w:bCs/>
          <w:sz w:val="28"/>
          <w:lang w:eastAsia="ja-JP"/>
        </w:rPr>
        <w:t>, 2020</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01E92E83"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8857D2" w:rsidRPr="008857D2">
        <w:rPr>
          <w:b/>
          <w:sz w:val="28"/>
          <w:szCs w:val="28"/>
        </w:rPr>
        <w:t>Initial ac</w:t>
      </w:r>
      <w:r w:rsidR="005F3C75">
        <w:rPr>
          <w:b/>
          <w:sz w:val="28"/>
          <w:szCs w:val="28"/>
        </w:rPr>
        <w:t>c</w:t>
      </w:r>
      <w:r w:rsidR="008857D2" w:rsidRPr="008857D2">
        <w:rPr>
          <w:b/>
          <w:sz w:val="28"/>
          <w:szCs w:val="28"/>
        </w:rPr>
        <w:t>ess aspects for NR operations in 52.6-71 GHz</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257492"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77F2F49B" w14:textId="77777777" w:rsidR="008857D2" w:rsidRDefault="008857D2" w:rsidP="008857D2">
      <w:pPr>
        <w:rPr>
          <w:noProof/>
        </w:rPr>
      </w:pPr>
      <w:r>
        <w:t>After #</w:t>
      </w:r>
      <w:r>
        <w:rPr>
          <w:rFonts w:eastAsia="MS Mincho"/>
          <w:lang w:eastAsia="ja-JP"/>
        </w:rPr>
        <w:t>RAN1 103</w:t>
      </w:r>
      <w:r w:rsidRPr="00116387">
        <w:rPr>
          <w:rFonts w:eastAsia="MS Mincho"/>
          <w:lang w:eastAsia="ja-JP"/>
        </w:rPr>
        <w:t>-e</w:t>
      </w:r>
      <w:r>
        <w:rPr>
          <w:rFonts w:eastAsia="MS Mincho"/>
          <w:lang w:eastAsia="ja-JP"/>
        </w:rPr>
        <w:t xml:space="preserve"> meeting,</w:t>
      </w:r>
      <w:r>
        <w:t xml:space="preserve"> many proposals and agreements have been discussed and achieved. </w:t>
      </w:r>
      <w:r w:rsidRPr="001156D8">
        <w:rPr>
          <w:noProof/>
        </w:rPr>
        <w:t>TSG RAN #90-e</w:t>
      </w:r>
      <w:r>
        <w:rPr>
          <w:noProof/>
        </w:rPr>
        <w:t xml:space="preserve"> meeting further listed several WI objectives based on the agreements of the SI meetings. In particular, the WI objectives of initial access aspects for above 52.6 GHz are summarized as follows [1].</w:t>
      </w:r>
    </w:p>
    <w:p w14:paraId="3E9EE388" w14:textId="77777777" w:rsidR="008857D2" w:rsidRPr="00B33823" w:rsidRDefault="008857D2" w:rsidP="008857D2">
      <w:pPr>
        <w:pStyle w:val="af2"/>
        <w:numPr>
          <w:ilvl w:val="0"/>
          <w:numId w:val="48"/>
        </w:numPr>
        <w:spacing w:line="259" w:lineRule="auto"/>
        <w:rPr>
          <w:noProof/>
          <w:sz w:val="22"/>
          <w:szCs w:val="22"/>
          <w:lang w:val="en-GB" w:eastAsia="zh-TW"/>
        </w:rPr>
      </w:pPr>
      <w:r w:rsidRPr="00B33823">
        <w:rPr>
          <w:noProof/>
          <w:sz w:val="22"/>
          <w:szCs w:val="22"/>
          <w:lang w:val="en-GB" w:eastAsia="zh-TW"/>
        </w:rPr>
        <w:t>Supports 120kHz SCS for SSB and 120kHz SCS for initial access related signals/channels in an initial BWP.</w:t>
      </w:r>
    </w:p>
    <w:p w14:paraId="708BB0BE" w14:textId="77777777" w:rsidR="008857D2" w:rsidRPr="00B33823" w:rsidRDefault="008857D2" w:rsidP="008857D2">
      <w:pPr>
        <w:pStyle w:val="af2"/>
        <w:numPr>
          <w:ilvl w:val="1"/>
          <w:numId w:val="48"/>
        </w:numPr>
        <w:spacing w:line="259" w:lineRule="auto"/>
        <w:rPr>
          <w:noProof/>
          <w:sz w:val="22"/>
          <w:szCs w:val="22"/>
          <w:lang w:val="en-GB" w:eastAsia="zh-TW"/>
        </w:rPr>
      </w:pPr>
      <w:r w:rsidRPr="00B33823">
        <w:rPr>
          <w:noProof/>
          <w:sz w:val="22"/>
          <w:szCs w:val="22"/>
          <w:lang w:val="en-GB" w:eastAsia="zh-TW"/>
        </w:rPr>
        <w:t>Study and specify, if needed, additional SCS (240kHz, 480kHz, 960kHz) for SSB, and additional SCS(480kHz, 960kHz) for initial access related signals/channels in initial BWP.</w:t>
      </w:r>
    </w:p>
    <w:p w14:paraId="3A086F25" w14:textId="77777777" w:rsidR="008857D2" w:rsidRPr="00B33823" w:rsidRDefault="008857D2" w:rsidP="008857D2">
      <w:pPr>
        <w:pStyle w:val="af2"/>
        <w:numPr>
          <w:ilvl w:val="1"/>
          <w:numId w:val="48"/>
        </w:numPr>
        <w:spacing w:line="259" w:lineRule="auto"/>
        <w:rPr>
          <w:noProof/>
          <w:sz w:val="22"/>
          <w:szCs w:val="22"/>
          <w:lang w:val="en-GB" w:eastAsia="zh-TW"/>
        </w:rPr>
      </w:pPr>
      <w:r w:rsidRPr="00B33823">
        <w:rPr>
          <w:noProof/>
          <w:sz w:val="22"/>
          <w:szCs w:val="22"/>
          <w:lang w:val="en-GB" w:eastAsia="zh-TW"/>
        </w:rPr>
        <w:t>Study and specify, if needed, additional SCS (480kHz, 960kHz) for SSB for cases other than initial access.</w:t>
      </w:r>
    </w:p>
    <w:p w14:paraId="709CBDAC" w14:textId="77777777" w:rsidR="008857D2" w:rsidRPr="00B33823" w:rsidRDefault="008857D2" w:rsidP="008857D2">
      <w:pPr>
        <w:numPr>
          <w:ilvl w:val="0"/>
          <w:numId w:val="48"/>
        </w:numPr>
        <w:spacing w:after="160" w:line="259" w:lineRule="auto"/>
        <w:rPr>
          <w:noProof/>
          <w:lang w:val="en-GB"/>
        </w:rPr>
      </w:pPr>
      <w:r w:rsidRPr="00B33823">
        <w:rPr>
          <w:rFonts w:hint="eastAsia"/>
          <w:noProof/>
          <w:lang w:val="en-GB"/>
        </w:rPr>
        <w:t xml:space="preserve">Specify support for PRACH sequence lengths (i.e. </w:t>
      </w:r>
      <w:r w:rsidRPr="00B33823">
        <w:rPr>
          <w:noProof/>
          <w:lang w:val="en-GB"/>
        </w:rPr>
        <w:t xml:space="preserve">L=139, </w:t>
      </w:r>
      <w:r w:rsidRPr="00B33823">
        <w:rPr>
          <w:rFonts w:hint="eastAsia"/>
          <w:noProof/>
          <w:lang w:val="en-GB"/>
        </w:rPr>
        <w:t xml:space="preserve">L=571 and L=1151) </w:t>
      </w:r>
      <w:bookmarkStart w:id="1" w:name="_Hlk58594915"/>
      <w:r w:rsidRPr="00B33823">
        <w:rPr>
          <w:rFonts w:hint="eastAsia"/>
          <w:noProof/>
          <w:lang w:val="en-GB"/>
        </w:rPr>
        <w:t xml:space="preserve">and </w:t>
      </w:r>
      <w:r w:rsidRPr="00B33823">
        <w:rPr>
          <w:noProof/>
          <w:lang w:val="en-GB"/>
        </w:rPr>
        <w:t xml:space="preserve">study, </w:t>
      </w:r>
      <w:r w:rsidRPr="00B33823">
        <w:rPr>
          <w:rFonts w:hint="eastAsia"/>
          <w:noProof/>
          <w:lang w:val="en-GB"/>
        </w:rPr>
        <w:t>if needed, specify support for</w:t>
      </w:r>
      <w:r w:rsidRPr="00B33823">
        <w:rPr>
          <w:noProof/>
          <w:lang w:val="en-GB"/>
        </w:rPr>
        <w:t xml:space="preserve"> RO configuration for</w:t>
      </w:r>
      <w:r w:rsidRPr="00B33823">
        <w:rPr>
          <w:rFonts w:hint="eastAsia"/>
          <w:noProof/>
          <w:lang w:val="en-GB"/>
        </w:rPr>
        <w:t xml:space="preserve"> non-consecutive RACH occasions (RO) in </w:t>
      </w:r>
      <w:bookmarkEnd w:id="1"/>
      <w:r w:rsidRPr="00B33823">
        <w:rPr>
          <w:noProof/>
          <w:lang w:val="en-GB"/>
        </w:rPr>
        <w:t xml:space="preserve">time domain for operation in shared spectrum </w:t>
      </w:r>
    </w:p>
    <w:p w14:paraId="02219E3F" w14:textId="5E742DAE" w:rsidR="004E01EA" w:rsidRPr="008857D2" w:rsidRDefault="008857D2" w:rsidP="008857D2">
      <w:pPr>
        <w:rPr>
          <w:i/>
          <w:sz w:val="8"/>
          <w:szCs w:val="12"/>
        </w:rPr>
      </w:pPr>
      <w:r>
        <w:t>In this contribution, we provide our view on initial access aspects for NR operations in 52.6-71 GHz.</w:t>
      </w:r>
    </w:p>
    <w:p w14:paraId="479BFEA9" w14:textId="165C02DE" w:rsidR="00494DC2" w:rsidRPr="007D4109" w:rsidRDefault="00257492"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615CE7CE" w:rsidR="004366E0" w:rsidRPr="0014253C" w:rsidRDefault="00D157EF" w:rsidP="004366E0">
      <w:pPr>
        <w:pStyle w:val="af2"/>
        <w:numPr>
          <w:ilvl w:val="0"/>
          <w:numId w:val="5"/>
        </w:numPr>
        <w:spacing w:beforeLines="50" w:before="120" w:afterLines="50" w:after="120"/>
        <w:contextualSpacing w:val="0"/>
        <w:outlineLvl w:val="0"/>
        <w:rPr>
          <w:rFonts w:eastAsia="SimSun"/>
          <w:b/>
          <w:sz w:val="28"/>
        </w:rPr>
      </w:pPr>
      <w:bookmarkStart w:id="2" w:name="_Ref494794648"/>
      <w:r>
        <w:rPr>
          <w:b/>
          <w:sz w:val="28"/>
        </w:rPr>
        <w:t>SSB</w:t>
      </w:r>
    </w:p>
    <w:p w14:paraId="768A9ED4" w14:textId="5F1B21AA" w:rsidR="00307542" w:rsidRDefault="008857D2" w:rsidP="008857D2">
      <w:pPr>
        <w:rPr>
          <w:color w:val="000000" w:themeColor="text1"/>
          <w:lang w:val="en-GB" w:eastAsia="x-none"/>
        </w:rPr>
      </w:pPr>
      <w:r w:rsidRPr="00FC3BFB">
        <w:rPr>
          <w:color w:val="000000" w:themeColor="text1"/>
          <w:lang w:val="en-GB" w:eastAsia="x-none"/>
        </w:rPr>
        <w:t>It is indicated by the agreement in RAN1#103-e that smaller and larger SCSs have its pros and cons.</w:t>
      </w:r>
      <w:r>
        <w:rPr>
          <w:color w:val="000000" w:themeColor="text1"/>
          <w:lang w:val="en-GB" w:eastAsia="x-none"/>
        </w:rPr>
        <w:t xml:space="preserve"> </w:t>
      </w:r>
      <w:r w:rsidR="008A5E82">
        <w:rPr>
          <w:color w:val="000000" w:themeColor="text1"/>
          <w:lang w:val="en-GB" w:eastAsia="x-none"/>
        </w:rPr>
        <w:t>Specifically, it has been identified in [2]</w:t>
      </w:r>
      <w:r w:rsidRPr="00FC3BFB">
        <w:rPr>
          <w:color w:val="000000" w:themeColor="text1"/>
          <w:lang w:val="en-GB" w:eastAsia="x-none"/>
        </w:rPr>
        <w:t xml:space="preserve"> that smaller SCS may potentially provide larger coverage; while larger SCS may potentially provide higher peak data rates. From the initial access perspective, the SCS that can provide better coverage instead of data rate should be adopted. </w:t>
      </w:r>
      <w:r>
        <w:rPr>
          <w:color w:val="000000" w:themeColor="text1"/>
          <w:lang w:val="en-GB" w:eastAsia="x-none"/>
        </w:rPr>
        <w:t xml:space="preserve">Since </w:t>
      </w:r>
      <w:r w:rsidRPr="00FC3BFB">
        <w:rPr>
          <w:color w:val="000000" w:themeColor="text1"/>
          <w:lang w:val="en-GB" w:eastAsia="x-none"/>
        </w:rPr>
        <w:t xml:space="preserve">120 kHz, which can provide superior coverage area among candidate SCSs, has been supported </w:t>
      </w:r>
      <w:r>
        <w:rPr>
          <w:color w:val="000000" w:themeColor="text1"/>
          <w:lang w:val="en-GB" w:eastAsia="x-none"/>
        </w:rPr>
        <w:t>in the WI,</w:t>
      </w:r>
      <w:r w:rsidRPr="00FC3BFB">
        <w:rPr>
          <w:color w:val="000000" w:themeColor="text1"/>
          <w:lang w:val="en-GB" w:eastAsia="x-none"/>
        </w:rPr>
        <w:t xml:space="preserve"> </w:t>
      </w:r>
      <w:r>
        <w:rPr>
          <w:color w:val="000000" w:themeColor="text1"/>
          <w:lang w:val="en-GB" w:eastAsia="x-none"/>
        </w:rPr>
        <w:t>o</w:t>
      </w:r>
      <w:r w:rsidRPr="00FC3BFB">
        <w:rPr>
          <w:color w:val="000000" w:themeColor="text1"/>
          <w:lang w:val="en-GB" w:eastAsia="x-none"/>
        </w:rPr>
        <w:t xml:space="preserve">ur preference is to minimize specification </w:t>
      </w:r>
      <w:r>
        <w:rPr>
          <w:color w:val="000000" w:themeColor="text1"/>
          <w:lang w:val="en-GB" w:eastAsia="x-none"/>
        </w:rPr>
        <w:t xml:space="preserve">impact </w:t>
      </w:r>
      <w:r w:rsidRPr="00FC3BFB">
        <w:rPr>
          <w:color w:val="000000" w:themeColor="text1"/>
          <w:lang w:val="en-GB" w:eastAsia="x-none"/>
        </w:rPr>
        <w:t>and implementation complexity</w:t>
      </w:r>
      <w:r>
        <w:rPr>
          <w:color w:val="000000" w:themeColor="text1"/>
          <w:lang w:val="en-GB" w:eastAsia="x-none"/>
        </w:rPr>
        <w:t xml:space="preserve"> by supporting only 120 kHz as SSB SCS</w:t>
      </w:r>
      <w:r w:rsidRPr="00FC3BFB">
        <w:rPr>
          <w:color w:val="000000" w:themeColor="text1"/>
          <w:lang w:val="en-GB" w:eastAsia="x-none"/>
        </w:rPr>
        <w:t xml:space="preserve">. </w:t>
      </w:r>
      <w:r>
        <w:rPr>
          <w:color w:val="000000" w:themeColor="text1"/>
          <w:lang w:val="en-GB" w:eastAsia="x-none"/>
        </w:rPr>
        <w:t>On the other hand, both 480 kHz and 960 kHz are agreed to be optional SCSs for UE in RAN #90-e meeting</w:t>
      </w:r>
      <w:r w:rsidR="00F104FF">
        <w:rPr>
          <w:color w:val="000000" w:themeColor="text1"/>
          <w:lang w:val="en-GB" w:eastAsia="x-none"/>
        </w:rPr>
        <w:t>,</w:t>
      </w:r>
      <w:r>
        <w:rPr>
          <w:color w:val="000000" w:themeColor="text1"/>
          <w:lang w:val="en-GB" w:eastAsia="x-none"/>
        </w:rPr>
        <w:t xml:space="preserve"> and it is not feasible to mandate a UE to support SSB SCS other than 120 kHz in initial access. </w:t>
      </w:r>
      <w:r w:rsidRPr="00FC3BFB">
        <w:rPr>
          <w:color w:val="000000" w:themeColor="text1"/>
          <w:lang w:val="en-GB" w:eastAsia="x-none"/>
        </w:rPr>
        <w:t>Thus, there is no need to introduce additi</w:t>
      </w:r>
      <w:r>
        <w:rPr>
          <w:color w:val="000000" w:themeColor="text1"/>
          <w:lang w:val="en-GB" w:eastAsia="x-none"/>
        </w:rPr>
        <w:t>onal SCS other than 120 kHz for SSB in initial access</w:t>
      </w:r>
      <w:r w:rsidRPr="00FC3BFB">
        <w:rPr>
          <w:color w:val="000000" w:themeColor="text1"/>
          <w:lang w:val="en-GB" w:eastAsia="x-none"/>
        </w:rPr>
        <w:t>.</w:t>
      </w:r>
    </w:p>
    <w:p w14:paraId="5AB7C7C2" w14:textId="77777777" w:rsidR="007A3AEB" w:rsidRPr="00C04488" w:rsidRDefault="007A3AEB" w:rsidP="008857D2">
      <w:pPr>
        <w:rPr>
          <w:color w:val="000000" w:themeColor="text1"/>
          <w:lang w:val="en-GB" w:eastAsia="x-none"/>
        </w:rPr>
      </w:pPr>
    </w:p>
    <w:p w14:paraId="3EFC25E6" w14:textId="0B8B61AA" w:rsidR="00307542" w:rsidRPr="00026B8D" w:rsidRDefault="008857D2" w:rsidP="00026B8D">
      <w:pPr>
        <w:rPr>
          <w:b/>
        </w:rPr>
      </w:pPr>
      <w:bookmarkStart w:id="3" w:name="_Ref61380731"/>
      <w:r w:rsidRPr="00026B8D">
        <w:rPr>
          <w:b/>
        </w:rPr>
        <w:t xml:space="preserve">Proposal </w:t>
      </w:r>
      <w:r w:rsidRPr="00026B8D">
        <w:rPr>
          <w:b/>
        </w:rPr>
        <w:fldChar w:fldCharType="begin"/>
      </w:r>
      <w:r w:rsidRPr="00026B8D">
        <w:rPr>
          <w:b/>
        </w:rPr>
        <w:instrText xml:space="preserve"> SEQ Proposal \* ARABIC </w:instrText>
      </w:r>
      <w:r w:rsidRPr="00026B8D">
        <w:rPr>
          <w:b/>
        </w:rPr>
        <w:fldChar w:fldCharType="separate"/>
      </w:r>
      <w:r w:rsidRPr="00026B8D">
        <w:rPr>
          <w:b/>
          <w:noProof/>
        </w:rPr>
        <w:t>1</w:t>
      </w:r>
      <w:r w:rsidRPr="00026B8D">
        <w:rPr>
          <w:b/>
        </w:rPr>
        <w:fldChar w:fldCharType="end"/>
      </w:r>
      <w:r w:rsidRPr="00026B8D">
        <w:rPr>
          <w:b/>
        </w:rPr>
        <w:t>:</w:t>
      </w:r>
      <w:r w:rsidRPr="00026B8D">
        <w:rPr>
          <w:b/>
          <w:i/>
        </w:rPr>
        <w:t xml:space="preserve"> </w:t>
      </w:r>
      <w:r w:rsidRPr="00026B8D">
        <w:rPr>
          <w:b/>
        </w:rPr>
        <w:t>Support only 120 kHz for SSB</w:t>
      </w:r>
      <w:r w:rsidR="00FE4053">
        <w:rPr>
          <w:b/>
        </w:rPr>
        <w:t xml:space="preserve"> SCS</w:t>
      </w:r>
      <w:r w:rsidRPr="00026B8D">
        <w:rPr>
          <w:b/>
        </w:rPr>
        <w:t xml:space="preserve"> in initial access</w:t>
      </w:r>
      <w:bookmarkEnd w:id="3"/>
      <w:r w:rsidR="00FE4053">
        <w:rPr>
          <w:b/>
        </w:rPr>
        <w:t>.</w:t>
      </w:r>
    </w:p>
    <w:p w14:paraId="577731C5" w14:textId="77777777" w:rsidR="007A3AEB" w:rsidRPr="00307542" w:rsidRDefault="007A3AEB" w:rsidP="00026B8D"/>
    <w:p w14:paraId="748794EB" w14:textId="2E24904E" w:rsidR="005B187A" w:rsidRPr="0014253C" w:rsidRDefault="008857D2" w:rsidP="008857D2">
      <w:pPr>
        <w:pStyle w:val="af2"/>
        <w:numPr>
          <w:ilvl w:val="0"/>
          <w:numId w:val="5"/>
        </w:numPr>
        <w:spacing w:beforeLines="50" w:before="120" w:afterLines="50" w:after="120"/>
        <w:contextualSpacing w:val="0"/>
        <w:outlineLvl w:val="0"/>
        <w:rPr>
          <w:rFonts w:eastAsia="SimSun"/>
          <w:b/>
          <w:sz w:val="28"/>
        </w:rPr>
      </w:pPr>
      <w:r>
        <w:rPr>
          <w:b/>
          <w:sz w:val="28"/>
        </w:rPr>
        <w:t>PRACH</w:t>
      </w:r>
    </w:p>
    <w:p w14:paraId="2C1C3E23" w14:textId="77777777" w:rsidR="008857D2" w:rsidRPr="007C3D4C" w:rsidRDefault="008857D2" w:rsidP="008857D2">
      <w:pPr>
        <w:pStyle w:val="3"/>
        <w:rPr>
          <w:rStyle w:val="af6"/>
          <w:sz w:val="28"/>
          <w:szCs w:val="28"/>
        </w:rPr>
      </w:pPr>
      <w:r w:rsidRPr="007C3D4C">
        <w:rPr>
          <w:rStyle w:val="af6"/>
          <w:sz w:val="28"/>
          <w:szCs w:val="28"/>
        </w:rPr>
        <w:t>3.1 Subcarrier Spacing</w:t>
      </w:r>
    </w:p>
    <w:p w14:paraId="4D1A4720" w14:textId="766E2D8E" w:rsidR="000A76E4" w:rsidRDefault="005C1573" w:rsidP="005C1573">
      <w:pPr>
        <w:spacing w:afterLines="50" w:after="120"/>
      </w:pPr>
      <w:r w:rsidRPr="00307542">
        <w:t>As discussed in the previous section,</w:t>
      </w:r>
      <w:r w:rsidR="00A97800">
        <w:t xml:space="preserve"> since</w:t>
      </w:r>
      <w:r w:rsidRPr="00307542">
        <w:t xml:space="preserve"> </w:t>
      </w:r>
      <w:r w:rsidR="00A65849">
        <w:t>120 kHz is able to provide better coverage performance compared with other candidate SCSs</w:t>
      </w:r>
      <w:r w:rsidR="00A97800">
        <w:t>,</w:t>
      </w:r>
      <w:r w:rsidR="001D2E49">
        <w:t xml:space="preserve"> the advantage of introducing additional SCSs for initial access is currently unclear</w:t>
      </w:r>
      <w:r w:rsidR="00A97800">
        <w:t>. W</w:t>
      </w:r>
      <w:r w:rsidR="001D2E49">
        <w:t>e do not</w:t>
      </w:r>
      <w:r w:rsidR="0000214C">
        <w:t xml:space="preserve"> see any motivation to adopt</w:t>
      </w:r>
      <w:r w:rsidR="001D2E49">
        <w:t xml:space="preserve"> SCSs other than 120 kHz for PRACH. </w:t>
      </w:r>
      <w:r w:rsidR="00A65849">
        <w:t>Moreover</w:t>
      </w:r>
      <w:r w:rsidR="000A76E4">
        <w:t>,</w:t>
      </w:r>
      <w:r w:rsidR="00537B1B">
        <w:t xml:space="preserve"> if higher peak data rate needs to be achieved,</w:t>
      </w:r>
      <w:r w:rsidR="00FE4053">
        <w:t xml:space="preserve"> adopting 120 kHz as </w:t>
      </w:r>
      <w:r w:rsidR="000A76E4">
        <w:t>PRACH</w:t>
      </w:r>
      <w:r w:rsidR="00FE4053">
        <w:t xml:space="preserve"> SCS</w:t>
      </w:r>
      <w:r w:rsidR="000A76E4">
        <w:t xml:space="preserve"> will not </w:t>
      </w:r>
      <w:r w:rsidR="00433460">
        <w:lastRenderedPageBreak/>
        <w:t>prevent data channel from utilizing</w:t>
      </w:r>
      <w:r w:rsidR="000A76E4">
        <w:t xml:space="preserve"> hi</w:t>
      </w:r>
      <w:r w:rsidR="0036041F">
        <w:t>gher SCS. Therefore, 120 kHz</w:t>
      </w:r>
      <w:r w:rsidR="000A76E4">
        <w:t xml:space="preserve"> is sufficient for PRACH</w:t>
      </w:r>
      <w:r w:rsidR="005860A0">
        <w:t xml:space="preserve"> SCS</w:t>
      </w:r>
      <w:r w:rsidR="000A76E4">
        <w:t xml:space="preserve"> in initial access.</w:t>
      </w:r>
    </w:p>
    <w:p w14:paraId="026BDBA4" w14:textId="77777777" w:rsidR="007A3AEB" w:rsidRPr="00307542" w:rsidRDefault="007A3AEB" w:rsidP="005C1573">
      <w:pPr>
        <w:spacing w:afterLines="50" w:after="120"/>
      </w:pPr>
    </w:p>
    <w:p w14:paraId="6DFB6437" w14:textId="7D2E7804" w:rsidR="00307542" w:rsidRDefault="005C1573" w:rsidP="00307542">
      <w:pPr>
        <w:spacing w:afterLines="50" w:after="120"/>
        <w:rPr>
          <w:b/>
        </w:rPr>
      </w:pPr>
      <w:r w:rsidRPr="00307542">
        <w:rPr>
          <w:b/>
          <w:lang w:val="en-GB"/>
        </w:rPr>
        <w:t>Proposal</w:t>
      </w:r>
      <w:r w:rsidRPr="00307542">
        <w:rPr>
          <w:b/>
        </w:rPr>
        <w:t xml:space="preserve"> 2: </w:t>
      </w:r>
      <w:r w:rsidR="004164A4">
        <w:rPr>
          <w:b/>
        </w:rPr>
        <w:t>Support only 120 kHz for PRACH</w:t>
      </w:r>
      <w:r w:rsidR="00FE4053">
        <w:rPr>
          <w:b/>
        </w:rPr>
        <w:t xml:space="preserve"> SCS</w:t>
      </w:r>
      <w:r w:rsidR="004164A4" w:rsidRPr="008857D2">
        <w:rPr>
          <w:b/>
        </w:rPr>
        <w:t xml:space="preserve"> in initial access</w:t>
      </w:r>
      <w:r w:rsidR="00FE4053">
        <w:rPr>
          <w:b/>
        </w:rPr>
        <w:t>.</w:t>
      </w:r>
    </w:p>
    <w:p w14:paraId="7ED5E3E9" w14:textId="77777777" w:rsidR="007A3AEB" w:rsidRPr="00307542" w:rsidRDefault="007A3AEB" w:rsidP="00307542">
      <w:pPr>
        <w:spacing w:afterLines="50" w:after="120"/>
        <w:rPr>
          <w:b/>
        </w:rPr>
      </w:pPr>
    </w:p>
    <w:p w14:paraId="54B6687D" w14:textId="77777777" w:rsidR="008857D2" w:rsidRPr="0024342E" w:rsidRDefault="008857D2" w:rsidP="008857D2">
      <w:pPr>
        <w:pStyle w:val="3"/>
        <w:rPr>
          <w:rStyle w:val="af6"/>
          <w:sz w:val="28"/>
          <w:szCs w:val="28"/>
        </w:rPr>
      </w:pPr>
      <w:r w:rsidRPr="0024342E">
        <w:rPr>
          <w:rStyle w:val="af6"/>
          <w:sz w:val="28"/>
          <w:szCs w:val="28"/>
        </w:rPr>
        <w:t>3.2 Sequence Length</w:t>
      </w:r>
    </w:p>
    <w:p w14:paraId="1B400269" w14:textId="77777777" w:rsidR="00307542" w:rsidRDefault="005C1573" w:rsidP="005C1573">
      <w:r w:rsidRPr="00307542">
        <w:t>Although only short preamble sequence length L=139 was supported in Release 15 [3]. In Release 16, long sequence lengths L=571/1151 were introduced for NR operations due to the advantage of achieving higher transmission power. Considering the benefit of obtaining higher signal power, these sequence lengths could also be defined for NR-U 52.6-71 GHz.</w:t>
      </w:r>
    </w:p>
    <w:p w14:paraId="0CF086B1" w14:textId="77777777" w:rsidR="007A3AEB" w:rsidRPr="00307542" w:rsidRDefault="007A3AEB" w:rsidP="005C1573"/>
    <w:p w14:paraId="01A937F0" w14:textId="6B00E4A8" w:rsidR="00307542" w:rsidRDefault="005C1573" w:rsidP="00307542">
      <w:pPr>
        <w:rPr>
          <w:b/>
        </w:rPr>
      </w:pPr>
      <w:r w:rsidRPr="00307542">
        <w:rPr>
          <w:b/>
        </w:rPr>
        <w:t xml:space="preserve">Proposal 3: Support PRACH sequence lengths 139/571/1151 for NR above 52.6GHz. </w:t>
      </w:r>
    </w:p>
    <w:p w14:paraId="0925DF34" w14:textId="77777777" w:rsidR="007A3AEB" w:rsidRPr="00307542" w:rsidRDefault="007A3AEB" w:rsidP="00307542">
      <w:pPr>
        <w:rPr>
          <w:b/>
        </w:rPr>
      </w:pPr>
    </w:p>
    <w:p w14:paraId="3C2B9831" w14:textId="0FDC9B50" w:rsidR="008857D2" w:rsidRPr="00307542" w:rsidRDefault="008857D2" w:rsidP="008857D2">
      <w:pPr>
        <w:pStyle w:val="3"/>
        <w:rPr>
          <w:sz w:val="28"/>
          <w:szCs w:val="28"/>
        </w:rPr>
      </w:pPr>
      <w:r w:rsidRPr="0024342E">
        <w:rPr>
          <w:rStyle w:val="af6"/>
          <w:sz w:val="28"/>
          <w:szCs w:val="28"/>
        </w:rPr>
        <w:t>3.3</w:t>
      </w:r>
      <w:r w:rsidRPr="0024342E">
        <w:rPr>
          <w:sz w:val="28"/>
          <w:szCs w:val="28"/>
        </w:rPr>
        <w:t xml:space="preserve"> </w:t>
      </w:r>
      <w:r w:rsidRPr="0024342E">
        <w:rPr>
          <w:rStyle w:val="af6"/>
          <w:sz w:val="28"/>
          <w:szCs w:val="28"/>
        </w:rPr>
        <w:t>Configurations</w:t>
      </w:r>
      <w:r w:rsidRPr="0024342E">
        <w:rPr>
          <w:rStyle w:val="af6"/>
          <w:sz w:val="28"/>
        </w:rPr>
        <w:t xml:space="preserve"> for Non-consecutive RACH Oc</w:t>
      </w:r>
      <w:r w:rsidR="00C63F89" w:rsidRPr="0024342E">
        <w:rPr>
          <w:rStyle w:val="af6"/>
          <w:sz w:val="28"/>
        </w:rPr>
        <w:t>cas</w:t>
      </w:r>
      <w:r w:rsidRPr="0024342E">
        <w:rPr>
          <w:rStyle w:val="af6"/>
          <w:sz w:val="28"/>
        </w:rPr>
        <w:t>ions</w:t>
      </w:r>
    </w:p>
    <w:p w14:paraId="53D391BB" w14:textId="4DD21F8E" w:rsidR="00307542" w:rsidRPr="00307542" w:rsidRDefault="005C1573" w:rsidP="005C1573">
      <w:pPr>
        <w:rPr>
          <w:rFonts w:eastAsia="新細明體"/>
          <w:lang w:val="en-GB"/>
        </w:rPr>
      </w:pPr>
      <w:r w:rsidRPr="00307542">
        <w:rPr>
          <w:lang w:val="en-GB" w:eastAsia="en-US"/>
        </w:rPr>
        <w:t xml:space="preserve">Regarding the configurations for non-consecutive RACH occasions, we observed that LBT is not required in most regulatory regions. Besides, it has been shown in our contribution [4] that the probability of collision when directional transmission/LBT is applied is pretty low for </w:t>
      </w:r>
      <w:r w:rsidRPr="00307542">
        <w:rPr>
          <w:rFonts w:eastAsia="新細明體" w:hint="eastAsia"/>
          <w:lang w:val="en-GB"/>
        </w:rPr>
        <w:t>5</w:t>
      </w:r>
      <w:r w:rsidRPr="00307542">
        <w:rPr>
          <w:rFonts w:eastAsia="新細明體"/>
          <w:lang w:val="en-GB"/>
        </w:rPr>
        <w:t xml:space="preserve"> GHz band. Considering the larger pathloss of transmission in higher frequency band, the odds that interference plus noise exceeds LBT threshold is rare in 52.6-71 GHz. Consequently, there is no need to support </w:t>
      </w:r>
      <w:r w:rsidRPr="00307542">
        <w:rPr>
          <w:rFonts w:hint="eastAsia"/>
          <w:noProof/>
          <w:lang w:val="en-GB"/>
        </w:rPr>
        <w:t>non-consecutive RACH occasions</w:t>
      </w:r>
      <w:r w:rsidRPr="00307542">
        <w:rPr>
          <w:noProof/>
          <w:lang w:val="en-GB"/>
        </w:rPr>
        <w:t xml:space="preserve"> configuration. </w:t>
      </w:r>
      <w:bookmarkStart w:id="4" w:name="_Hlk47679931"/>
    </w:p>
    <w:p w14:paraId="6E9570D5" w14:textId="77777777" w:rsidR="007A3AEB" w:rsidRDefault="007A3AEB" w:rsidP="005C1573">
      <w:pPr>
        <w:rPr>
          <w:b/>
          <w:lang w:val="en-GB"/>
        </w:rPr>
      </w:pPr>
    </w:p>
    <w:p w14:paraId="356679BE" w14:textId="5B87132B" w:rsidR="008857D2" w:rsidRDefault="005C1573" w:rsidP="005C1573">
      <w:pPr>
        <w:rPr>
          <w:b/>
        </w:rPr>
      </w:pPr>
      <w:r w:rsidRPr="00307542">
        <w:rPr>
          <w:b/>
          <w:lang w:val="en-GB"/>
        </w:rPr>
        <w:t>Proposals</w:t>
      </w:r>
      <w:r w:rsidRPr="00307542">
        <w:rPr>
          <w:b/>
        </w:rPr>
        <w:t xml:space="preserve"> 4: There is no need to support non-consecutive RACH occasions configuration. </w:t>
      </w:r>
      <w:bookmarkEnd w:id="4"/>
    </w:p>
    <w:p w14:paraId="761690A4" w14:textId="77777777" w:rsidR="007A3AEB" w:rsidRPr="00307542" w:rsidRDefault="007A3AEB"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77777777" w:rsidR="005C1573" w:rsidRDefault="005C1573" w:rsidP="005C1573">
      <w:r w:rsidRPr="00A11CA4">
        <w:t xml:space="preserve">In this contribution we have discussed </w:t>
      </w:r>
      <w:r>
        <w:t>various aspects for initial access above 52.6 GHz and provided following proposals</w:t>
      </w:r>
      <w:r w:rsidRPr="00A11CA4">
        <w:t>:</w:t>
      </w:r>
    </w:p>
    <w:p w14:paraId="288D17CF" w14:textId="77777777" w:rsidR="00307542" w:rsidRDefault="00307542" w:rsidP="005C1573"/>
    <w:p w14:paraId="2EDC4347" w14:textId="7ABF39AB" w:rsidR="005C1573" w:rsidRDefault="005C1573" w:rsidP="005C1573">
      <w:pPr>
        <w:rPr>
          <w:b/>
        </w:rPr>
      </w:pPr>
      <w:r w:rsidRPr="005C1573">
        <w:rPr>
          <w:b/>
          <w:lang w:val="en-GB"/>
        </w:rPr>
        <w:t>Proposal</w:t>
      </w:r>
      <w:r w:rsidRPr="005C1573">
        <w:rPr>
          <w:b/>
        </w:rPr>
        <w:t xml:space="preserve"> 1: Support only 120 kHz for SSB</w:t>
      </w:r>
      <w:r w:rsidR="00FE4053">
        <w:rPr>
          <w:b/>
        </w:rPr>
        <w:t xml:space="preserve"> SCS</w:t>
      </w:r>
      <w:r w:rsidRPr="005C1573">
        <w:rPr>
          <w:b/>
        </w:rPr>
        <w:t xml:space="preserve"> in initial access.</w:t>
      </w:r>
    </w:p>
    <w:p w14:paraId="21A4F990" w14:textId="77777777" w:rsidR="005C1573" w:rsidRPr="005C1573" w:rsidRDefault="005C1573" w:rsidP="005C1573">
      <w:pPr>
        <w:rPr>
          <w:b/>
        </w:rPr>
      </w:pPr>
    </w:p>
    <w:p w14:paraId="530DBFF3" w14:textId="15145E05" w:rsidR="005C1573" w:rsidRPr="005C1573" w:rsidRDefault="005C1573" w:rsidP="005C1573">
      <w:pPr>
        <w:rPr>
          <w:b/>
        </w:rPr>
      </w:pPr>
      <w:r w:rsidRPr="005C1573">
        <w:rPr>
          <w:b/>
          <w:lang w:val="en-GB"/>
        </w:rPr>
        <w:t>Proposal</w:t>
      </w:r>
      <w:r w:rsidRPr="005C1573">
        <w:rPr>
          <w:b/>
        </w:rPr>
        <w:t xml:space="preserve"> 2: </w:t>
      </w:r>
      <w:r w:rsidR="00821E19">
        <w:rPr>
          <w:b/>
        </w:rPr>
        <w:t>Support only 120 kHz for PRACH</w:t>
      </w:r>
      <w:r w:rsidR="00FE4053">
        <w:rPr>
          <w:b/>
        </w:rPr>
        <w:t xml:space="preserve"> SCS</w:t>
      </w:r>
      <w:r w:rsidR="00821E19" w:rsidRPr="005C1573">
        <w:rPr>
          <w:b/>
        </w:rPr>
        <w:t xml:space="preserve"> in initial access.</w:t>
      </w:r>
    </w:p>
    <w:p w14:paraId="5106BF7C" w14:textId="77777777" w:rsidR="005C1573" w:rsidRDefault="005C1573" w:rsidP="005C1573">
      <w:pPr>
        <w:rPr>
          <w:b/>
        </w:rPr>
      </w:pPr>
    </w:p>
    <w:p w14:paraId="5189C037" w14:textId="77777777" w:rsidR="005C1573" w:rsidRPr="005C1573" w:rsidRDefault="005C1573" w:rsidP="005C1573">
      <w:pPr>
        <w:rPr>
          <w:b/>
        </w:rPr>
      </w:pPr>
      <w:r w:rsidRPr="005C1573">
        <w:rPr>
          <w:b/>
        </w:rPr>
        <w:t xml:space="preserve">Proposal 3: Support PRACH sequence length 139/571/1151 for NR above 52.6GHz. </w:t>
      </w:r>
    </w:p>
    <w:p w14:paraId="0AECDE67" w14:textId="77777777" w:rsidR="005C1573" w:rsidRDefault="005C1573" w:rsidP="005C1573">
      <w:pPr>
        <w:rPr>
          <w:b/>
        </w:rPr>
      </w:pPr>
    </w:p>
    <w:p w14:paraId="2973A52E" w14:textId="5E473DD8" w:rsidR="00B60F19" w:rsidRPr="005C1573" w:rsidRDefault="005C1573" w:rsidP="005C1573">
      <w:pPr>
        <w:rPr>
          <w:b/>
          <w:u w:val="single"/>
        </w:rPr>
      </w:pPr>
      <w:r>
        <w:rPr>
          <w:b/>
          <w:lang w:val="en-GB"/>
        </w:rPr>
        <w:t>Proposal</w:t>
      </w:r>
      <w:r w:rsidRPr="005C1573">
        <w:rPr>
          <w:b/>
        </w:rPr>
        <w:t xml:space="preserve"> 4: </w:t>
      </w:r>
      <w:r w:rsidR="0060339F">
        <w:rPr>
          <w:b/>
        </w:rPr>
        <w:t>There is no need to support</w:t>
      </w:r>
      <w:r w:rsidRPr="005C1573">
        <w:rPr>
          <w:b/>
        </w:rPr>
        <w:t xml:space="preserve"> non-consecutive RACH occasions</w:t>
      </w:r>
      <w:r w:rsidR="00900AFA">
        <w:rPr>
          <w:b/>
        </w:rPr>
        <w:t xml:space="preserve"> configuration</w:t>
      </w:r>
      <w:r w:rsidRPr="005C1573">
        <w:rPr>
          <w:b/>
        </w:rPr>
        <w:t>.</w:t>
      </w: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450FB827" w14:textId="77777777" w:rsidR="005C1573" w:rsidRPr="005C1573" w:rsidRDefault="005C1573" w:rsidP="005C1573">
      <w:pPr>
        <w:pStyle w:val="af2"/>
        <w:numPr>
          <w:ilvl w:val="0"/>
          <w:numId w:val="50"/>
        </w:numPr>
        <w:spacing w:line="259" w:lineRule="auto"/>
      </w:pPr>
      <w:bookmarkStart w:id="5" w:name="_Ref31097917"/>
      <w:bookmarkStart w:id="6" w:name="_Ref31097847"/>
      <w:bookmarkStart w:id="7" w:name="_Ref53738358"/>
      <w:bookmarkStart w:id="8" w:name="_Ref528680018"/>
      <w:bookmarkStart w:id="9" w:name="_Ref481596356"/>
      <w:bookmarkStart w:id="10" w:name="_Ref481781528"/>
      <w:bookmarkStart w:id="11" w:name="_Ref481782557"/>
      <w:r w:rsidRPr="005C1573">
        <w:t>RP-202925, “Revised WID: Extending current NR operation to 71 GHz”, CMCC</w:t>
      </w:r>
    </w:p>
    <w:p w14:paraId="76456D22" w14:textId="77777777" w:rsidR="00A01C6A" w:rsidRPr="00A01C6A" w:rsidRDefault="00A01C6A" w:rsidP="00A01C6A">
      <w:pPr>
        <w:pStyle w:val="af2"/>
        <w:numPr>
          <w:ilvl w:val="0"/>
          <w:numId w:val="50"/>
        </w:numPr>
      </w:pPr>
      <w:bookmarkStart w:id="12" w:name="_Ref31097951"/>
      <w:bookmarkEnd w:id="5"/>
      <w:r w:rsidRPr="00A01C6A">
        <w:t>Chairman’s Notes, RAN1 #103-e, November 2020</w:t>
      </w:r>
    </w:p>
    <w:p w14:paraId="54EEAF54" w14:textId="77777777" w:rsidR="005C1573" w:rsidRPr="005C1573" w:rsidRDefault="005C1573" w:rsidP="005C1573">
      <w:pPr>
        <w:pStyle w:val="af2"/>
        <w:numPr>
          <w:ilvl w:val="0"/>
          <w:numId w:val="50"/>
        </w:numPr>
        <w:spacing w:line="259" w:lineRule="auto"/>
      </w:pPr>
      <w:r w:rsidRPr="005C1573">
        <w:t xml:space="preserve">R1-2007926, “Required changes to NR using existing DL/UL NR waveform”, </w:t>
      </w:r>
      <w:bookmarkEnd w:id="6"/>
      <w:bookmarkEnd w:id="12"/>
      <w:r w:rsidRPr="005C1573">
        <w:t>Nokia, Nokia Shanghai Bell</w:t>
      </w:r>
    </w:p>
    <w:p w14:paraId="63C8FC03" w14:textId="77777777" w:rsidR="005C1573" w:rsidRPr="005C1573" w:rsidRDefault="005C1573" w:rsidP="005C1573">
      <w:pPr>
        <w:pStyle w:val="af2"/>
        <w:numPr>
          <w:ilvl w:val="0"/>
          <w:numId w:val="50"/>
        </w:numPr>
        <w:spacing w:line="259" w:lineRule="auto"/>
      </w:pPr>
      <w:r w:rsidRPr="005C1573">
        <w:t>R1-1804062, “On Simulation Methodology for NR-U Operation”, MediaTek Inc.</w:t>
      </w:r>
    </w:p>
    <w:bookmarkEnd w:id="7"/>
    <w:p w14:paraId="65389DA6" w14:textId="77777777" w:rsidR="007E04F4" w:rsidRDefault="007E04F4" w:rsidP="00B01423">
      <w:pPr>
        <w:spacing w:afterLines="50" w:after="120"/>
      </w:pPr>
    </w:p>
    <w:bookmarkEnd w:id="8"/>
    <w:bookmarkEnd w:id="9"/>
    <w:bookmarkEnd w:id="10"/>
    <w:bookmarkEnd w:id="11"/>
    <w:p w14:paraId="176A8903" w14:textId="77777777" w:rsidR="0054126A" w:rsidRPr="00215987" w:rsidRDefault="0054126A" w:rsidP="0054126A">
      <w:pPr>
        <w:spacing w:afterLines="50" w:after="120"/>
      </w:pPr>
    </w:p>
    <w:bookmarkEnd w:id="2"/>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1DAEC" w14:textId="77777777" w:rsidR="00257492" w:rsidRDefault="00257492">
      <w:r>
        <w:separator/>
      </w:r>
    </w:p>
  </w:endnote>
  <w:endnote w:type="continuationSeparator" w:id="0">
    <w:p w14:paraId="166BF092" w14:textId="77777777" w:rsidR="00257492" w:rsidRDefault="0025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804AF" w14:textId="77777777" w:rsidR="00257492" w:rsidRDefault="00257492">
      <w:r>
        <w:separator/>
      </w:r>
    </w:p>
  </w:footnote>
  <w:footnote w:type="continuationSeparator" w:id="0">
    <w:p w14:paraId="7BE5A447" w14:textId="77777777" w:rsidR="00257492" w:rsidRDefault="00257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4"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0"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8"/>
  </w:num>
  <w:num w:numId="2">
    <w:abstractNumId w:val="32"/>
  </w:num>
  <w:num w:numId="3">
    <w:abstractNumId w:val="25"/>
  </w:num>
  <w:num w:numId="4">
    <w:abstractNumId w:val="7"/>
  </w:num>
  <w:num w:numId="5">
    <w:abstractNumId w:val="12"/>
  </w:num>
  <w:num w:numId="6">
    <w:abstractNumId w:val="13"/>
  </w:num>
  <w:num w:numId="7">
    <w:abstractNumId w:val="8"/>
  </w:num>
  <w:num w:numId="8">
    <w:abstractNumId w:val="24"/>
  </w:num>
  <w:num w:numId="9">
    <w:abstractNumId w:val="1"/>
  </w:num>
  <w:num w:numId="10">
    <w:abstractNumId w:val="11"/>
  </w:num>
  <w:num w:numId="11">
    <w:abstractNumId w:val="36"/>
  </w:num>
  <w:num w:numId="12">
    <w:abstractNumId w:val="0"/>
  </w:num>
  <w:num w:numId="13">
    <w:abstractNumId w:val="3"/>
  </w:num>
  <w:num w:numId="14">
    <w:abstractNumId w:val="45"/>
  </w:num>
  <w:num w:numId="15">
    <w:abstractNumId w:val="47"/>
  </w:num>
  <w:num w:numId="16">
    <w:abstractNumId w:val="10"/>
  </w:num>
  <w:num w:numId="17">
    <w:abstractNumId w:val="23"/>
  </w:num>
  <w:num w:numId="18">
    <w:abstractNumId w:val="39"/>
  </w:num>
  <w:num w:numId="19">
    <w:abstractNumId w:val="30"/>
  </w:num>
  <w:num w:numId="20">
    <w:abstractNumId w:val="17"/>
  </w:num>
  <w:num w:numId="21">
    <w:abstractNumId w:val="49"/>
  </w:num>
  <w:num w:numId="22">
    <w:abstractNumId w:val="44"/>
  </w:num>
  <w:num w:numId="23">
    <w:abstractNumId w:val="4"/>
  </w:num>
  <w:num w:numId="24">
    <w:abstractNumId w:val="9"/>
  </w:num>
  <w:num w:numId="25">
    <w:abstractNumId w:val="16"/>
  </w:num>
  <w:num w:numId="26">
    <w:abstractNumId w:val="48"/>
  </w:num>
  <w:num w:numId="27">
    <w:abstractNumId w:val="14"/>
  </w:num>
  <w:num w:numId="28">
    <w:abstractNumId w:val="40"/>
  </w:num>
  <w:num w:numId="29">
    <w:abstractNumId w:val="43"/>
  </w:num>
  <w:num w:numId="30">
    <w:abstractNumId w:val="37"/>
  </w:num>
  <w:num w:numId="31">
    <w:abstractNumId w:val="42"/>
  </w:num>
  <w:num w:numId="32">
    <w:abstractNumId w:val="27"/>
  </w:num>
  <w:num w:numId="33">
    <w:abstractNumId w:val="2"/>
  </w:num>
  <w:num w:numId="34">
    <w:abstractNumId w:val="33"/>
  </w:num>
  <w:num w:numId="35">
    <w:abstractNumId w:val="20"/>
  </w:num>
  <w:num w:numId="36">
    <w:abstractNumId w:val="29"/>
  </w:num>
  <w:num w:numId="37">
    <w:abstractNumId w:val="15"/>
  </w:num>
  <w:num w:numId="38">
    <w:abstractNumId w:val="26"/>
  </w:num>
  <w:num w:numId="39">
    <w:abstractNumId w:val="6"/>
  </w:num>
  <w:num w:numId="40">
    <w:abstractNumId w:val="18"/>
  </w:num>
  <w:num w:numId="41">
    <w:abstractNumId w:val="19"/>
  </w:num>
  <w:num w:numId="42">
    <w:abstractNumId w:val="46"/>
  </w:num>
  <w:num w:numId="43">
    <w:abstractNumId w:val="34"/>
  </w:num>
  <w:num w:numId="44">
    <w:abstractNumId w:val="22"/>
  </w:num>
  <w:num w:numId="45">
    <w:abstractNumId w:val="41"/>
  </w:num>
  <w:num w:numId="46">
    <w:abstractNumId w:val="21"/>
  </w:num>
  <w:num w:numId="47">
    <w:abstractNumId w:val="31"/>
  </w:num>
  <w:num w:numId="48">
    <w:abstractNumId w:val="35"/>
  </w:num>
  <w:num w:numId="49">
    <w:abstractNumId w:val="28"/>
  </w:num>
  <w:num w:numId="5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508"/>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6E4"/>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57492"/>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393"/>
    <w:rsid w:val="003A6706"/>
    <w:rsid w:val="003A6CD7"/>
    <w:rsid w:val="003A76B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C29"/>
    <w:rsid w:val="004A0FE0"/>
    <w:rsid w:val="004A35DC"/>
    <w:rsid w:val="004A440A"/>
    <w:rsid w:val="004A4436"/>
    <w:rsid w:val="004A5716"/>
    <w:rsid w:val="004A6738"/>
    <w:rsid w:val="004A7655"/>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60A0"/>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5D3D"/>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6844"/>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26F7"/>
    <w:rsid w:val="00802BAD"/>
    <w:rsid w:val="00803B9C"/>
    <w:rsid w:val="00806378"/>
    <w:rsid w:val="00810A3A"/>
    <w:rsid w:val="00812A1D"/>
    <w:rsid w:val="008132F0"/>
    <w:rsid w:val="0081386B"/>
    <w:rsid w:val="00815506"/>
    <w:rsid w:val="00815850"/>
    <w:rsid w:val="00816D90"/>
    <w:rsid w:val="00821311"/>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739D"/>
    <w:rsid w:val="00A97800"/>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13E2"/>
    <w:rsid w:val="00AF53D1"/>
    <w:rsid w:val="00AF7D55"/>
    <w:rsid w:val="00B0107B"/>
    <w:rsid w:val="00B01423"/>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F89"/>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57EF"/>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514B"/>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479E254-D0D1-4291-AB84-65E447FD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2021-01-19T02:20:00Z</dcterms:created>
  <dcterms:modified xsi:type="dcterms:W3CDTF">2021-01-19T02:20:00Z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