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DFE98" w14:textId="1D786C55"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2100058</w:t>
      </w:r>
    </w:p>
    <w:p w14:paraId="5F8CFDD6" w14:textId="6BF1A4EE"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A573CF">
        <w:rPr>
          <w:rFonts w:ascii="Arial" w:hAnsi="Arial" w:cs="Arial"/>
          <w:b/>
          <w:bCs/>
          <w:sz w:val="24"/>
          <w:szCs w:val="24"/>
          <w:lang w:val="en-US" w:eastAsia="ja-JP"/>
        </w:rPr>
        <w:t>January</w:t>
      </w:r>
      <w:r>
        <w:rPr>
          <w:rFonts w:ascii="Arial" w:hAnsi="Arial" w:cs="Arial"/>
          <w:b/>
          <w:bCs/>
          <w:sz w:val="24"/>
          <w:szCs w:val="24"/>
          <w:lang w:val="en-US" w:eastAsia="ja-JP"/>
        </w:rPr>
        <w:t xml:space="preserve"> </w:t>
      </w:r>
      <w:r w:rsidR="004E5CBB">
        <w:rPr>
          <w:rFonts w:ascii="Arial" w:hAnsi="Arial" w:cs="Arial"/>
          <w:b/>
          <w:bCs/>
          <w:sz w:val="24"/>
          <w:szCs w:val="24"/>
          <w:lang w:val="en-US" w:eastAsia="ja-JP"/>
        </w:rPr>
        <w:t>2</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 </w:t>
      </w:r>
      <w:r w:rsidR="00A573CF">
        <w:rPr>
          <w:rFonts w:ascii="Arial" w:hAnsi="Arial" w:cs="Arial"/>
          <w:b/>
          <w:bCs/>
          <w:sz w:val="24"/>
          <w:szCs w:val="24"/>
          <w:lang w:val="en-US" w:eastAsia="ja-JP"/>
        </w:rPr>
        <w:t>February</w:t>
      </w:r>
      <w:r w:rsidR="004E5CBB">
        <w:rPr>
          <w:rFonts w:ascii="Arial" w:hAnsi="Arial" w:cs="Arial"/>
          <w:b/>
          <w:bCs/>
          <w:sz w:val="24"/>
          <w:szCs w:val="24"/>
          <w:lang w:val="en-US" w:eastAsia="ja-JP"/>
        </w:rPr>
        <w:t xml:space="preserve"> </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9768FDC"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A136C3">
        <w:rPr>
          <w:rFonts w:ascii="Arial" w:eastAsia="MS Mincho" w:hAnsi="Arial"/>
          <w:sz w:val="24"/>
          <w:szCs w:val="24"/>
          <w:lang w:eastAsia="ja-JP"/>
        </w:rPr>
        <w:t>PDCC</w:t>
      </w:r>
      <w:r w:rsidR="00CE2F1A">
        <w:rPr>
          <w:rFonts w:ascii="Arial" w:eastAsia="MS Mincho" w:hAnsi="Arial"/>
          <w:sz w:val="24"/>
          <w:szCs w:val="24"/>
          <w:lang w:eastAsia="ja-JP"/>
        </w:rPr>
        <w:t>H</w:t>
      </w:r>
      <w:r w:rsidR="00A136C3">
        <w:rPr>
          <w:rFonts w:ascii="Arial" w:eastAsia="MS Mincho" w:hAnsi="Arial"/>
          <w:sz w:val="24"/>
          <w:szCs w:val="24"/>
          <w:lang w:eastAsia="ja-JP"/>
        </w:rPr>
        <w:t xml:space="preserve"> monitoring enhancements</w:t>
      </w:r>
      <w:r w:rsidR="00A573CF">
        <w:rPr>
          <w:rFonts w:ascii="Arial" w:eastAsia="MS Mincho" w:hAnsi="Arial"/>
          <w:sz w:val="24"/>
          <w:szCs w:val="24"/>
          <w:lang w:eastAsia="ja-JP"/>
        </w:rPr>
        <w:t xml:space="preserve"> for NR from 52.6 GHz to 71GHz</w:t>
      </w:r>
    </w:p>
    <w:p w14:paraId="586DB488" w14:textId="7D6E0A0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136C3">
        <w:rPr>
          <w:rFonts w:ascii="Arial" w:eastAsia="MS Mincho" w:hAnsi="Arial"/>
          <w:sz w:val="24"/>
          <w:szCs w:val="24"/>
          <w:lang w:eastAsia="ja-JP"/>
        </w:rPr>
        <w:t>2</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4C7FD291"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90-e</w:t>
      </w:r>
      <w:r>
        <w:rPr>
          <w:rFonts w:eastAsia="MS Mincho"/>
          <w:lang w:eastAsia="ja-JP"/>
        </w:rPr>
        <w:t xml:space="preserve">, </w:t>
      </w:r>
      <w:r w:rsidR="00A573CF">
        <w:rPr>
          <w:rFonts w:eastAsia="MS Mincho"/>
          <w:lang w:eastAsia="ja-JP"/>
        </w:rPr>
        <w:t>an updated 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 xml:space="preserve">for </w:t>
      </w:r>
      <w:r w:rsidR="0075513B">
        <w:rPr>
          <w:rFonts w:eastAsia="MS Mincho"/>
          <w:lang w:eastAsia="ja-JP"/>
        </w:rPr>
        <w:t>physical layer impacts</w:t>
      </w:r>
      <w:r w:rsidR="00A573CF">
        <w:rPr>
          <w:rFonts w:eastAsia="MS Mincho"/>
          <w:lang w:eastAsia="ja-JP"/>
        </w:rPr>
        <w:t xml:space="preserve"> in RP-202925 [1]:</w:t>
      </w:r>
    </w:p>
    <w:p w14:paraId="3257AC0E" w14:textId="77777777" w:rsidR="0075513B" w:rsidRPr="0075513B" w:rsidRDefault="0075513B" w:rsidP="0075513B">
      <w:pPr>
        <w:pStyle w:val="B1"/>
        <w:numPr>
          <w:ilvl w:val="0"/>
          <w:numId w:val="2"/>
        </w:numPr>
        <w:spacing w:after="0"/>
        <w:rPr>
          <w:i/>
          <w:iCs/>
          <w:lang w:eastAsia="ja-JP"/>
        </w:rPr>
      </w:pPr>
      <w:r w:rsidRPr="0075513B">
        <w:rPr>
          <w:rFonts w:hint="eastAsia"/>
          <w:i/>
          <w:iCs/>
          <w:lang w:eastAsia="ja-JP"/>
        </w:rPr>
        <w:t>Physical layer aspects</w:t>
      </w:r>
      <w:r w:rsidRPr="0075513B">
        <w:rPr>
          <w:i/>
          <w:iCs/>
          <w:lang w:eastAsia="ja-JP"/>
        </w:rPr>
        <w:t xml:space="preserve"> including [RAN1]</w:t>
      </w:r>
      <w:r w:rsidRPr="0075513B">
        <w:rPr>
          <w:rFonts w:hint="eastAsia"/>
          <w:i/>
          <w:iCs/>
          <w:lang w:eastAsia="ja-JP"/>
        </w:rPr>
        <w:t>:</w:t>
      </w:r>
    </w:p>
    <w:p w14:paraId="687068A1" w14:textId="77777777" w:rsidR="0075513B" w:rsidRPr="0075513B" w:rsidRDefault="0075513B" w:rsidP="0075513B">
      <w:pPr>
        <w:pStyle w:val="B1"/>
        <w:numPr>
          <w:ilvl w:val="1"/>
          <w:numId w:val="2"/>
        </w:numPr>
        <w:spacing w:after="0"/>
        <w:rPr>
          <w:i/>
          <w:iCs/>
          <w:lang w:eastAsia="ja-JP"/>
        </w:rPr>
      </w:pPr>
      <w:bookmarkStart w:id="0" w:name="_Hlk58583563"/>
      <w:bookmarkStart w:id="1" w:name="_Hlk26996217"/>
      <w:r w:rsidRPr="0075513B">
        <w:rPr>
          <w:i/>
          <w:iCs/>
          <w:lang w:eastAsia="ja-JP"/>
        </w:rPr>
        <w:t xml:space="preserve">In addition to 120kHz SCS, specify </w:t>
      </w:r>
      <w:r w:rsidRPr="0075513B">
        <w:rPr>
          <w:i/>
          <w:iCs/>
          <w:lang w:eastAsia="zh-CN"/>
        </w:rPr>
        <w:t xml:space="preserve">new SCS, </w:t>
      </w:r>
      <w:r w:rsidRPr="0075513B">
        <w:rPr>
          <w:i/>
          <w:iCs/>
          <w:lang w:eastAsia="ja-JP"/>
        </w:rPr>
        <w:t>480kHz and 960kHz, and define maximum bandwidth(s), for operation in this frequency range for data and control channels and reference signals, only NCP supported</w:t>
      </w:r>
      <w:bookmarkEnd w:id="0"/>
      <w:r w:rsidRPr="0075513B">
        <w:rPr>
          <w:i/>
          <w:iCs/>
          <w:lang w:eastAsia="ja-JP"/>
        </w:rPr>
        <w:t xml:space="preserve">. </w:t>
      </w:r>
    </w:p>
    <w:p w14:paraId="3B6AD6A2" w14:textId="77777777" w:rsidR="0075513B" w:rsidRPr="0075513B" w:rsidRDefault="0075513B" w:rsidP="0075513B">
      <w:pPr>
        <w:pStyle w:val="B1"/>
        <w:spacing w:after="0"/>
        <w:ind w:left="1440" w:firstLine="0"/>
        <w:rPr>
          <w:i/>
          <w:iCs/>
          <w:lang w:eastAsia="ja-JP"/>
        </w:rPr>
      </w:pPr>
      <w:bookmarkStart w:id="2" w:name="_Hlk58594267"/>
      <w:r w:rsidRPr="0075513B">
        <w:rPr>
          <w:i/>
          <w:iCs/>
          <w:lang w:eastAsia="ja-JP"/>
        </w:rPr>
        <w:t>Note: Except for timing line related aspects, a common design framework shall be adopted for 480kHz to 960kHz</w:t>
      </w:r>
    </w:p>
    <w:bookmarkEnd w:id="1"/>
    <w:bookmarkEnd w:id="2"/>
    <w:p w14:paraId="0CB8DF25" w14:textId="77777777" w:rsidR="0075513B" w:rsidRPr="0075513B" w:rsidRDefault="0075513B" w:rsidP="0075513B">
      <w:pPr>
        <w:pStyle w:val="B1"/>
        <w:numPr>
          <w:ilvl w:val="1"/>
          <w:numId w:val="2"/>
        </w:numPr>
        <w:spacing w:after="0"/>
        <w:rPr>
          <w:i/>
          <w:iCs/>
          <w:lang w:eastAsia="ja-JP"/>
        </w:rPr>
      </w:pPr>
      <w:r w:rsidRPr="0075513B">
        <w:rPr>
          <w:i/>
          <w:iCs/>
          <w:lang w:eastAsia="ja-JP"/>
        </w:rPr>
        <w:t xml:space="preserve">Time line related aspects adapted to 480kHz and 960kHz, e.g., BWP and beam switching </w:t>
      </w:r>
      <w:proofErr w:type="spellStart"/>
      <w:r w:rsidRPr="0075513B">
        <w:rPr>
          <w:i/>
          <w:iCs/>
          <w:lang w:eastAsia="ja-JP"/>
        </w:rPr>
        <w:t>timeing</w:t>
      </w:r>
      <w:proofErr w:type="spellEnd"/>
      <w:r w:rsidRPr="0075513B">
        <w:rPr>
          <w:i/>
          <w:iCs/>
          <w:lang w:eastAsia="ja-JP"/>
        </w:rPr>
        <w:t xml:space="preserve">, HARQ timing, UE processing, preparation and computation timelines for PDSCH, PUSCH/SRS and CSI, respectively. </w:t>
      </w:r>
    </w:p>
    <w:p w14:paraId="2B553D33" w14:textId="77777777" w:rsidR="0075513B" w:rsidRPr="0075513B" w:rsidRDefault="0075513B" w:rsidP="0075513B">
      <w:pPr>
        <w:pStyle w:val="B1"/>
        <w:numPr>
          <w:ilvl w:val="1"/>
          <w:numId w:val="2"/>
        </w:numPr>
        <w:spacing w:after="0"/>
        <w:rPr>
          <w:i/>
          <w:iCs/>
          <w:lang w:eastAsia="ja-JP"/>
        </w:rPr>
      </w:pPr>
      <w:r w:rsidRPr="0075513B">
        <w:rPr>
          <w:i/>
          <w:iCs/>
          <w:lang w:eastAsia="ja-JP"/>
        </w:rPr>
        <w:t>Support of up to 64 SSB beams for licensed and unlicensed operation in this frequency range.</w:t>
      </w:r>
      <w:r w:rsidRPr="0075513B">
        <w:rPr>
          <w:i/>
          <w:iCs/>
          <w:lang w:eastAsia="zh-CN"/>
        </w:rPr>
        <w:t xml:space="preserve"> </w:t>
      </w:r>
    </w:p>
    <w:p w14:paraId="00198E32" w14:textId="77777777" w:rsidR="0075513B" w:rsidRPr="0075513B" w:rsidRDefault="0075513B" w:rsidP="0075513B">
      <w:pPr>
        <w:pStyle w:val="B1"/>
        <w:numPr>
          <w:ilvl w:val="1"/>
          <w:numId w:val="2"/>
        </w:numPr>
        <w:spacing w:after="0"/>
        <w:rPr>
          <w:i/>
          <w:iCs/>
          <w:lang w:eastAsia="ja-JP"/>
        </w:rPr>
      </w:pPr>
      <w:r w:rsidRPr="0075513B">
        <w:rPr>
          <w:i/>
          <w:iCs/>
          <w:lang w:eastAsia="zh-CN"/>
        </w:rPr>
        <w:t>Supports 120kHz SCS for SSB and 120kHz SCS for initial access related signals/channels in an</w:t>
      </w:r>
      <w:r w:rsidRPr="0075513B">
        <w:rPr>
          <w:i/>
          <w:iCs/>
          <w:color w:val="FF0000"/>
          <w:lang w:eastAsia="zh-CN"/>
        </w:rPr>
        <w:t xml:space="preserve"> </w:t>
      </w:r>
      <w:r w:rsidRPr="0075513B">
        <w:rPr>
          <w:i/>
          <w:iCs/>
          <w:lang w:eastAsia="zh-CN"/>
        </w:rPr>
        <w:t>initial BWP.</w:t>
      </w:r>
    </w:p>
    <w:p w14:paraId="6F70BE45" w14:textId="77777777" w:rsidR="0075513B" w:rsidRPr="0075513B" w:rsidRDefault="0075513B" w:rsidP="0075513B">
      <w:pPr>
        <w:pStyle w:val="B1"/>
        <w:numPr>
          <w:ilvl w:val="2"/>
          <w:numId w:val="2"/>
        </w:numPr>
        <w:spacing w:after="0"/>
        <w:rPr>
          <w:i/>
          <w:iCs/>
          <w:lang w:eastAsia="zh-CN"/>
        </w:rPr>
      </w:pPr>
      <w:r w:rsidRPr="0075513B">
        <w:rPr>
          <w:i/>
          <w:iCs/>
          <w:lang w:eastAsia="zh-CN"/>
        </w:rPr>
        <w:t xml:space="preserve">Study and specify, if needed, additional </w:t>
      </w:r>
      <w:r w:rsidRPr="0075513B">
        <w:rPr>
          <w:rFonts w:hint="eastAsia"/>
          <w:i/>
          <w:iCs/>
          <w:lang w:eastAsia="zh-CN"/>
        </w:rPr>
        <w:t>SCS</w:t>
      </w:r>
      <w:r w:rsidRPr="0075513B">
        <w:rPr>
          <w:i/>
          <w:iCs/>
          <w:lang w:eastAsia="zh-CN"/>
        </w:rPr>
        <w:t xml:space="preserve"> (240kHz, 480kHz, 960kHz) for SSB, and additional SCS(480kHz, 960kHz) for initial access related signals/channels in initial BWP.</w:t>
      </w:r>
    </w:p>
    <w:p w14:paraId="5340606B" w14:textId="77777777" w:rsidR="0075513B" w:rsidRPr="0075513B" w:rsidRDefault="0075513B" w:rsidP="0075513B">
      <w:pPr>
        <w:pStyle w:val="B1"/>
        <w:numPr>
          <w:ilvl w:val="2"/>
          <w:numId w:val="2"/>
        </w:numPr>
        <w:spacing w:after="0"/>
        <w:rPr>
          <w:i/>
          <w:iCs/>
          <w:lang w:eastAsia="zh-CN"/>
        </w:rPr>
      </w:pPr>
      <w:r w:rsidRPr="0075513B">
        <w:rPr>
          <w:i/>
          <w:iCs/>
          <w:lang w:eastAsia="zh-CN"/>
        </w:rPr>
        <w:t xml:space="preserve">Study and specify, if needed, additional </w:t>
      </w:r>
      <w:r w:rsidRPr="0075513B">
        <w:rPr>
          <w:rFonts w:hint="eastAsia"/>
          <w:i/>
          <w:iCs/>
          <w:lang w:eastAsia="zh-CN"/>
        </w:rPr>
        <w:t>SCS</w:t>
      </w:r>
      <w:r w:rsidRPr="0075513B">
        <w:rPr>
          <w:i/>
          <w:iCs/>
          <w:lang w:eastAsia="zh-CN"/>
        </w:rPr>
        <w:t xml:space="preserve"> (480kHz, 960kHz) for SSB for cases other than initial access.</w:t>
      </w:r>
    </w:p>
    <w:p w14:paraId="67BFBA04" w14:textId="77777777" w:rsidR="0075513B" w:rsidRPr="0075513B" w:rsidRDefault="0075513B" w:rsidP="0075513B">
      <w:pPr>
        <w:pStyle w:val="B1"/>
        <w:numPr>
          <w:ilvl w:val="2"/>
          <w:numId w:val="2"/>
        </w:numPr>
        <w:spacing w:after="0"/>
        <w:rPr>
          <w:i/>
          <w:iCs/>
          <w:lang w:eastAsia="zh-CN"/>
        </w:rPr>
      </w:pPr>
      <w:r w:rsidRPr="0075513B">
        <w:rPr>
          <w:i/>
          <w:iCs/>
          <w:lang w:eastAsia="zh-CN"/>
        </w:rPr>
        <w:t>Note: coverage enhancement for SSB is not pursued.</w:t>
      </w:r>
    </w:p>
    <w:p w14:paraId="415020CB" w14:textId="77777777" w:rsidR="0075513B" w:rsidRPr="0075513B" w:rsidRDefault="0075513B" w:rsidP="0075513B">
      <w:pPr>
        <w:pStyle w:val="B1"/>
        <w:numPr>
          <w:ilvl w:val="1"/>
          <w:numId w:val="2"/>
        </w:numPr>
        <w:spacing w:after="0"/>
        <w:rPr>
          <w:i/>
          <w:iCs/>
          <w:lang w:eastAsia="ja-JP"/>
        </w:rPr>
      </w:pPr>
      <w:r w:rsidRPr="0075513B">
        <w:rPr>
          <w:i/>
          <w:iCs/>
          <w:lang w:eastAsia="ja-JP"/>
        </w:rPr>
        <w:t>Specify timing associated with beam-based operation to new SCS (i.e., 48</w:t>
      </w:r>
      <w:r w:rsidRPr="0075513B">
        <w:rPr>
          <w:i/>
          <w:iCs/>
          <w:lang w:eastAsia="zh-CN"/>
        </w:rPr>
        <w:t>0k</w:t>
      </w:r>
      <w:r w:rsidRPr="0075513B">
        <w:rPr>
          <w:rFonts w:hint="eastAsia"/>
          <w:i/>
          <w:iCs/>
          <w:lang w:eastAsia="zh-CN"/>
        </w:rPr>
        <w:t>Hz</w:t>
      </w:r>
      <w:r w:rsidRPr="0075513B">
        <w:rPr>
          <w:i/>
          <w:iCs/>
          <w:lang w:eastAsia="zh-CN"/>
        </w:rPr>
        <w:t xml:space="preserve"> </w:t>
      </w:r>
      <w:r w:rsidRPr="0075513B">
        <w:rPr>
          <w:rFonts w:hint="eastAsia"/>
          <w:i/>
          <w:iCs/>
          <w:lang w:eastAsia="zh-CN"/>
        </w:rPr>
        <w:t>and</w:t>
      </w:r>
      <w:r w:rsidRPr="0075513B">
        <w:rPr>
          <w:i/>
          <w:iCs/>
          <w:lang w:eastAsia="zh-CN"/>
        </w:rPr>
        <w:t>/or 960kHz</w:t>
      </w:r>
      <w:r w:rsidRPr="0075513B">
        <w:rPr>
          <w:i/>
          <w:iCs/>
          <w:lang w:eastAsia="ja-JP"/>
        </w:rPr>
        <w:t>), study, and specify if needed, potential enhancement for shared spectrum operation</w:t>
      </w:r>
    </w:p>
    <w:p w14:paraId="3A06D075" w14:textId="77777777" w:rsidR="0075513B" w:rsidRPr="0075513B" w:rsidRDefault="0075513B" w:rsidP="0075513B">
      <w:pPr>
        <w:pStyle w:val="B1"/>
        <w:numPr>
          <w:ilvl w:val="2"/>
          <w:numId w:val="2"/>
        </w:numPr>
        <w:adjustRightInd/>
        <w:spacing w:after="0"/>
        <w:textAlignment w:val="auto"/>
        <w:rPr>
          <w:i/>
          <w:iCs/>
          <w:lang w:val="en-US" w:eastAsia="ja-JP"/>
        </w:rPr>
      </w:pPr>
      <w:r w:rsidRPr="0075513B">
        <w:rPr>
          <w:i/>
          <w:iCs/>
          <w:lang w:val="en-US" w:eastAsia="ja-JP"/>
        </w:rPr>
        <w:t>Study which beam management will be used as a basis: R15/16 or R17</w:t>
      </w:r>
      <w:r w:rsidRPr="0075513B">
        <w:rPr>
          <w:i/>
          <w:iCs/>
          <w:lang w:eastAsia="ja-JP"/>
        </w:rPr>
        <w:t xml:space="preserve"> in RAN #91-e</w:t>
      </w:r>
    </w:p>
    <w:p w14:paraId="3277E1A3" w14:textId="77777777" w:rsidR="0075513B" w:rsidRPr="0075513B" w:rsidRDefault="0075513B" w:rsidP="0075513B">
      <w:pPr>
        <w:pStyle w:val="B1"/>
        <w:numPr>
          <w:ilvl w:val="1"/>
          <w:numId w:val="2"/>
        </w:numPr>
        <w:spacing w:after="0"/>
        <w:rPr>
          <w:i/>
          <w:iCs/>
          <w:lang w:eastAsia="zh-CN"/>
        </w:rPr>
      </w:pPr>
      <w:r w:rsidRPr="0075513B">
        <w:rPr>
          <w:rFonts w:eastAsia="DengXian"/>
          <w:i/>
          <w:iCs/>
          <w:lang w:eastAsia="ko-KR"/>
        </w:rPr>
        <w:t>Support enhancement for PUCCH format 0/1/4 to increase the number of RBs under PSD limitation in shared spectrum operation.</w:t>
      </w:r>
    </w:p>
    <w:p w14:paraId="3C17E87B" w14:textId="77777777" w:rsidR="0075513B" w:rsidRPr="0075513B" w:rsidRDefault="0075513B" w:rsidP="0075513B">
      <w:pPr>
        <w:pStyle w:val="B1"/>
        <w:numPr>
          <w:ilvl w:val="1"/>
          <w:numId w:val="2"/>
        </w:numPr>
        <w:spacing w:after="0"/>
        <w:rPr>
          <w:i/>
          <w:iCs/>
          <w:lang w:eastAsia="zh-CN"/>
        </w:rPr>
      </w:pPr>
      <w:r w:rsidRPr="0075513B">
        <w:rPr>
          <w:rFonts w:hint="eastAsia"/>
          <w:i/>
          <w:iCs/>
          <w:lang w:eastAsia="zh-CN"/>
        </w:rPr>
        <w:t>Support enhancements for multi-PDSCH/PUSCH scheduling and HARQ support with a single DCI</w:t>
      </w:r>
    </w:p>
    <w:p w14:paraId="7C3E8E59" w14:textId="77777777" w:rsidR="0075513B" w:rsidRPr="0075513B" w:rsidRDefault="0075513B" w:rsidP="0075513B">
      <w:pPr>
        <w:pStyle w:val="b110"/>
        <w:wordWrap w:val="0"/>
        <w:spacing w:before="0" w:after="0"/>
        <w:ind w:left="720" w:firstLine="360"/>
        <w:rPr>
          <w:rFonts w:eastAsia="SimSun"/>
          <w:i/>
          <w:iCs/>
          <w:sz w:val="20"/>
          <w:szCs w:val="20"/>
          <w:lang w:val="en-GB"/>
        </w:rPr>
      </w:pPr>
      <w:r w:rsidRPr="0075513B">
        <w:rPr>
          <w:rFonts w:eastAsia="SimSun"/>
          <w:i/>
          <w:iCs/>
          <w:sz w:val="20"/>
          <w:szCs w:val="20"/>
          <w:lang w:val="en-GB"/>
        </w:rPr>
        <w:t xml:space="preserve">       </w:t>
      </w:r>
      <w:r w:rsidRPr="0075513B">
        <w:rPr>
          <w:rFonts w:eastAsia="SimSun" w:hint="eastAsia"/>
          <w:i/>
          <w:iCs/>
          <w:sz w:val="20"/>
          <w:szCs w:val="20"/>
          <w:lang w:val="en-GB"/>
        </w:rPr>
        <w:t>Note: coverage enhancement for multi-PDSCH/PUSCH scheduling is not pursued</w:t>
      </w:r>
    </w:p>
    <w:p w14:paraId="06E7DA1B" w14:textId="77777777" w:rsidR="0075513B" w:rsidRPr="0075513B" w:rsidRDefault="0075513B" w:rsidP="0075513B">
      <w:pPr>
        <w:pStyle w:val="B1"/>
        <w:numPr>
          <w:ilvl w:val="1"/>
          <w:numId w:val="2"/>
        </w:numPr>
        <w:spacing w:after="0"/>
        <w:rPr>
          <w:i/>
          <w:iCs/>
          <w:lang w:eastAsia="zh-CN"/>
        </w:rPr>
      </w:pPr>
      <w:bookmarkStart w:id="3" w:name="_Hlk58595024"/>
      <w:r w:rsidRPr="0075513B">
        <w:rPr>
          <w:i/>
          <w:iCs/>
          <w:lang w:eastAsia="zh-CN"/>
        </w:rPr>
        <w:t>Support enhancement to PDCCH monitoring, including blind detection/CCE budget, and multi-slot span monitoring, potential limitation to UE PDCCH configuration and capability related to PDCCH monitoring.</w:t>
      </w:r>
    </w:p>
    <w:bookmarkEnd w:id="3"/>
    <w:p w14:paraId="07A6F556" w14:textId="77777777" w:rsidR="0075513B" w:rsidRPr="0075513B" w:rsidRDefault="0075513B" w:rsidP="0075513B">
      <w:pPr>
        <w:pStyle w:val="B1"/>
        <w:numPr>
          <w:ilvl w:val="1"/>
          <w:numId w:val="2"/>
        </w:numPr>
        <w:spacing w:after="0"/>
        <w:rPr>
          <w:rFonts w:eastAsia="DengXian"/>
          <w:i/>
          <w:iCs/>
          <w:lang w:eastAsia="ko-KR"/>
        </w:rPr>
      </w:pPr>
      <w:r w:rsidRPr="0075513B">
        <w:rPr>
          <w:rFonts w:hint="eastAsia"/>
          <w:i/>
          <w:iCs/>
          <w:lang w:eastAsia="ko-KR"/>
        </w:rPr>
        <w:t xml:space="preserve">Specify support for PRACH sequence lengths (i.e. </w:t>
      </w:r>
      <w:r w:rsidRPr="0075513B">
        <w:rPr>
          <w:i/>
          <w:iCs/>
          <w:lang w:eastAsia="ko-KR"/>
        </w:rPr>
        <w:t xml:space="preserve">L=139, </w:t>
      </w:r>
      <w:r w:rsidRPr="0075513B">
        <w:rPr>
          <w:rFonts w:hint="eastAsia"/>
          <w:i/>
          <w:iCs/>
          <w:lang w:eastAsia="ko-KR"/>
        </w:rPr>
        <w:t xml:space="preserve">L=571 and L=1151) </w:t>
      </w:r>
      <w:bookmarkStart w:id="4" w:name="_Hlk58594915"/>
      <w:r w:rsidRPr="0075513B">
        <w:rPr>
          <w:rFonts w:hint="eastAsia"/>
          <w:i/>
          <w:iCs/>
          <w:lang w:eastAsia="ko-KR"/>
        </w:rPr>
        <w:t xml:space="preserve">and </w:t>
      </w:r>
      <w:r w:rsidRPr="0075513B">
        <w:rPr>
          <w:i/>
          <w:iCs/>
          <w:lang w:eastAsia="ko-KR"/>
        </w:rPr>
        <w:t xml:space="preserve">study, </w:t>
      </w:r>
      <w:r w:rsidRPr="0075513B">
        <w:rPr>
          <w:rFonts w:hint="eastAsia"/>
          <w:i/>
          <w:iCs/>
          <w:lang w:eastAsia="ko-KR"/>
        </w:rPr>
        <w:t>if needed, specify support for</w:t>
      </w:r>
      <w:r w:rsidRPr="0075513B">
        <w:rPr>
          <w:i/>
          <w:iCs/>
          <w:lang w:eastAsia="ko-KR"/>
        </w:rPr>
        <w:t xml:space="preserve"> RO configuration for</w:t>
      </w:r>
      <w:r w:rsidRPr="0075513B">
        <w:rPr>
          <w:rFonts w:hint="eastAsia"/>
          <w:i/>
          <w:iCs/>
          <w:lang w:eastAsia="ko-KR"/>
        </w:rPr>
        <w:t xml:space="preserve"> non-consecutive RACH occasions (RO) in </w:t>
      </w:r>
      <w:bookmarkEnd w:id="4"/>
      <w:r w:rsidRPr="0075513B">
        <w:rPr>
          <w:i/>
          <w:iCs/>
          <w:lang w:eastAsia="ko-KR"/>
        </w:rPr>
        <w:t>time domain for operation in shared spectrum</w:t>
      </w:r>
      <w:r w:rsidRPr="0075513B">
        <w:rPr>
          <w:rFonts w:eastAsia="DengXian"/>
          <w:i/>
          <w:iCs/>
          <w:lang w:eastAsia="ko-KR"/>
        </w:rPr>
        <w:t xml:space="preserve"> </w:t>
      </w:r>
    </w:p>
    <w:p w14:paraId="2B1E8836" w14:textId="77777777" w:rsidR="0075513B" w:rsidRPr="0075513B" w:rsidRDefault="0075513B" w:rsidP="0075513B">
      <w:pPr>
        <w:pStyle w:val="B1"/>
        <w:numPr>
          <w:ilvl w:val="1"/>
          <w:numId w:val="2"/>
        </w:numPr>
        <w:spacing w:after="0"/>
        <w:rPr>
          <w:rFonts w:eastAsia="DengXian"/>
          <w:i/>
          <w:iCs/>
          <w:lang w:eastAsia="ko-KR"/>
        </w:rPr>
      </w:pPr>
      <w:r w:rsidRPr="0075513B">
        <w:rPr>
          <w:rFonts w:eastAsia="DengXian"/>
          <w:i/>
          <w:iCs/>
          <w:lang w:eastAsia="ko-KR"/>
        </w:rPr>
        <w:t>Evaluate, and if needed, specify the PTRS enhancement for 120kHz SCS, 480kHz SCS and/or 960kHz SCS, as well as DMRS enhancement for 480kHz SCS and/or 960kHz SCS.</w:t>
      </w:r>
    </w:p>
    <w:p w14:paraId="01EE32B6" w14:textId="77777777" w:rsidR="00DA3154" w:rsidRDefault="00DA3154" w:rsidP="00AE05F4">
      <w:pPr>
        <w:spacing w:after="0"/>
        <w:jc w:val="both"/>
        <w:rPr>
          <w:bCs/>
        </w:rPr>
      </w:pPr>
    </w:p>
    <w:p w14:paraId="6765F9CB" w14:textId="77777777" w:rsidR="00A33AC0" w:rsidRDefault="00010DC3" w:rsidP="00AE05F4">
      <w:pPr>
        <w:spacing w:after="0"/>
        <w:jc w:val="both"/>
        <w:rPr>
          <w:bCs/>
        </w:rPr>
      </w:pPr>
      <w:r w:rsidRPr="003237DE">
        <w:rPr>
          <w:bCs/>
        </w:rPr>
        <w:t xml:space="preserve">Furthermore, </w:t>
      </w:r>
      <w:r w:rsidR="00A33AC0">
        <w:rPr>
          <w:bCs/>
        </w:rPr>
        <w:t>following agreements related to PDCCH monitoring have been made in RAN1#103-e [2]:</w:t>
      </w:r>
    </w:p>
    <w:p w14:paraId="2879F613" w14:textId="77777777" w:rsidR="00A33AC0" w:rsidRDefault="00A33AC0" w:rsidP="00AE05F4">
      <w:pPr>
        <w:spacing w:after="0"/>
        <w:jc w:val="both"/>
        <w:rPr>
          <w:bCs/>
        </w:rPr>
      </w:pPr>
    </w:p>
    <w:p w14:paraId="7B1BE1C5" w14:textId="77777777" w:rsidR="00A33AC0" w:rsidRPr="00A33AC0" w:rsidRDefault="00A33AC0" w:rsidP="00A33AC0">
      <w:pPr>
        <w:rPr>
          <w:rFonts w:cs="Times"/>
          <w:i/>
          <w:iCs/>
          <w:lang w:eastAsia="x-none"/>
        </w:rPr>
      </w:pPr>
      <w:r w:rsidRPr="00A33AC0">
        <w:rPr>
          <w:rFonts w:cs="Times"/>
          <w:i/>
          <w:iCs/>
          <w:highlight w:val="green"/>
          <w:lang w:eastAsia="x-none"/>
        </w:rPr>
        <w:t>Agreement:</w:t>
      </w:r>
    </w:p>
    <w:p w14:paraId="77B12C96" w14:textId="77777777" w:rsidR="00A33AC0" w:rsidRPr="00A33AC0" w:rsidRDefault="00A33AC0" w:rsidP="00A33AC0">
      <w:pPr>
        <w:spacing w:after="0"/>
        <w:rPr>
          <w:rFonts w:cs="Times"/>
          <w:i/>
          <w:iCs/>
        </w:rPr>
      </w:pPr>
      <w:r w:rsidRPr="00A33AC0">
        <w:rPr>
          <w:rFonts w:cs="Times"/>
          <w:i/>
          <w:iCs/>
        </w:rPr>
        <w:t>Capture the following observations in the TR (Editorial modifications and changes to references can be made when capturing the observations in the TR):</w:t>
      </w:r>
    </w:p>
    <w:p w14:paraId="63087798" w14:textId="77777777" w:rsidR="00A33AC0" w:rsidRPr="00A33AC0" w:rsidRDefault="00A33AC0" w:rsidP="00A33AC0">
      <w:pPr>
        <w:pStyle w:val="BodyText"/>
        <w:numPr>
          <w:ilvl w:val="0"/>
          <w:numId w:val="15"/>
        </w:numPr>
        <w:overflowPunct w:val="0"/>
        <w:autoSpaceDE w:val="0"/>
        <w:autoSpaceDN w:val="0"/>
        <w:adjustRightInd w:val="0"/>
        <w:spacing w:after="0" w:line="256" w:lineRule="auto"/>
        <w:textAlignment w:val="baseline"/>
        <w:rPr>
          <w:rFonts w:cs="Times"/>
          <w:i/>
          <w:iCs/>
          <w:szCs w:val="20"/>
          <w:lang w:eastAsia="zh-CN"/>
        </w:rPr>
      </w:pPr>
      <w:r w:rsidRPr="00A33AC0">
        <w:rPr>
          <w:rFonts w:cs="Times"/>
          <w:i/>
          <w:iCs/>
          <w:szCs w:val="20"/>
          <w:lang w:eastAsia="zh-CN"/>
        </w:rPr>
        <w:t>It was identified that the potential enhancements to PDCCH monitoring including potential limitation to UE PDCCH configuration,,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56E0DADC" w14:textId="45D4056B" w:rsidR="00A33AC0" w:rsidRPr="00A33AC0" w:rsidRDefault="00A33AC0" w:rsidP="00A33AC0">
      <w:pPr>
        <w:pStyle w:val="BodyText"/>
        <w:numPr>
          <w:ilvl w:val="0"/>
          <w:numId w:val="15"/>
        </w:numPr>
        <w:overflowPunct w:val="0"/>
        <w:autoSpaceDE w:val="0"/>
        <w:autoSpaceDN w:val="0"/>
        <w:adjustRightInd w:val="0"/>
        <w:spacing w:after="0" w:line="256" w:lineRule="auto"/>
        <w:textAlignment w:val="baseline"/>
        <w:rPr>
          <w:rFonts w:cs="Times"/>
          <w:i/>
          <w:iCs/>
          <w:szCs w:val="20"/>
          <w:lang w:eastAsia="zh-CN"/>
        </w:rPr>
      </w:pPr>
      <w:r w:rsidRPr="00A33AC0">
        <w:rPr>
          <w:rFonts w:cs="Times"/>
          <w:i/>
          <w:iCs/>
          <w:szCs w:val="20"/>
          <w:lang w:eastAsia="zh-CN"/>
        </w:rPr>
        <w:lastRenderedPageBreak/>
        <w:t>It was observed that PDCCH processing capabilities per multiple slots for larger SCS (e.g. 480 or 960 kHz) can maintain scheduling framework same as for smaller SCS (e.g. 120 kHz) when the UE is configured to monitor the PDCCH every multiple slots.</w:t>
      </w:r>
    </w:p>
    <w:p w14:paraId="13DEF7C9" w14:textId="4E2CD1D0" w:rsidR="00DA3154" w:rsidRDefault="00614C4F" w:rsidP="00AE05F4">
      <w:pPr>
        <w:spacing w:after="0"/>
        <w:jc w:val="both"/>
        <w:rPr>
          <w:bCs/>
        </w:rPr>
      </w:pPr>
      <w:r>
        <w:rPr>
          <w:bCs/>
        </w:rPr>
        <w:t xml:space="preserve"> </w:t>
      </w:r>
    </w:p>
    <w:p w14:paraId="0EE8BC89" w14:textId="4F17932E" w:rsidR="00AE6616" w:rsidRDefault="00AE6616" w:rsidP="00AE05F4">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provide our views on enhancements needed for PDCCH monitoring for NR operation between 52.6 GHz to 71 GHz with newly agreed SCS values including 480kHz and 960kHz.</w:t>
      </w:r>
    </w:p>
    <w:p w14:paraId="56763D9A" w14:textId="77777777" w:rsidR="00A33AC0" w:rsidRDefault="00A33AC0" w:rsidP="00AE05F4">
      <w:pPr>
        <w:spacing w:after="0"/>
        <w:jc w:val="both"/>
        <w:rPr>
          <w:rFonts w:asciiTheme="majorBidi" w:hAnsiTheme="majorBidi" w:cstheme="majorBidi"/>
          <w:bCs/>
          <w:lang w:val="en-US"/>
        </w:rPr>
      </w:pPr>
    </w:p>
    <w:p w14:paraId="224F8E5E" w14:textId="639265F5"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913653">
        <w:rPr>
          <w:rFonts w:ascii="Arial" w:eastAsia="MS Mincho" w:hAnsi="Arial"/>
          <w:sz w:val="36"/>
          <w:szCs w:val="36"/>
          <w:lang w:eastAsia="ja-JP"/>
        </w:rPr>
        <w:t>PDCCH monitoring enhancements</w:t>
      </w:r>
    </w:p>
    <w:p w14:paraId="0465C431" w14:textId="77777777" w:rsidR="00913653" w:rsidRPr="00A241C5" w:rsidRDefault="00913653" w:rsidP="00913653">
      <w:pPr>
        <w:jc w:val="both"/>
        <w:rPr>
          <w:bCs/>
          <w:lang w:eastAsia="ja-JP"/>
        </w:rPr>
      </w:pPr>
      <w:r>
        <w:rPr>
          <w:bCs/>
          <w:lang w:eastAsia="ja-JP"/>
        </w:rPr>
        <w:t>Currently, the maximum number of non-overlapped CCEs per slot for a DL BWP for different numerologies is given by below table. UE is expected to monitor corresponding PDCCH candidates per slot for operation with a single serving cell. For NR operation beyond 52.6GHz, this number can be further expected to decrease with increasing value of subcarrier spacing. As a result, the PDCCH monitoring capability will be further reduced and the number of PDCCH candidates per slot could be quite less.</w:t>
      </w:r>
    </w:p>
    <w:p w14:paraId="4F24310A" w14:textId="5707448B" w:rsidR="00913653" w:rsidRPr="00A241C5" w:rsidRDefault="00913653" w:rsidP="00913653">
      <w:pPr>
        <w:pStyle w:val="TH"/>
        <w:rPr>
          <w:rFonts w:ascii="Times New Roman" w:hAnsi="Times New Roman"/>
        </w:rPr>
      </w:pPr>
      <w:r w:rsidRPr="00A241C5">
        <w:rPr>
          <w:rFonts w:ascii="Times New Roman" w:hAnsi="Times New Roman"/>
        </w:rPr>
        <w:t xml:space="preserve">Table </w:t>
      </w:r>
      <w:r>
        <w:rPr>
          <w:rFonts w:ascii="Times New Roman" w:hAnsi="Times New Roman"/>
        </w:rPr>
        <w:t>1</w:t>
      </w:r>
      <w:r w:rsidRPr="00A241C5">
        <w:rPr>
          <w:rFonts w:ascii="Times New Roman" w:hAnsi="Times New Roman"/>
        </w:rPr>
        <w:t xml:space="preserve">: Maximum number </w:t>
      </w:r>
      <w:r w:rsidRPr="00A241C5">
        <w:rPr>
          <w:rFonts w:ascii="Times New Roman" w:hAnsi="Times New Roman"/>
          <w:noProof/>
          <w:position w:val="-10"/>
        </w:rPr>
        <w:drawing>
          <wp:inline distT="0" distB="0" distL="0" distR="0" wp14:anchorId="591A3F60" wp14:editId="5EFE2A5A">
            <wp:extent cx="485775" cy="2381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sidRPr="00A241C5">
        <w:rPr>
          <w:rFonts w:ascii="Times New Roman" w:hAnsi="Times New Roman"/>
        </w:rPr>
        <w:t xml:space="preserve"> of non-overlapped CCEs per slot for a DL BWP with SCS configuration </w:t>
      </w:r>
      <w:r w:rsidRPr="00A241C5">
        <w:rPr>
          <w:rFonts w:ascii="Times New Roman" w:hAnsi="Times New Roman"/>
          <w:noProof/>
          <w:position w:val="-10"/>
        </w:rPr>
        <w:drawing>
          <wp:inline distT="0" distB="0" distL="0" distR="0" wp14:anchorId="57ABAEC9" wp14:editId="705D4B07">
            <wp:extent cx="73342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A241C5">
        <w:rPr>
          <w:rFonts w:ascii="Times New Roman" w:hAnsi="Times New Roma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13653" w:rsidRPr="00B311CF" w14:paraId="3C336976" w14:textId="77777777" w:rsidTr="006824B5">
        <w:trPr>
          <w:cantSplit/>
          <w:jc w:val="center"/>
        </w:trPr>
        <w:tc>
          <w:tcPr>
            <w:tcW w:w="1465" w:type="dxa"/>
            <w:shd w:val="clear" w:color="auto" w:fill="E0E0E0"/>
            <w:vAlign w:val="center"/>
          </w:tcPr>
          <w:p w14:paraId="3A7A310A" w14:textId="77777777" w:rsidR="00913653" w:rsidRPr="00A241C5" w:rsidRDefault="00913653" w:rsidP="006824B5">
            <w:pPr>
              <w:pStyle w:val="TAH"/>
              <w:rPr>
                <w:rFonts w:ascii="Times New Roman" w:hAnsi="Times New Roman"/>
                <w:sz w:val="20"/>
              </w:rPr>
            </w:pPr>
            <w:r w:rsidRPr="00A241C5">
              <w:rPr>
                <w:rFonts w:ascii="Times New Roman" w:hAnsi="Times New Roman"/>
                <w:noProof/>
                <w:position w:val="-10"/>
                <w:sz w:val="20"/>
              </w:rPr>
              <w:drawing>
                <wp:inline distT="0" distB="0" distL="0" distR="0" wp14:anchorId="46144EF8" wp14:editId="14264AA7">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7170" w:type="dxa"/>
            <w:shd w:val="clear" w:color="auto" w:fill="E0E0E0"/>
            <w:vAlign w:val="center"/>
          </w:tcPr>
          <w:p w14:paraId="7CB80F64" w14:textId="77777777" w:rsidR="00913653" w:rsidRPr="00A241C5" w:rsidRDefault="00913653" w:rsidP="006824B5">
            <w:pPr>
              <w:pStyle w:val="TAH"/>
              <w:rPr>
                <w:rFonts w:ascii="Times New Roman" w:hAnsi="Times New Roman"/>
                <w:sz w:val="20"/>
              </w:rPr>
            </w:pPr>
            <w:r w:rsidRPr="00A241C5">
              <w:rPr>
                <w:rFonts w:ascii="Times New Roman" w:hAnsi="Times New Roman"/>
                <w:sz w:val="20"/>
              </w:rPr>
              <w:t xml:space="preserve">Maximum number of non-overlapped CCEs per slot and per serving cell </w:t>
            </w:r>
            <w:r w:rsidRPr="00A241C5">
              <w:rPr>
                <w:rFonts w:ascii="Times New Roman" w:hAnsi="Times New Roman"/>
                <w:noProof/>
                <w:position w:val="-10"/>
                <w:sz w:val="20"/>
              </w:rPr>
              <w:drawing>
                <wp:inline distT="0" distB="0" distL="0" distR="0" wp14:anchorId="1C0A91E2" wp14:editId="5C8B3AD4">
                  <wp:extent cx="485775" cy="2476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247650"/>
                          </a:xfrm>
                          <a:prstGeom prst="rect">
                            <a:avLst/>
                          </a:prstGeom>
                          <a:noFill/>
                          <a:ln>
                            <a:noFill/>
                          </a:ln>
                        </pic:spPr>
                      </pic:pic>
                    </a:graphicData>
                  </a:graphic>
                </wp:inline>
              </w:drawing>
            </w:r>
          </w:p>
        </w:tc>
      </w:tr>
      <w:tr w:rsidR="00913653" w:rsidRPr="00B311CF" w14:paraId="50D01C9D" w14:textId="77777777" w:rsidTr="006824B5">
        <w:trPr>
          <w:cantSplit/>
          <w:jc w:val="center"/>
        </w:trPr>
        <w:tc>
          <w:tcPr>
            <w:tcW w:w="1465" w:type="dxa"/>
            <w:vAlign w:val="center"/>
          </w:tcPr>
          <w:p w14:paraId="1B61B0B5" w14:textId="77777777" w:rsidR="00913653" w:rsidRPr="00A241C5" w:rsidRDefault="00913653" w:rsidP="006824B5">
            <w:pPr>
              <w:pStyle w:val="TAC"/>
              <w:rPr>
                <w:rFonts w:ascii="Times New Roman" w:hAnsi="Times New Roman"/>
                <w:sz w:val="20"/>
              </w:rPr>
            </w:pPr>
            <w:r w:rsidRPr="00A241C5">
              <w:rPr>
                <w:rFonts w:ascii="Times New Roman" w:hAnsi="Times New Roman"/>
                <w:sz w:val="20"/>
              </w:rPr>
              <w:t>0</w:t>
            </w:r>
          </w:p>
        </w:tc>
        <w:tc>
          <w:tcPr>
            <w:tcW w:w="7170" w:type="dxa"/>
            <w:vAlign w:val="center"/>
          </w:tcPr>
          <w:p w14:paraId="0DC4C542" w14:textId="77777777" w:rsidR="00913653" w:rsidRPr="00A241C5" w:rsidRDefault="00913653" w:rsidP="006824B5">
            <w:pPr>
              <w:pStyle w:val="TAC"/>
              <w:rPr>
                <w:rFonts w:ascii="Times New Roman" w:hAnsi="Times New Roman"/>
                <w:sz w:val="20"/>
              </w:rPr>
            </w:pPr>
            <w:r w:rsidRPr="00A241C5">
              <w:rPr>
                <w:rFonts w:ascii="Times New Roman" w:hAnsi="Times New Roman"/>
                <w:sz w:val="20"/>
              </w:rPr>
              <w:t>56</w:t>
            </w:r>
          </w:p>
        </w:tc>
      </w:tr>
      <w:tr w:rsidR="00913653" w:rsidRPr="00B311CF" w14:paraId="485B25D4" w14:textId="77777777" w:rsidTr="006824B5">
        <w:trPr>
          <w:cantSplit/>
          <w:jc w:val="center"/>
        </w:trPr>
        <w:tc>
          <w:tcPr>
            <w:tcW w:w="1465" w:type="dxa"/>
            <w:vAlign w:val="center"/>
          </w:tcPr>
          <w:p w14:paraId="5AE6903F" w14:textId="77777777" w:rsidR="00913653" w:rsidRPr="00A241C5" w:rsidRDefault="00913653" w:rsidP="006824B5">
            <w:pPr>
              <w:pStyle w:val="TAC"/>
              <w:rPr>
                <w:rFonts w:ascii="Times New Roman" w:hAnsi="Times New Roman"/>
                <w:sz w:val="20"/>
              </w:rPr>
            </w:pPr>
            <w:r w:rsidRPr="00A241C5">
              <w:rPr>
                <w:rFonts w:ascii="Times New Roman" w:hAnsi="Times New Roman"/>
                <w:sz w:val="20"/>
              </w:rPr>
              <w:t>1</w:t>
            </w:r>
          </w:p>
        </w:tc>
        <w:tc>
          <w:tcPr>
            <w:tcW w:w="7170" w:type="dxa"/>
            <w:vAlign w:val="center"/>
          </w:tcPr>
          <w:p w14:paraId="5A38993A" w14:textId="77777777" w:rsidR="00913653" w:rsidRPr="00A241C5" w:rsidRDefault="00913653" w:rsidP="006824B5">
            <w:pPr>
              <w:pStyle w:val="TAC"/>
              <w:rPr>
                <w:rFonts w:ascii="Times New Roman" w:hAnsi="Times New Roman"/>
                <w:sz w:val="20"/>
              </w:rPr>
            </w:pPr>
            <w:r w:rsidRPr="00A241C5">
              <w:rPr>
                <w:rFonts w:ascii="Times New Roman" w:hAnsi="Times New Roman"/>
                <w:sz w:val="20"/>
              </w:rPr>
              <w:t>56</w:t>
            </w:r>
          </w:p>
        </w:tc>
      </w:tr>
      <w:tr w:rsidR="00913653" w:rsidRPr="00B311CF" w14:paraId="2E7AA32C" w14:textId="77777777" w:rsidTr="006824B5">
        <w:trPr>
          <w:cantSplit/>
          <w:jc w:val="center"/>
        </w:trPr>
        <w:tc>
          <w:tcPr>
            <w:tcW w:w="1465" w:type="dxa"/>
            <w:vAlign w:val="center"/>
          </w:tcPr>
          <w:p w14:paraId="6BC71519" w14:textId="77777777" w:rsidR="00913653" w:rsidRPr="00A241C5" w:rsidRDefault="00913653" w:rsidP="006824B5">
            <w:pPr>
              <w:pStyle w:val="TAC"/>
              <w:rPr>
                <w:rFonts w:ascii="Times New Roman" w:hAnsi="Times New Roman"/>
                <w:sz w:val="20"/>
              </w:rPr>
            </w:pPr>
            <w:r w:rsidRPr="00A241C5">
              <w:rPr>
                <w:rFonts w:ascii="Times New Roman" w:hAnsi="Times New Roman"/>
                <w:sz w:val="20"/>
              </w:rPr>
              <w:t>2</w:t>
            </w:r>
          </w:p>
        </w:tc>
        <w:tc>
          <w:tcPr>
            <w:tcW w:w="7170" w:type="dxa"/>
            <w:vAlign w:val="center"/>
          </w:tcPr>
          <w:p w14:paraId="4F814D2D" w14:textId="77777777" w:rsidR="00913653" w:rsidRPr="00A241C5" w:rsidRDefault="00913653" w:rsidP="006824B5">
            <w:pPr>
              <w:pStyle w:val="TAC"/>
              <w:rPr>
                <w:rFonts w:ascii="Times New Roman" w:hAnsi="Times New Roman"/>
                <w:sz w:val="20"/>
              </w:rPr>
            </w:pPr>
            <w:r w:rsidRPr="00A241C5">
              <w:rPr>
                <w:rFonts w:ascii="Times New Roman" w:hAnsi="Times New Roman"/>
                <w:sz w:val="20"/>
              </w:rPr>
              <w:t>48</w:t>
            </w:r>
          </w:p>
        </w:tc>
      </w:tr>
      <w:tr w:rsidR="00913653" w:rsidRPr="00B311CF" w14:paraId="021AC235" w14:textId="77777777" w:rsidTr="006824B5">
        <w:trPr>
          <w:cantSplit/>
          <w:jc w:val="center"/>
        </w:trPr>
        <w:tc>
          <w:tcPr>
            <w:tcW w:w="1465" w:type="dxa"/>
            <w:vAlign w:val="center"/>
          </w:tcPr>
          <w:p w14:paraId="31D29113" w14:textId="77777777" w:rsidR="00913653" w:rsidRPr="00A241C5" w:rsidRDefault="00913653" w:rsidP="006824B5">
            <w:pPr>
              <w:pStyle w:val="TAC"/>
              <w:rPr>
                <w:rFonts w:ascii="Times New Roman" w:hAnsi="Times New Roman"/>
                <w:sz w:val="20"/>
              </w:rPr>
            </w:pPr>
            <w:r w:rsidRPr="00A241C5">
              <w:rPr>
                <w:rFonts w:ascii="Times New Roman" w:hAnsi="Times New Roman"/>
                <w:sz w:val="20"/>
              </w:rPr>
              <w:t>3</w:t>
            </w:r>
          </w:p>
        </w:tc>
        <w:tc>
          <w:tcPr>
            <w:tcW w:w="7170" w:type="dxa"/>
            <w:vAlign w:val="center"/>
          </w:tcPr>
          <w:p w14:paraId="76144151" w14:textId="77777777" w:rsidR="00913653" w:rsidRPr="00A241C5" w:rsidRDefault="00913653" w:rsidP="006824B5">
            <w:pPr>
              <w:pStyle w:val="TAC"/>
              <w:rPr>
                <w:rFonts w:ascii="Times New Roman" w:hAnsi="Times New Roman"/>
                <w:sz w:val="20"/>
              </w:rPr>
            </w:pPr>
            <w:r w:rsidRPr="00A241C5">
              <w:rPr>
                <w:rFonts w:ascii="Times New Roman" w:hAnsi="Times New Roman"/>
                <w:sz w:val="20"/>
              </w:rPr>
              <w:t>32</w:t>
            </w:r>
          </w:p>
        </w:tc>
      </w:tr>
    </w:tbl>
    <w:p w14:paraId="57990F71" w14:textId="77777777" w:rsidR="00913653" w:rsidRPr="00077ABC" w:rsidRDefault="00913653" w:rsidP="00913653">
      <w:pPr>
        <w:rPr>
          <w:i/>
          <w:iCs/>
        </w:rPr>
      </w:pPr>
    </w:p>
    <w:p w14:paraId="5D267201" w14:textId="1281ADD6" w:rsidR="00913653" w:rsidRDefault="00913653" w:rsidP="00913653">
      <w:pPr>
        <w:jc w:val="both"/>
        <w:rPr>
          <w:bCs/>
          <w:lang w:eastAsia="ja-JP"/>
        </w:rPr>
      </w:pPr>
      <w:r w:rsidRPr="00A241C5">
        <w:rPr>
          <w:b/>
          <w:i/>
          <w:iCs/>
          <w:lang w:eastAsia="ja-JP"/>
        </w:rPr>
        <w:t xml:space="preserve">Observation 1: </w:t>
      </w:r>
      <w:r w:rsidRPr="00E14DF7">
        <w:rPr>
          <w:b/>
          <w:i/>
          <w:iCs/>
        </w:rPr>
        <w:t xml:space="preserve">For supporting NR </w:t>
      </w:r>
      <w:r w:rsidR="008F4E8C">
        <w:rPr>
          <w:b/>
          <w:i/>
          <w:iCs/>
        </w:rPr>
        <w:t>between</w:t>
      </w:r>
      <w:r w:rsidRPr="00E14DF7">
        <w:rPr>
          <w:b/>
          <w:i/>
          <w:iCs/>
        </w:rPr>
        <w:t xml:space="preserve"> 52.6 GHz</w:t>
      </w:r>
      <w:r w:rsidR="008F4E8C">
        <w:rPr>
          <w:b/>
          <w:i/>
          <w:iCs/>
        </w:rPr>
        <w:t xml:space="preserve"> and 71 GHz</w:t>
      </w:r>
      <w:r w:rsidRPr="00E14DF7">
        <w:rPr>
          <w:b/>
          <w:i/>
          <w:iCs/>
        </w:rPr>
        <w:t xml:space="preserve"> with </w:t>
      </w:r>
      <w:r w:rsidR="008F4E8C">
        <w:rPr>
          <w:b/>
          <w:i/>
          <w:iCs/>
        </w:rPr>
        <w:t xml:space="preserve">high </w:t>
      </w:r>
      <w:r w:rsidRPr="00E14DF7">
        <w:rPr>
          <w:b/>
          <w:i/>
          <w:iCs/>
        </w:rPr>
        <w:t>subcarrier spacing</w:t>
      </w:r>
      <w:r w:rsidR="008F4E8C">
        <w:rPr>
          <w:b/>
          <w:i/>
          <w:iCs/>
        </w:rPr>
        <w:t xml:space="preserve"> values </w:t>
      </w:r>
      <w:r>
        <w:rPr>
          <w:b/>
          <w:i/>
          <w:iCs/>
        </w:rPr>
        <w:t>including 480kHz and 960kHz</w:t>
      </w:r>
      <w:r w:rsidRPr="00E14DF7">
        <w:rPr>
          <w:b/>
          <w:i/>
          <w:iCs/>
        </w:rPr>
        <w:t xml:space="preserve">, the PDCCH monitoring capability </w:t>
      </w:r>
      <w:r>
        <w:rPr>
          <w:b/>
          <w:i/>
          <w:iCs/>
        </w:rPr>
        <w:t>is expected to</w:t>
      </w:r>
      <w:r w:rsidRPr="00E14DF7">
        <w:rPr>
          <w:b/>
          <w:i/>
          <w:iCs/>
        </w:rPr>
        <w:t xml:space="preserve"> be further reduced and the number of PDCCH candidates per slot would be lower.</w:t>
      </w:r>
    </w:p>
    <w:p w14:paraId="26F07C30" w14:textId="77777777" w:rsidR="00913653" w:rsidRDefault="00913653" w:rsidP="00913653">
      <w:pPr>
        <w:jc w:val="both"/>
        <w:rPr>
          <w:bCs/>
          <w:lang w:eastAsia="ja-JP"/>
        </w:rPr>
      </w:pPr>
      <w:r>
        <w:rPr>
          <w:bCs/>
          <w:lang w:eastAsia="ja-JP"/>
        </w:rPr>
        <w:t>Furthermore, in terms of scheduling flexibility, in order to receive downlink in every slot, UE is expected to receive PDCCH scheduling downlink in every slot. For higher subcarrier spacing values such as 480kHz and beyond, UE might be expected to monitor and process PDCCH in every slot, but due to limitations with UE processing capability, this might not be scalable.</w:t>
      </w:r>
    </w:p>
    <w:p w14:paraId="09CF9977" w14:textId="6729725C" w:rsidR="00913653" w:rsidRPr="00F0746F" w:rsidRDefault="00913653" w:rsidP="00913653">
      <w:pPr>
        <w:jc w:val="both"/>
        <w:rPr>
          <w:b/>
          <w:i/>
          <w:iCs/>
        </w:rPr>
      </w:pPr>
      <w:r w:rsidRPr="00F0746F">
        <w:rPr>
          <w:b/>
          <w:i/>
          <w:iCs/>
          <w:lang w:eastAsia="ja-JP"/>
        </w:rPr>
        <w:t xml:space="preserve">Observation </w:t>
      </w:r>
      <w:r w:rsidR="000F21B0">
        <w:rPr>
          <w:b/>
          <w:i/>
          <w:iCs/>
          <w:lang w:eastAsia="ja-JP"/>
        </w:rPr>
        <w:t>2</w:t>
      </w:r>
      <w:r w:rsidRPr="00F0746F">
        <w:rPr>
          <w:b/>
          <w:i/>
          <w:iCs/>
          <w:lang w:eastAsia="ja-JP"/>
        </w:rPr>
        <w:t xml:space="preserve">: </w:t>
      </w:r>
      <w:r w:rsidR="008F4E8C" w:rsidRPr="00E14DF7">
        <w:rPr>
          <w:b/>
          <w:i/>
          <w:iCs/>
        </w:rPr>
        <w:t xml:space="preserve">For supporting NR </w:t>
      </w:r>
      <w:r w:rsidR="008F4E8C">
        <w:rPr>
          <w:b/>
          <w:i/>
          <w:iCs/>
        </w:rPr>
        <w:t>between</w:t>
      </w:r>
      <w:r w:rsidR="008F4E8C" w:rsidRPr="00E14DF7">
        <w:rPr>
          <w:b/>
          <w:i/>
          <w:iCs/>
        </w:rPr>
        <w:t xml:space="preserve"> 52.6 GHz</w:t>
      </w:r>
      <w:r w:rsidR="008F4E8C">
        <w:rPr>
          <w:b/>
          <w:i/>
          <w:iCs/>
        </w:rPr>
        <w:t xml:space="preserve"> and 71 GHz</w:t>
      </w:r>
      <w:r w:rsidR="008F4E8C" w:rsidRPr="00E14DF7">
        <w:rPr>
          <w:b/>
          <w:i/>
          <w:iCs/>
        </w:rPr>
        <w:t xml:space="preserve"> with </w:t>
      </w:r>
      <w:r w:rsidR="008F4E8C">
        <w:rPr>
          <w:b/>
          <w:i/>
          <w:iCs/>
        </w:rPr>
        <w:t xml:space="preserve">high </w:t>
      </w:r>
      <w:r w:rsidR="008F4E8C" w:rsidRPr="00E14DF7">
        <w:rPr>
          <w:b/>
          <w:i/>
          <w:iCs/>
        </w:rPr>
        <w:t>subcarrier spacing</w:t>
      </w:r>
      <w:r w:rsidR="008F4E8C">
        <w:rPr>
          <w:b/>
          <w:i/>
          <w:iCs/>
        </w:rPr>
        <w:t xml:space="preserve"> values including 480kHz and 960kHz</w:t>
      </w:r>
      <w:r w:rsidR="008F4E8C" w:rsidRPr="00E14DF7">
        <w:rPr>
          <w:b/>
          <w:i/>
          <w:iCs/>
        </w:rPr>
        <w:t>,</w:t>
      </w:r>
      <w:r w:rsidR="008F4E8C">
        <w:rPr>
          <w:b/>
          <w:i/>
          <w:iCs/>
        </w:rPr>
        <w:t xml:space="preserve"> </w:t>
      </w:r>
      <w:r w:rsidRPr="00F0746F">
        <w:rPr>
          <w:b/>
          <w:i/>
          <w:iCs/>
        </w:rPr>
        <w:t xml:space="preserve">the PDCCH </w:t>
      </w:r>
      <w:r>
        <w:rPr>
          <w:b/>
          <w:i/>
          <w:iCs/>
        </w:rPr>
        <w:t>processing in every slot might not be scalable due to limitations with UE processing capability.</w:t>
      </w:r>
    </w:p>
    <w:p w14:paraId="552E3367" w14:textId="5A12FF7F" w:rsidR="007F7458" w:rsidRDefault="007F7458" w:rsidP="00913653">
      <w:pPr>
        <w:jc w:val="both"/>
        <w:rPr>
          <w:bCs/>
          <w:lang w:eastAsia="ja-JP"/>
        </w:rPr>
      </w:pPr>
      <w:r>
        <w:rPr>
          <w:bCs/>
          <w:lang w:eastAsia="ja-JP"/>
        </w:rPr>
        <w:t>Based on these observations, in the following section, we proposed multiple enhancements for PDCCH monitoring with high values of subcarrier spacing for NR operation between 52.6 GHz to 71 GHz.</w:t>
      </w:r>
    </w:p>
    <w:p w14:paraId="2D7BF979" w14:textId="33A065A7" w:rsidR="00304583" w:rsidRDefault="00304583" w:rsidP="00304583">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 xml:space="preserve">2.1 </w:t>
      </w:r>
      <w:r>
        <w:rPr>
          <w:rFonts w:ascii="Arial" w:eastAsia="MS Mincho" w:hAnsi="Arial" w:cs="Arial"/>
          <w:iCs/>
          <w:color w:val="auto"/>
          <w:sz w:val="28"/>
          <w:szCs w:val="36"/>
          <w:lang w:val="en-US"/>
        </w:rPr>
        <w:t>PDCCH monitoring span</w:t>
      </w:r>
    </w:p>
    <w:p w14:paraId="103E2FF1" w14:textId="615F71E4" w:rsidR="00B00DFB" w:rsidRPr="00B00DFB" w:rsidRDefault="00B00DFB" w:rsidP="00913653">
      <w:pPr>
        <w:jc w:val="both"/>
        <w:rPr>
          <w:bCs/>
          <w:lang w:val="en-US" w:eastAsia="ja-JP"/>
        </w:rPr>
      </w:pPr>
      <w:r w:rsidRPr="00B00DFB">
        <w:rPr>
          <w:bCs/>
          <w:lang w:val="en-US" w:eastAsia="ja-JP"/>
        </w:rPr>
        <w:t>In RAN1#103-e and in th</w:t>
      </w:r>
      <w:r>
        <w:rPr>
          <w:bCs/>
          <w:lang w:val="en-US" w:eastAsia="ja-JP"/>
        </w:rPr>
        <w:t>e WID, it has bee</w:t>
      </w:r>
      <w:r w:rsidR="00A54E2C">
        <w:rPr>
          <w:bCs/>
          <w:lang w:val="en-US" w:eastAsia="ja-JP"/>
        </w:rPr>
        <w:t>n</w:t>
      </w:r>
      <w:r>
        <w:rPr>
          <w:bCs/>
          <w:lang w:val="en-US" w:eastAsia="ja-JP"/>
        </w:rPr>
        <w:t xml:space="preserve"> agree</w:t>
      </w:r>
      <w:r w:rsidR="00003D0F">
        <w:rPr>
          <w:bCs/>
          <w:lang w:val="en-US" w:eastAsia="ja-JP"/>
        </w:rPr>
        <w:t>d</w:t>
      </w:r>
      <w:r>
        <w:rPr>
          <w:bCs/>
          <w:lang w:val="en-US" w:eastAsia="ja-JP"/>
        </w:rPr>
        <w:t xml:space="preserve"> to specify enhancements to schedule multiple PDSCH/PUSCH by a single DCI. One of the main motivations for this is to avoid the need for UE to monitor PDCCH scheduling PDSCH/PUSCH in every slot as it may not be feasible to monitor and decode by UE due to very short slot duration for higher SCS values such as 480kHz and 960kHz. Therefore, it is quite straightforward extension to allow the possibility for a UE to be configured with multi-slot PDCCH monitoring span, where the UE is not required to monitor PDCCH in every slot.</w:t>
      </w:r>
    </w:p>
    <w:p w14:paraId="67EA8825" w14:textId="06E9AC8F" w:rsidR="008F4E8C" w:rsidRDefault="008F4E8C" w:rsidP="008F4E8C">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AC2049">
        <w:rPr>
          <w:b/>
          <w:i/>
          <w:iCs/>
        </w:rPr>
        <w:t>multi-slot PDCCH</w:t>
      </w:r>
      <w:r>
        <w:rPr>
          <w:b/>
          <w:i/>
          <w:iCs/>
        </w:rPr>
        <w:t xml:space="preserve"> monitoring span should be supported</w:t>
      </w:r>
      <w:r w:rsidR="00AC2049">
        <w:rPr>
          <w:b/>
          <w:i/>
          <w:iCs/>
        </w:rPr>
        <w:t>.</w:t>
      </w:r>
    </w:p>
    <w:p w14:paraId="30D08175" w14:textId="21FD8BD1" w:rsidR="00B00DFB" w:rsidRPr="00B00DFB" w:rsidRDefault="00B00DFB" w:rsidP="008F4E8C">
      <w:pPr>
        <w:jc w:val="both"/>
        <w:rPr>
          <w:bCs/>
        </w:rPr>
      </w:pPr>
      <w:r>
        <w:rPr>
          <w:bCs/>
        </w:rPr>
        <w:t xml:space="preserve">Furthermore, exact duration of the multi-slot PDCCH monitoring </w:t>
      </w:r>
      <w:r w:rsidR="00FC1191">
        <w:rPr>
          <w:bCs/>
        </w:rPr>
        <w:t xml:space="preserve">span </w:t>
      </w:r>
      <w:r>
        <w:rPr>
          <w:bCs/>
        </w:rPr>
        <w:t xml:space="preserve">can be configurable with different values in terms of number of slots depending upon the SCS values. For example, with 480kHz SCS value, multi-slot PDCCH monitoring span is 4 slots and with 960kHz SCS value, multi-slot PDCCH monitoring span is 8 slots. </w:t>
      </w:r>
    </w:p>
    <w:p w14:paraId="5CB9ACD4" w14:textId="023E38B4" w:rsidR="00B00DFB" w:rsidRDefault="00B00DFB" w:rsidP="00B00DFB">
      <w:pPr>
        <w:jc w:val="both"/>
        <w:rPr>
          <w:b/>
          <w:i/>
          <w:iCs/>
        </w:rPr>
      </w:pPr>
      <w:r>
        <w:rPr>
          <w:b/>
          <w:i/>
          <w:iCs/>
          <w:lang w:eastAsia="ja-JP"/>
        </w:rPr>
        <w:lastRenderedPageBreak/>
        <w:t xml:space="preserve">Proposal </w:t>
      </w:r>
      <w:r w:rsidR="007D6AA6">
        <w:rPr>
          <w:b/>
          <w:i/>
          <w:iCs/>
          <w:lang w:eastAsia="ja-JP"/>
        </w:rPr>
        <w:t>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multi-slot PDCCH monitoring span should be supported, then the exact duration of the span can be configured depending upon the subcarrier spacing value.</w:t>
      </w:r>
    </w:p>
    <w:p w14:paraId="1D7CC4D4" w14:textId="18EA62BF" w:rsidR="00D54E1C" w:rsidRDefault="00D54E1C" w:rsidP="00D54E1C">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sidRPr="00D54E1C">
        <w:rPr>
          <w:rFonts w:ascii="Arial" w:eastAsia="MS Mincho" w:hAnsi="Arial" w:cs="Arial"/>
          <w:iCs/>
          <w:color w:val="auto"/>
          <w:sz w:val="28"/>
          <w:szCs w:val="36"/>
          <w:lang w:val="en-US"/>
        </w:rPr>
        <w:t>Restricted PDCCH configuration</w:t>
      </w:r>
    </w:p>
    <w:p w14:paraId="0F0F7022" w14:textId="3332E5FD" w:rsidR="000756A6" w:rsidRPr="000756A6" w:rsidRDefault="000756A6" w:rsidP="00AC2049">
      <w:pPr>
        <w:jc w:val="both"/>
        <w:rPr>
          <w:bCs/>
          <w:lang w:eastAsia="ja-JP"/>
        </w:rPr>
      </w:pPr>
      <w:r>
        <w:rPr>
          <w:bCs/>
          <w:lang w:eastAsia="ja-JP"/>
        </w:rPr>
        <w:t xml:space="preserve">In our accompanying contribution [3], we propose a new single DCI format to schedule multiple PDSCH and PUSCH. In our view, if such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blind detection for a UE can be significantly reduced. </w:t>
      </w:r>
    </w:p>
    <w:p w14:paraId="32B3BA30" w14:textId="188FDAE8" w:rsidR="00AC2049" w:rsidRDefault="00AC2049" w:rsidP="00AC2049">
      <w:pPr>
        <w:jc w:val="both"/>
        <w:rPr>
          <w:b/>
          <w:i/>
          <w:iCs/>
        </w:rPr>
      </w:pPr>
      <w:r>
        <w:rPr>
          <w:b/>
          <w:i/>
          <w:iCs/>
          <w:lang w:eastAsia="ja-JP"/>
        </w:rPr>
        <w:t xml:space="preserve">Proposal </w:t>
      </w:r>
      <w:r w:rsidR="000756A6">
        <w:rPr>
          <w:b/>
          <w:i/>
          <w:iCs/>
          <w:lang w:eastAsia="ja-JP"/>
        </w:rPr>
        <w:t>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 and</w:t>
      </w:r>
      <w:r w:rsidR="00CD7939">
        <w:rPr>
          <w:b/>
          <w:i/>
          <w:iCs/>
        </w:rPr>
        <w:t>/or</w:t>
      </w:r>
      <w:r>
        <w:rPr>
          <w:b/>
          <w:i/>
          <w:iCs/>
        </w:rPr>
        <w:t xml:space="preserve"> multiple PUSCH, then restrictions on monitoring of other DCI formats (such as DCI format 0_1/1_1) should be </w:t>
      </w:r>
      <w:r w:rsidR="00F26ACF">
        <w:rPr>
          <w:b/>
          <w:i/>
          <w:iCs/>
        </w:rPr>
        <w:t>supported</w:t>
      </w:r>
      <w:r>
        <w:rPr>
          <w:b/>
          <w:i/>
          <w:iCs/>
        </w:rPr>
        <w:t>.</w:t>
      </w:r>
    </w:p>
    <w:p w14:paraId="38377AA9" w14:textId="6A206631" w:rsidR="003B5DFC" w:rsidRPr="00846599" w:rsidRDefault="00846599" w:rsidP="00AC2049">
      <w:pPr>
        <w:jc w:val="both"/>
        <w:rPr>
          <w:bCs/>
        </w:rPr>
      </w:pPr>
      <w:r w:rsidRPr="00846599">
        <w:rPr>
          <w:bCs/>
        </w:rPr>
        <w:t xml:space="preserve">Furthermore, additional restriction can be considered to further reduce the </w:t>
      </w:r>
      <w:r>
        <w:rPr>
          <w:bCs/>
        </w:rPr>
        <w:t xml:space="preserve">blind detections for UE. One possibility could be to consider only higher values of aggregation levels for monitoring any new DCI format(s) for high SCS values. This provides the benefit of better reliability for URLLC traffic. </w:t>
      </w:r>
    </w:p>
    <w:p w14:paraId="0467AD72" w14:textId="2BF23A15" w:rsidR="00F26ACF" w:rsidRDefault="00F26ACF" w:rsidP="00F26ACF">
      <w:pPr>
        <w:jc w:val="both"/>
        <w:rPr>
          <w:b/>
          <w:i/>
          <w:iCs/>
        </w:rPr>
      </w:pPr>
      <w:r>
        <w:rPr>
          <w:b/>
          <w:i/>
          <w:iCs/>
          <w:lang w:eastAsia="ja-JP"/>
        </w:rPr>
        <w:t xml:space="preserve">Proposal </w:t>
      </w:r>
      <w:r w:rsidR="003A4FDF">
        <w:rPr>
          <w:b/>
          <w:i/>
          <w:iCs/>
          <w:lang w:eastAsia="ja-JP"/>
        </w:rPr>
        <w:t>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 and</w:t>
      </w:r>
      <w:r w:rsidR="003B46B9">
        <w:rPr>
          <w:b/>
          <w:i/>
          <w:iCs/>
        </w:rPr>
        <w:t>/or</w:t>
      </w:r>
      <w:r>
        <w:rPr>
          <w:b/>
          <w:i/>
          <w:iCs/>
        </w:rPr>
        <w:t xml:space="preserve"> multiple PUSCH, then restrictions on certain aggregation levels (for </w:t>
      </w:r>
      <w:r w:rsidR="00C15D47">
        <w:rPr>
          <w:b/>
          <w:i/>
          <w:iCs/>
        </w:rPr>
        <w:t>example:</w:t>
      </w:r>
      <w:r>
        <w:rPr>
          <w:b/>
          <w:i/>
          <w:iCs/>
        </w:rPr>
        <w:t xml:space="preserve"> lower aggregation levels) </w:t>
      </w:r>
      <w:r w:rsidR="00930238">
        <w:rPr>
          <w:b/>
          <w:i/>
          <w:iCs/>
        </w:rPr>
        <w:t>for</w:t>
      </w:r>
      <w:r>
        <w:rPr>
          <w:b/>
          <w:i/>
          <w:iCs/>
        </w:rPr>
        <w:t xml:space="preserve"> new DCI should be supported.</w:t>
      </w:r>
    </w:p>
    <w:p w14:paraId="70C6E920" w14:textId="653DA64D" w:rsidR="001067E6" w:rsidRDefault="001067E6" w:rsidP="001067E6">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sidR="004E1CE4">
        <w:rPr>
          <w:rFonts w:ascii="Arial" w:eastAsia="MS Mincho" w:hAnsi="Arial" w:cs="Arial"/>
          <w:iCs/>
          <w:color w:val="auto"/>
          <w:sz w:val="28"/>
          <w:szCs w:val="36"/>
          <w:lang w:val="en-US"/>
        </w:rPr>
        <w:t>3</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PDCCH CORESET duration</w:t>
      </w:r>
    </w:p>
    <w:p w14:paraId="04C766FF" w14:textId="607ED2A4" w:rsidR="001067E6" w:rsidRDefault="00F221F9" w:rsidP="00913653">
      <w:pPr>
        <w:jc w:val="both"/>
        <w:rPr>
          <w:bCs/>
          <w:lang w:val="en-US" w:eastAsia="ja-JP"/>
        </w:rPr>
      </w:pPr>
      <w:r>
        <w:rPr>
          <w:bCs/>
          <w:lang w:val="en-US" w:eastAsia="ja-JP"/>
        </w:rPr>
        <w:t>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2102A8A" w14:textId="7E1884EC" w:rsidR="00F221F9" w:rsidRDefault="00F221F9" w:rsidP="00F221F9">
      <w:pPr>
        <w:pStyle w:val="ListParagraph"/>
        <w:numPr>
          <w:ilvl w:val="0"/>
          <w:numId w:val="2"/>
        </w:numPr>
        <w:jc w:val="both"/>
        <w:rPr>
          <w:bCs/>
          <w:lang w:val="en-US" w:eastAsia="ja-JP"/>
        </w:rPr>
      </w:pPr>
      <w:r>
        <w:rPr>
          <w:bCs/>
          <w:lang w:val="en-US" w:eastAsia="ja-JP"/>
        </w:rPr>
        <w:t>Better support for higher aggregation levels for better reliability</w:t>
      </w:r>
    </w:p>
    <w:p w14:paraId="59CAE8DE" w14:textId="3A237811" w:rsidR="00F221F9" w:rsidRDefault="00F221F9" w:rsidP="00F221F9">
      <w:pPr>
        <w:pStyle w:val="ListParagraph"/>
        <w:numPr>
          <w:ilvl w:val="0"/>
          <w:numId w:val="2"/>
        </w:numPr>
        <w:jc w:val="both"/>
        <w:rPr>
          <w:bCs/>
          <w:lang w:val="en-US" w:eastAsia="ja-JP"/>
        </w:rPr>
      </w:pPr>
      <w:r>
        <w:rPr>
          <w:bCs/>
          <w:lang w:val="en-US" w:eastAsia="ja-JP"/>
        </w:rPr>
        <w:t>More resources available for CORESET, but with same or even reduced duration in absolute time</w:t>
      </w:r>
    </w:p>
    <w:p w14:paraId="657B90CD" w14:textId="77777777" w:rsidR="0056186D" w:rsidRDefault="00F221F9" w:rsidP="00F221F9">
      <w:pPr>
        <w:pStyle w:val="ListParagraph"/>
        <w:numPr>
          <w:ilvl w:val="0"/>
          <w:numId w:val="2"/>
        </w:numPr>
        <w:jc w:val="both"/>
        <w:rPr>
          <w:bCs/>
          <w:lang w:val="en-US" w:eastAsia="ja-JP"/>
        </w:rPr>
      </w:pPr>
      <w:r>
        <w:rPr>
          <w:bCs/>
          <w:lang w:val="en-US" w:eastAsia="ja-JP"/>
        </w:rPr>
        <w:t>More symbols available to allow TDM multiplexing between DM-RS and control information</w:t>
      </w:r>
    </w:p>
    <w:p w14:paraId="14157D60" w14:textId="506F023B" w:rsidR="00F221F9" w:rsidRDefault="00F221F9" w:rsidP="0056186D">
      <w:pPr>
        <w:pStyle w:val="ListParagraph"/>
        <w:numPr>
          <w:ilvl w:val="1"/>
          <w:numId w:val="2"/>
        </w:numPr>
        <w:jc w:val="both"/>
        <w:rPr>
          <w:bCs/>
          <w:lang w:val="en-US" w:eastAsia="ja-JP"/>
        </w:rPr>
      </w:pPr>
      <w:r w:rsidRPr="0056186D">
        <w:rPr>
          <w:bCs/>
          <w:lang w:val="en-US" w:eastAsia="ja-JP"/>
        </w:rPr>
        <w:t>Benefit of a DM-RS symbol with continuous frequency resources will account for better channel estimation with higher SCS values.</w:t>
      </w:r>
    </w:p>
    <w:p w14:paraId="4DB571A4" w14:textId="57174A97" w:rsidR="0056186D" w:rsidRPr="0056186D" w:rsidRDefault="0056186D" w:rsidP="0056186D">
      <w:pPr>
        <w:jc w:val="both"/>
        <w:rPr>
          <w:bCs/>
          <w:lang w:val="en-US" w:eastAsia="ja-JP"/>
        </w:rPr>
      </w:pPr>
      <w:r>
        <w:rPr>
          <w:bCs/>
          <w:lang w:val="en-US" w:eastAsia="ja-JP"/>
        </w:rPr>
        <w:t xml:space="preserve">In </w:t>
      </w:r>
      <w:r w:rsidR="004903FC">
        <w:rPr>
          <w:bCs/>
          <w:lang w:val="en-US" w:eastAsia="ja-JP"/>
        </w:rPr>
        <w:t>fact,</w:t>
      </w:r>
      <w:r>
        <w:rPr>
          <w:bCs/>
          <w:lang w:val="en-US" w:eastAsia="ja-JP"/>
        </w:rPr>
        <w:t xml:space="preserve"> for very high SCS value such as 960kHz, even an entire slot for PDCCH can be considered to allow for only single PDCCH monitoring occasion within a slot.</w:t>
      </w:r>
    </w:p>
    <w:p w14:paraId="1FE28F20" w14:textId="3EDA8CFC" w:rsidR="0027420D" w:rsidRDefault="00F26ACF" w:rsidP="00003D0F">
      <w:pPr>
        <w:spacing w:after="0"/>
        <w:jc w:val="both"/>
        <w:rPr>
          <w:b/>
          <w:i/>
          <w:iCs/>
        </w:rPr>
      </w:pPr>
      <w:r>
        <w:rPr>
          <w:b/>
          <w:i/>
          <w:iCs/>
          <w:lang w:eastAsia="ja-JP"/>
        </w:rPr>
        <w:t xml:space="preserve">Proposal </w:t>
      </w:r>
      <w:r w:rsidR="003A4FDF">
        <w:rPr>
          <w:b/>
          <w:i/>
          <w:iCs/>
          <w:lang w:eastAsia="ja-JP"/>
        </w:rPr>
        <w:t>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27420D">
        <w:rPr>
          <w:b/>
          <w:i/>
          <w:iCs/>
        </w:rPr>
        <w:t>CORESET duration longer than 3 symbols should be supported:</w:t>
      </w:r>
    </w:p>
    <w:p w14:paraId="11F05797" w14:textId="11673C0E" w:rsidR="00F26ACF" w:rsidRPr="00003D0F" w:rsidRDefault="0027420D" w:rsidP="00003D0F">
      <w:pPr>
        <w:pStyle w:val="ListParagraph"/>
        <w:numPr>
          <w:ilvl w:val="0"/>
          <w:numId w:val="18"/>
        </w:numPr>
        <w:jc w:val="both"/>
        <w:rPr>
          <w:b/>
          <w:i/>
          <w:iCs/>
        </w:rPr>
      </w:pPr>
      <w:r w:rsidRPr="00003D0F">
        <w:rPr>
          <w:b/>
          <w:i/>
          <w:iCs/>
        </w:rPr>
        <w:t xml:space="preserve">FFS: Maximum duration </w:t>
      </w:r>
      <w:r w:rsidR="00003D0F" w:rsidRPr="00003D0F">
        <w:rPr>
          <w:b/>
          <w:i/>
          <w:iCs/>
        </w:rPr>
        <w:t>up to</w:t>
      </w:r>
      <w:r w:rsidRPr="00003D0F">
        <w:rPr>
          <w:b/>
          <w:i/>
          <w:iCs/>
        </w:rPr>
        <w:t xml:space="preserve"> 14 symbols in a slot</w:t>
      </w:r>
      <w:r w:rsidR="009D5E69" w:rsidRPr="00003D0F">
        <w:rPr>
          <w:b/>
          <w:i/>
          <w:iCs/>
        </w:rPr>
        <w:t>.</w:t>
      </w:r>
    </w:p>
    <w:p w14:paraId="4FC52CC1" w14:textId="21D3DF74" w:rsidR="009D5E69" w:rsidRDefault="009D5E69" w:rsidP="009D5E69">
      <w:pPr>
        <w:jc w:val="both"/>
        <w:rPr>
          <w:b/>
          <w:i/>
          <w:iCs/>
        </w:rPr>
      </w:pPr>
      <w:r>
        <w:rPr>
          <w:b/>
          <w:i/>
          <w:iCs/>
          <w:lang w:eastAsia="ja-JP"/>
        </w:rPr>
        <w:t xml:space="preserve">Proposal </w:t>
      </w:r>
      <w:r w:rsidR="003A4FDF">
        <w:rPr>
          <w:b/>
          <w:i/>
          <w:iCs/>
          <w:lang w:eastAsia="ja-JP"/>
        </w:rPr>
        <w:t>6</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50F4A33F" w14:textId="2BAD134B" w:rsidR="00D54E1C" w:rsidRDefault="00D54E1C" w:rsidP="00D54E1C">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Pr>
          <w:rFonts w:ascii="Arial" w:eastAsia="MS Mincho" w:hAnsi="Arial" w:cs="Arial"/>
          <w:iCs/>
          <w:color w:val="auto"/>
          <w:sz w:val="28"/>
          <w:szCs w:val="36"/>
          <w:lang w:val="en-US"/>
        </w:rPr>
        <w:t>4</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PDCCH monitoring with directional LBT</w:t>
      </w:r>
    </w:p>
    <w:p w14:paraId="78DBC672" w14:textId="38E4C71F" w:rsidR="00D54E1C" w:rsidRDefault="00D54E1C" w:rsidP="00D54E1C">
      <w:pPr>
        <w:jc w:val="both"/>
        <w:rPr>
          <w:lang w:val="en-US"/>
        </w:rPr>
      </w:pPr>
      <w:r>
        <w:rPr>
          <w:bCs/>
        </w:rPr>
        <w:t xml:space="preserve">Another important aspect for </w:t>
      </w:r>
      <w:r>
        <w:rPr>
          <w:kern w:val="2"/>
          <w:lang w:eastAsia="zh-CN"/>
        </w:rPr>
        <w:t xml:space="preserve">PDCCH monitoring is related to directional LBT. Directional LBT may cause some issues comparing with omni-directional LBT. For example, different Tx beams used by </w:t>
      </w:r>
      <w:proofErr w:type="spellStart"/>
      <w:r>
        <w:rPr>
          <w:kern w:val="2"/>
          <w:lang w:eastAsia="zh-CN"/>
        </w:rPr>
        <w:t>gNB</w:t>
      </w:r>
      <w:proofErr w:type="spellEnd"/>
      <w:r>
        <w:rPr>
          <w:kern w:val="2"/>
          <w:lang w:eastAsia="zh-CN"/>
        </w:rPr>
        <w:t xml:space="preserve"> may correspond to different COTs, thus different CORESETs which are configured with different Tx beams by higher layer signalling may also correspond to different COTs. From power saving perspective, during a COT initiated by a </w:t>
      </w:r>
      <w:proofErr w:type="spellStart"/>
      <w:r>
        <w:rPr>
          <w:kern w:val="2"/>
          <w:lang w:eastAsia="zh-CN"/>
        </w:rPr>
        <w:t>gNB</w:t>
      </w:r>
      <w:proofErr w:type="spellEnd"/>
      <w:r>
        <w:rPr>
          <w:kern w:val="2"/>
          <w:lang w:eastAsia="zh-CN"/>
        </w:rPr>
        <w:t>,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blindly decoding. That is to say, after transmitting a PDCCH to a UE within a COT, the </w:t>
      </w:r>
      <w:proofErr w:type="spellStart"/>
      <w:r>
        <w:rPr>
          <w:kern w:val="2"/>
          <w:lang w:eastAsia="zh-CN"/>
        </w:rPr>
        <w:t>gNB</w:t>
      </w:r>
      <w:proofErr w:type="spellEnd"/>
      <w:r>
        <w:rPr>
          <w:kern w:val="2"/>
          <w:lang w:eastAsia="zh-CN"/>
        </w:rPr>
        <w:t xml:space="preserve"> will not transmit PDCCH to this UE in the CORESET corresponding to another COT until the current COT ends.</w:t>
      </w:r>
    </w:p>
    <w:p w14:paraId="22590D6F" w14:textId="17F7ED2F" w:rsidR="00D54E1C" w:rsidRDefault="00D54E1C" w:rsidP="00D54E1C">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C77E02">
        <w:rPr>
          <w:rFonts w:asciiTheme="majorBidi" w:hAnsiTheme="majorBidi" w:cstheme="majorBidi"/>
          <w:b/>
          <w:bCs/>
          <w:i/>
          <w:iCs/>
          <w:lang w:val="en-US" w:eastAsia="zh-CN"/>
        </w:rPr>
        <w:t>7</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within a COT, PDCCH monitoring </w:t>
      </w:r>
      <w:r w:rsidR="00756905">
        <w:rPr>
          <w:rFonts w:asciiTheme="majorBidi" w:hAnsiTheme="majorBidi" w:cstheme="majorBidi"/>
          <w:b/>
          <w:bCs/>
          <w:i/>
          <w:iCs/>
          <w:lang w:val="en-US" w:eastAsia="zh-CN"/>
        </w:rPr>
        <w:t xml:space="preserve">is nor supported </w:t>
      </w:r>
      <w:r>
        <w:rPr>
          <w:rFonts w:asciiTheme="majorBidi" w:hAnsiTheme="majorBidi" w:cstheme="majorBidi"/>
          <w:b/>
          <w:bCs/>
          <w:i/>
          <w:iCs/>
          <w:lang w:val="en-US" w:eastAsia="zh-CN"/>
        </w:rPr>
        <w:t>in the CORESETs corresponding to other COTs</w:t>
      </w:r>
      <w:r w:rsidR="00756905">
        <w:rPr>
          <w:rFonts w:asciiTheme="majorBidi" w:hAnsiTheme="majorBidi" w:cstheme="majorBidi"/>
          <w:b/>
          <w:bCs/>
          <w:i/>
          <w:iCs/>
          <w:lang w:val="en-US" w:eastAsia="zh-CN"/>
        </w:rPr>
        <w:t xml:space="preserve"> (</w:t>
      </w:r>
      <w:r w:rsidR="0030439A">
        <w:rPr>
          <w:rFonts w:asciiTheme="majorBidi" w:hAnsiTheme="majorBidi" w:cstheme="majorBidi"/>
          <w:b/>
          <w:bCs/>
          <w:i/>
          <w:iCs/>
          <w:lang w:val="en-US" w:eastAsia="zh-CN"/>
        </w:rPr>
        <w:t>PDCCH monitoring restricted to monitoring corresponding to only one COT</w:t>
      </w:r>
      <w:r w:rsidR="00C77E02">
        <w:rPr>
          <w:rFonts w:asciiTheme="majorBidi" w:hAnsiTheme="majorBidi" w:cstheme="majorBidi"/>
          <w:b/>
          <w:bCs/>
          <w:i/>
          <w:iCs/>
          <w:lang w:val="en-US" w:eastAsia="zh-CN"/>
        </w:rPr>
        <w:t xml:space="preserve"> at a time</w:t>
      </w:r>
      <w:r w:rsidR="0030439A">
        <w:rPr>
          <w:rFonts w:asciiTheme="majorBidi" w:hAnsiTheme="majorBidi" w:cstheme="majorBidi"/>
          <w:b/>
          <w:bCs/>
          <w:i/>
          <w:iCs/>
          <w:lang w:val="en-US" w:eastAsia="zh-CN"/>
        </w:rPr>
        <w:t>)</w:t>
      </w:r>
    </w:p>
    <w:p w14:paraId="63D03F01" w14:textId="77777777" w:rsidR="00EA72BB" w:rsidRPr="003237DE" w:rsidRDefault="00EA72BB" w:rsidP="00A40260">
      <w:pPr>
        <w:spacing w:after="0"/>
        <w:jc w:val="both"/>
        <w:rPr>
          <w:rFonts w:asciiTheme="majorBidi" w:hAnsiTheme="majorBidi" w:cstheme="majorBidi"/>
          <w:lang w:val="en-US" w:eastAsia="zh-CN"/>
        </w:rPr>
      </w:pPr>
    </w:p>
    <w:p w14:paraId="0376B0F9" w14:textId="2D718649"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3</w:t>
      </w:r>
      <w:r w:rsidR="00790DD7">
        <w:rPr>
          <w:rFonts w:ascii="Arial" w:eastAsia="MS Mincho" w:hAnsi="Arial"/>
          <w:sz w:val="36"/>
          <w:szCs w:val="36"/>
          <w:lang w:eastAsia="ja-JP"/>
        </w:rPr>
        <w:tab/>
        <w:t>Conclusion</w:t>
      </w:r>
    </w:p>
    <w:p w14:paraId="10436BA2" w14:textId="1BF0DF34" w:rsidR="00D07BD2" w:rsidRPr="00347C63" w:rsidRDefault="00D07BD2" w:rsidP="00D07BD2">
      <w:pPr>
        <w:jc w:val="both"/>
        <w:rPr>
          <w:rFonts w:asciiTheme="majorBidi" w:hAnsiTheme="majorBidi" w:cstheme="majorBidi"/>
          <w:lang w:val="en-US"/>
        </w:rPr>
      </w:pPr>
      <w:r w:rsidRPr="00347C63">
        <w:rPr>
          <w:rFonts w:asciiTheme="majorBidi" w:hAnsiTheme="majorBidi" w:cstheme="majorBidi"/>
          <w:lang w:val="en-US"/>
        </w:rPr>
        <w:t xml:space="preserve">In this contribution, we </w:t>
      </w:r>
      <w:r>
        <w:rPr>
          <w:rFonts w:asciiTheme="majorBidi" w:hAnsiTheme="majorBidi" w:cstheme="majorBidi"/>
          <w:lang w:val="en-US"/>
        </w:rPr>
        <w:t>discussed enhancements for PDCCH monitoring for NR operation between 52.6 GHz to 71 GHz with high SCS values and provided following observations/proposals:</w:t>
      </w:r>
      <w:r w:rsidRPr="00347C63">
        <w:rPr>
          <w:rFonts w:asciiTheme="majorBidi" w:hAnsiTheme="majorBidi" w:cstheme="majorBidi"/>
          <w:lang w:val="en-US"/>
        </w:rPr>
        <w:t xml:space="preserve"> </w:t>
      </w:r>
    </w:p>
    <w:p w14:paraId="510FDA9C" w14:textId="77777777" w:rsidR="00102157" w:rsidRDefault="00102157" w:rsidP="00102157">
      <w:pPr>
        <w:jc w:val="both"/>
        <w:rPr>
          <w:bCs/>
          <w:lang w:eastAsia="ja-JP"/>
        </w:rPr>
      </w:pPr>
      <w:r w:rsidRPr="00A241C5">
        <w:rPr>
          <w:b/>
          <w:i/>
          <w:iCs/>
          <w:lang w:eastAsia="ja-JP"/>
        </w:rPr>
        <w:t xml:space="preserve">Observation 1: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 xml:space="preserve">, the PDCCH monitoring capability </w:t>
      </w:r>
      <w:r>
        <w:rPr>
          <w:b/>
          <w:i/>
          <w:iCs/>
        </w:rPr>
        <w:t>is expected to</w:t>
      </w:r>
      <w:r w:rsidRPr="00E14DF7">
        <w:rPr>
          <w:b/>
          <w:i/>
          <w:iCs/>
        </w:rPr>
        <w:t xml:space="preserve"> be further reduced and the number of PDCCH candidates per slot would be lower.</w:t>
      </w:r>
    </w:p>
    <w:p w14:paraId="6842622B" w14:textId="695FDF08" w:rsidR="00102157" w:rsidRDefault="00102157" w:rsidP="00102157">
      <w:pPr>
        <w:jc w:val="both"/>
        <w:rPr>
          <w:b/>
          <w:i/>
          <w:iCs/>
        </w:rPr>
      </w:pPr>
      <w:r w:rsidRPr="00F0746F">
        <w:rPr>
          <w:b/>
          <w:i/>
          <w:iCs/>
          <w:lang w:eastAsia="ja-JP"/>
        </w:rPr>
        <w:t xml:space="preserve">Observation </w:t>
      </w:r>
      <w:r>
        <w:rPr>
          <w:b/>
          <w:i/>
          <w:iCs/>
          <w:lang w:eastAsia="ja-JP"/>
        </w:rPr>
        <w:t>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F0746F">
        <w:rPr>
          <w:b/>
          <w:i/>
          <w:iCs/>
        </w:rPr>
        <w:t xml:space="preserve">the PDCCH </w:t>
      </w:r>
      <w:r>
        <w:rPr>
          <w:b/>
          <w:i/>
          <w:iCs/>
        </w:rPr>
        <w:t>processing in every slot might not be scalable due to limitations with UE processing capability.</w:t>
      </w:r>
    </w:p>
    <w:p w14:paraId="6DFFB580" w14:textId="77777777" w:rsidR="00102157" w:rsidRDefault="00102157" w:rsidP="00102157">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multi-slot PDCCH monitoring span should be supported.</w:t>
      </w:r>
    </w:p>
    <w:p w14:paraId="05E2D57B" w14:textId="77777777" w:rsidR="00102157" w:rsidRDefault="00102157" w:rsidP="00102157">
      <w:pPr>
        <w:jc w:val="both"/>
        <w:rPr>
          <w:b/>
          <w:i/>
          <w:iCs/>
        </w:rPr>
      </w:pPr>
      <w:r>
        <w:rPr>
          <w:b/>
          <w:i/>
          <w:iCs/>
          <w:lang w:eastAsia="ja-JP"/>
        </w:rPr>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multi-slot PDCCH monitoring span should be supported, then the exact duration of the span can be configured depending upon the subcarrier spacing value.</w:t>
      </w:r>
    </w:p>
    <w:p w14:paraId="6A248B66" w14:textId="77777777" w:rsidR="00102157" w:rsidRDefault="00102157" w:rsidP="00102157">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 and/or multiple PUSCH, then restrictions on monitoring of other DCI formats (such as DCI format 0_1/1_1) should be supported.</w:t>
      </w:r>
    </w:p>
    <w:p w14:paraId="1704BF58" w14:textId="77777777" w:rsidR="00102157" w:rsidRDefault="00102157" w:rsidP="00102157">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 and/or multiple PUSCH, then restrictions on certain aggregation levels (for example: lower aggregation levels) for new DCI should be supported.</w:t>
      </w:r>
    </w:p>
    <w:p w14:paraId="2C2D4D0A" w14:textId="77777777" w:rsidR="00102157" w:rsidRDefault="00102157" w:rsidP="00102157">
      <w:pPr>
        <w:spacing w:after="0"/>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p>
    <w:p w14:paraId="60F149B4" w14:textId="77777777" w:rsidR="00102157" w:rsidRPr="00003D0F" w:rsidRDefault="00102157" w:rsidP="00102157">
      <w:pPr>
        <w:pStyle w:val="ListParagraph"/>
        <w:numPr>
          <w:ilvl w:val="0"/>
          <w:numId w:val="18"/>
        </w:numPr>
        <w:jc w:val="both"/>
        <w:rPr>
          <w:b/>
          <w:i/>
          <w:iCs/>
        </w:rPr>
      </w:pPr>
      <w:r w:rsidRPr="00003D0F">
        <w:rPr>
          <w:b/>
          <w:i/>
          <w:iCs/>
        </w:rPr>
        <w:t>FFS: Maximum duration up to 14 symbols in a slot.</w:t>
      </w:r>
    </w:p>
    <w:p w14:paraId="23A56CC3" w14:textId="77777777" w:rsidR="00102157" w:rsidRDefault="00102157" w:rsidP="00102157">
      <w:pPr>
        <w:jc w:val="both"/>
        <w:rPr>
          <w:b/>
          <w:i/>
          <w:iCs/>
        </w:rPr>
      </w:pPr>
      <w:r>
        <w:rPr>
          <w:b/>
          <w:i/>
          <w:iCs/>
          <w:lang w:eastAsia="ja-JP"/>
        </w:rPr>
        <w:t>Proposal 6</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1C4A3DAC" w14:textId="77777777" w:rsidR="00102157" w:rsidRDefault="00102157" w:rsidP="00102157">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7</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within a COT, PDCCH monitoring is nor supported in the CORESETs corresponding to other COTs (PDCCH monitoring restricted to monitoring corresponding to only one COT at a time)</w:t>
      </w:r>
    </w:p>
    <w:p w14:paraId="6742E45E" w14:textId="77777777" w:rsidR="00EB3BCB" w:rsidRPr="00102157" w:rsidRDefault="00EB3BCB" w:rsidP="00011B53">
      <w:pPr>
        <w:tabs>
          <w:tab w:val="left" w:pos="1275"/>
        </w:tabs>
        <w:overflowPunct/>
        <w:spacing w:after="120" w:line="252" w:lineRule="auto"/>
        <w:jc w:val="both"/>
        <w:textAlignment w:val="auto"/>
        <w:rPr>
          <w:rFonts w:asciiTheme="majorBidi" w:hAnsiTheme="majorBidi" w:cstheme="majorBidi"/>
          <w:b/>
          <w:bCs/>
          <w:i/>
          <w:iCs/>
          <w:lang w:eastAsia="zh-CN"/>
        </w:rPr>
      </w:pPr>
      <w:bookmarkStart w:id="5" w:name="_GoBack"/>
      <w:bookmarkEnd w:id="5"/>
    </w:p>
    <w:p w14:paraId="388AD2B8" w14:textId="722FFA13"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79D3D235" w:rsidR="003A0821" w:rsidRDefault="003A0821" w:rsidP="00A40260">
      <w:pPr>
        <w:spacing w:beforeLines="50" w:before="120"/>
        <w:jc w:val="both"/>
      </w:pPr>
      <w:r>
        <w:t>[</w:t>
      </w:r>
      <w:r w:rsidR="00713F0E">
        <w:t>1</w:t>
      </w:r>
      <w:r>
        <w:t>]</w:t>
      </w:r>
      <w:r>
        <w:tab/>
        <w:t>3GPP RP-</w:t>
      </w:r>
      <w:r w:rsidR="00196FFB">
        <w:t>202925</w:t>
      </w:r>
      <w:r>
        <w:t>, “</w:t>
      </w:r>
      <w:r w:rsidR="00196FFB" w:rsidRPr="00196FFB">
        <w:rPr>
          <w:i/>
          <w:iCs/>
        </w:rPr>
        <w:t>New Revised WID: on Extending current NR operation to 71 GHz</w:t>
      </w:r>
      <w:r>
        <w:t xml:space="preserve">”, </w:t>
      </w:r>
      <w:r w:rsidR="00196FFB">
        <w:t>CMCC</w:t>
      </w:r>
    </w:p>
    <w:p w14:paraId="76E11F9C" w14:textId="1E8E01B3" w:rsidR="00C50E8E" w:rsidRDefault="00C50E8E" w:rsidP="00C50E8E">
      <w:pPr>
        <w:spacing w:beforeLines="50" w:before="120"/>
        <w:ind w:left="720" w:hanging="720"/>
        <w:jc w:val="both"/>
      </w:pPr>
      <w:r>
        <w:t>[</w:t>
      </w:r>
      <w:r w:rsidR="00C13D3E">
        <w:t>2</w:t>
      </w:r>
      <w:r>
        <w:t xml:space="preserve">] </w:t>
      </w:r>
      <w:r>
        <w:tab/>
        <w:t>3GPP RAN1#10</w:t>
      </w:r>
      <w:r w:rsidR="004D446D">
        <w:t>3</w:t>
      </w:r>
      <w:r>
        <w:t>-e. “</w:t>
      </w:r>
      <w:r w:rsidRPr="00191ECC">
        <w:rPr>
          <w:i/>
          <w:iCs/>
        </w:rPr>
        <w:t>Chairman Notes</w:t>
      </w:r>
      <w:r>
        <w:t>”</w:t>
      </w:r>
    </w:p>
    <w:p w14:paraId="48E40226" w14:textId="20E015FC" w:rsidR="0001095B" w:rsidRPr="0001095B" w:rsidRDefault="0001095B" w:rsidP="00C50E8E">
      <w:pPr>
        <w:spacing w:beforeLines="50" w:before="120"/>
        <w:ind w:left="720" w:hanging="720"/>
        <w:jc w:val="both"/>
        <w:rPr>
          <w:lang w:val="en-US"/>
        </w:rPr>
      </w:pPr>
      <w:r w:rsidRPr="0001095B">
        <w:rPr>
          <w:lang w:val="en-US"/>
        </w:rPr>
        <w:t>[3]</w:t>
      </w:r>
      <w:r w:rsidRPr="0001095B">
        <w:rPr>
          <w:lang w:val="en-US"/>
        </w:rPr>
        <w:tab/>
        <w:t>R1-21xxxxx, “</w:t>
      </w:r>
      <w:r w:rsidRPr="005D3825">
        <w:rPr>
          <w:i/>
          <w:iCs/>
          <w:lang w:val="en-US"/>
        </w:rPr>
        <w:t>Multi-PDSCH/PUSCH scheduling for NR from 52.6 GHz to 71 GHz</w:t>
      </w:r>
      <w:r w:rsidR="005D3825">
        <w:rPr>
          <w:lang w:val="en-US"/>
        </w:rPr>
        <w:t>”, Lenovo, Motorola Mobility</w:t>
      </w:r>
    </w:p>
    <w:sectPr w:rsidR="0001095B" w:rsidRPr="0001095B" w:rsidSect="00B975F2">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798AA" w14:textId="77777777" w:rsidR="00325FF8" w:rsidRDefault="00325FF8">
      <w:pPr>
        <w:spacing w:after="0"/>
      </w:pPr>
      <w:r>
        <w:separator/>
      </w:r>
    </w:p>
  </w:endnote>
  <w:endnote w:type="continuationSeparator" w:id="0">
    <w:p w14:paraId="68F46DE6" w14:textId="77777777" w:rsidR="00325FF8" w:rsidRDefault="00325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3C87D" w14:textId="77777777" w:rsidR="00325FF8" w:rsidRDefault="00325FF8">
      <w:pPr>
        <w:spacing w:after="0"/>
      </w:pPr>
      <w:r>
        <w:separator/>
      </w:r>
    </w:p>
  </w:footnote>
  <w:footnote w:type="continuationSeparator" w:id="0">
    <w:p w14:paraId="137B942F" w14:textId="77777777" w:rsidR="00325FF8" w:rsidRDefault="00325F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0"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17"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5"/>
  </w:num>
  <w:num w:numId="4">
    <w:abstractNumId w:val="14"/>
  </w:num>
  <w:num w:numId="5">
    <w:abstractNumId w:val="1"/>
  </w:num>
  <w:num w:numId="6">
    <w:abstractNumId w:val="0"/>
  </w:num>
  <w:num w:numId="7">
    <w:abstractNumId w:val="6"/>
  </w:num>
  <w:num w:numId="8">
    <w:abstractNumId w:val="4"/>
  </w:num>
  <w:num w:numId="9">
    <w:abstractNumId w:val="5"/>
  </w:num>
  <w:num w:numId="10">
    <w:abstractNumId w:val="10"/>
  </w:num>
  <w:num w:numId="11">
    <w:abstractNumId w:val="2"/>
  </w:num>
  <w:num w:numId="12">
    <w:abstractNumId w:val="9"/>
  </w:num>
  <w:num w:numId="13">
    <w:abstractNumId w:val="12"/>
  </w:num>
  <w:num w:numId="14">
    <w:abstractNumId w:val="17"/>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720"/>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5D7F"/>
    <w:rsid w:val="000069B9"/>
    <w:rsid w:val="00006C38"/>
    <w:rsid w:val="00007165"/>
    <w:rsid w:val="0001095B"/>
    <w:rsid w:val="00010DC3"/>
    <w:rsid w:val="00011B53"/>
    <w:rsid w:val="00023614"/>
    <w:rsid w:val="00023710"/>
    <w:rsid w:val="00026DC5"/>
    <w:rsid w:val="000270EA"/>
    <w:rsid w:val="000271A1"/>
    <w:rsid w:val="00031EE2"/>
    <w:rsid w:val="000331B4"/>
    <w:rsid w:val="00033DB1"/>
    <w:rsid w:val="00036903"/>
    <w:rsid w:val="000402EC"/>
    <w:rsid w:val="00041822"/>
    <w:rsid w:val="000422CE"/>
    <w:rsid w:val="00043EA5"/>
    <w:rsid w:val="000560AF"/>
    <w:rsid w:val="00056528"/>
    <w:rsid w:val="000606A5"/>
    <w:rsid w:val="0006151A"/>
    <w:rsid w:val="0006735F"/>
    <w:rsid w:val="000756A6"/>
    <w:rsid w:val="0007709B"/>
    <w:rsid w:val="00081F11"/>
    <w:rsid w:val="0008305E"/>
    <w:rsid w:val="0009166C"/>
    <w:rsid w:val="00095BA9"/>
    <w:rsid w:val="00096CB1"/>
    <w:rsid w:val="000A2A2A"/>
    <w:rsid w:val="000A416F"/>
    <w:rsid w:val="000B2B28"/>
    <w:rsid w:val="000B394E"/>
    <w:rsid w:val="000B3A78"/>
    <w:rsid w:val="000C0C40"/>
    <w:rsid w:val="000C2B74"/>
    <w:rsid w:val="000C458D"/>
    <w:rsid w:val="000C73A8"/>
    <w:rsid w:val="000D4899"/>
    <w:rsid w:val="000E05EE"/>
    <w:rsid w:val="000E190D"/>
    <w:rsid w:val="000F1868"/>
    <w:rsid w:val="000F21B0"/>
    <w:rsid w:val="000F2FCE"/>
    <w:rsid w:val="000F4C7C"/>
    <w:rsid w:val="000F7B1F"/>
    <w:rsid w:val="00102157"/>
    <w:rsid w:val="00102F82"/>
    <w:rsid w:val="001057C9"/>
    <w:rsid w:val="001067E6"/>
    <w:rsid w:val="001104EF"/>
    <w:rsid w:val="00110C14"/>
    <w:rsid w:val="00115A44"/>
    <w:rsid w:val="00115B63"/>
    <w:rsid w:val="0012198A"/>
    <w:rsid w:val="001228F3"/>
    <w:rsid w:val="0012610D"/>
    <w:rsid w:val="00132171"/>
    <w:rsid w:val="0013433F"/>
    <w:rsid w:val="0014036F"/>
    <w:rsid w:val="00141D86"/>
    <w:rsid w:val="00141FAE"/>
    <w:rsid w:val="001438EF"/>
    <w:rsid w:val="0014729A"/>
    <w:rsid w:val="00150450"/>
    <w:rsid w:val="0015078F"/>
    <w:rsid w:val="00150F5F"/>
    <w:rsid w:val="0015212A"/>
    <w:rsid w:val="00152571"/>
    <w:rsid w:val="00153A1C"/>
    <w:rsid w:val="00155F34"/>
    <w:rsid w:val="00157CB5"/>
    <w:rsid w:val="001603B4"/>
    <w:rsid w:val="00170A52"/>
    <w:rsid w:val="00174DF4"/>
    <w:rsid w:val="00177AA3"/>
    <w:rsid w:val="00180C2B"/>
    <w:rsid w:val="00181D34"/>
    <w:rsid w:val="00182C32"/>
    <w:rsid w:val="00183B8D"/>
    <w:rsid w:val="00183D1D"/>
    <w:rsid w:val="001842B8"/>
    <w:rsid w:val="00185D56"/>
    <w:rsid w:val="001873F7"/>
    <w:rsid w:val="00187556"/>
    <w:rsid w:val="00192B7F"/>
    <w:rsid w:val="00192D02"/>
    <w:rsid w:val="00192F4C"/>
    <w:rsid w:val="00194625"/>
    <w:rsid w:val="001949AF"/>
    <w:rsid w:val="00196FFB"/>
    <w:rsid w:val="001A000F"/>
    <w:rsid w:val="001A028F"/>
    <w:rsid w:val="001A0787"/>
    <w:rsid w:val="001A1094"/>
    <w:rsid w:val="001A1A04"/>
    <w:rsid w:val="001A327A"/>
    <w:rsid w:val="001A72A2"/>
    <w:rsid w:val="001B12E0"/>
    <w:rsid w:val="001B179E"/>
    <w:rsid w:val="001B6901"/>
    <w:rsid w:val="001C088D"/>
    <w:rsid w:val="001C3735"/>
    <w:rsid w:val="001C6D78"/>
    <w:rsid w:val="001D0850"/>
    <w:rsid w:val="001D1F60"/>
    <w:rsid w:val="001D22F1"/>
    <w:rsid w:val="001D5272"/>
    <w:rsid w:val="001D5BBE"/>
    <w:rsid w:val="001D681E"/>
    <w:rsid w:val="001E2EA4"/>
    <w:rsid w:val="001E3506"/>
    <w:rsid w:val="001E5445"/>
    <w:rsid w:val="001E7186"/>
    <w:rsid w:val="001F028A"/>
    <w:rsid w:val="001F0DAD"/>
    <w:rsid w:val="001F2B53"/>
    <w:rsid w:val="001F2FBB"/>
    <w:rsid w:val="001F4A0A"/>
    <w:rsid w:val="001F5320"/>
    <w:rsid w:val="00202015"/>
    <w:rsid w:val="002039B0"/>
    <w:rsid w:val="00203A90"/>
    <w:rsid w:val="00204AF0"/>
    <w:rsid w:val="002053BF"/>
    <w:rsid w:val="002075EB"/>
    <w:rsid w:val="00221A93"/>
    <w:rsid w:val="00222F63"/>
    <w:rsid w:val="002259B3"/>
    <w:rsid w:val="002339B5"/>
    <w:rsid w:val="002361AE"/>
    <w:rsid w:val="00236BEC"/>
    <w:rsid w:val="00240384"/>
    <w:rsid w:val="00244CEF"/>
    <w:rsid w:val="00247F0D"/>
    <w:rsid w:val="00250A46"/>
    <w:rsid w:val="00251514"/>
    <w:rsid w:val="002543F7"/>
    <w:rsid w:val="002559C4"/>
    <w:rsid w:val="00260B38"/>
    <w:rsid w:val="002623A4"/>
    <w:rsid w:val="002625CB"/>
    <w:rsid w:val="00262722"/>
    <w:rsid w:val="00270012"/>
    <w:rsid w:val="00270FF8"/>
    <w:rsid w:val="002710B1"/>
    <w:rsid w:val="00272E2E"/>
    <w:rsid w:val="00273340"/>
    <w:rsid w:val="0027420D"/>
    <w:rsid w:val="00280239"/>
    <w:rsid w:val="002817ED"/>
    <w:rsid w:val="00284187"/>
    <w:rsid w:val="002849F4"/>
    <w:rsid w:val="00290C41"/>
    <w:rsid w:val="00291E2B"/>
    <w:rsid w:val="002952EE"/>
    <w:rsid w:val="002979E1"/>
    <w:rsid w:val="00297F0C"/>
    <w:rsid w:val="002A1C1A"/>
    <w:rsid w:val="002A4291"/>
    <w:rsid w:val="002B0ECA"/>
    <w:rsid w:val="002B2950"/>
    <w:rsid w:val="002B682F"/>
    <w:rsid w:val="002B75AD"/>
    <w:rsid w:val="002C09D3"/>
    <w:rsid w:val="002C1749"/>
    <w:rsid w:val="002C2290"/>
    <w:rsid w:val="002C40DF"/>
    <w:rsid w:val="002C61CE"/>
    <w:rsid w:val="002D0CA8"/>
    <w:rsid w:val="002D1FD7"/>
    <w:rsid w:val="002D318B"/>
    <w:rsid w:val="002D3841"/>
    <w:rsid w:val="002E05FB"/>
    <w:rsid w:val="002E0E5C"/>
    <w:rsid w:val="002E6FFA"/>
    <w:rsid w:val="002F0081"/>
    <w:rsid w:val="002F091B"/>
    <w:rsid w:val="002F126F"/>
    <w:rsid w:val="002F340C"/>
    <w:rsid w:val="002F4C54"/>
    <w:rsid w:val="0030439A"/>
    <w:rsid w:val="00304583"/>
    <w:rsid w:val="003054C4"/>
    <w:rsid w:val="00305B56"/>
    <w:rsid w:val="0030741B"/>
    <w:rsid w:val="00310A89"/>
    <w:rsid w:val="00313257"/>
    <w:rsid w:val="003176A0"/>
    <w:rsid w:val="003176BE"/>
    <w:rsid w:val="003205B2"/>
    <w:rsid w:val="00320DC2"/>
    <w:rsid w:val="003221FE"/>
    <w:rsid w:val="003237DE"/>
    <w:rsid w:val="00325FF8"/>
    <w:rsid w:val="00330585"/>
    <w:rsid w:val="0033177D"/>
    <w:rsid w:val="00335461"/>
    <w:rsid w:val="003356B4"/>
    <w:rsid w:val="00342813"/>
    <w:rsid w:val="00347C63"/>
    <w:rsid w:val="00352013"/>
    <w:rsid w:val="00355530"/>
    <w:rsid w:val="00355BBC"/>
    <w:rsid w:val="00356E4A"/>
    <w:rsid w:val="00363167"/>
    <w:rsid w:val="00363BBA"/>
    <w:rsid w:val="00366323"/>
    <w:rsid w:val="003731A2"/>
    <w:rsid w:val="003738FB"/>
    <w:rsid w:val="00376502"/>
    <w:rsid w:val="00377C96"/>
    <w:rsid w:val="00382791"/>
    <w:rsid w:val="00386069"/>
    <w:rsid w:val="00390674"/>
    <w:rsid w:val="00392DF0"/>
    <w:rsid w:val="003942A8"/>
    <w:rsid w:val="00397863"/>
    <w:rsid w:val="003A0821"/>
    <w:rsid w:val="003A4FDF"/>
    <w:rsid w:val="003A7A5D"/>
    <w:rsid w:val="003B03BE"/>
    <w:rsid w:val="003B0A29"/>
    <w:rsid w:val="003B11BC"/>
    <w:rsid w:val="003B1BCB"/>
    <w:rsid w:val="003B46B9"/>
    <w:rsid w:val="003B5DFC"/>
    <w:rsid w:val="003C16F0"/>
    <w:rsid w:val="003C60BD"/>
    <w:rsid w:val="003C6862"/>
    <w:rsid w:val="003D4CEB"/>
    <w:rsid w:val="003D70B9"/>
    <w:rsid w:val="003D719C"/>
    <w:rsid w:val="003E2BD0"/>
    <w:rsid w:val="003E2F9A"/>
    <w:rsid w:val="003E59A3"/>
    <w:rsid w:val="003E603B"/>
    <w:rsid w:val="003F0EA8"/>
    <w:rsid w:val="003F2794"/>
    <w:rsid w:val="003F2DD5"/>
    <w:rsid w:val="003F35C9"/>
    <w:rsid w:val="003F3F84"/>
    <w:rsid w:val="003F4707"/>
    <w:rsid w:val="003F6E0C"/>
    <w:rsid w:val="004016B1"/>
    <w:rsid w:val="00405A83"/>
    <w:rsid w:val="00406600"/>
    <w:rsid w:val="00406BF5"/>
    <w:rsid w:val="00411011"/>
    <w:rsid w:val="00417A31"/>
    <w:rsid w:val="00420E60"/>
    <w:rsid w:val="004229CC"/>
    <w:rsid w:val="00431C40"/>
    <w:rsid w:val="00441805"/>
    <w:rsid w:val="0044192A"/>
    <w:rsid w:val="00443035"/>
    <w:rsid w:val="00443491"/>
    <w:rsid w:val="00447402"/>
    <w:rsid w:val="004479C6"/>
    <w:rsid w:val="004512DF"/>
    <w:rsid w:val="004611B2"/>
    <w:rsid w:val="00462497"/>
    <w:rsid w:val="004655DA"/>
    <w:rsid w:val="004658AF"/>
    <w:rsid w:val="00465AC3"/>
    <w:rsid w:val="00465B44"/>
    <w:rsid w:val="00472F88"/>
    <w:rsid w:val="0048043C"/>
    <w:rsid w:val="00481565"/>
    <w:rsid w:val="00485218"/>
    <w:rsid w:val="00485C82"/>
    <w:rsid w:val="0048600B"/>
    <w:rsid w:val="004903FC"/>
    <w:rsid w:val="0049534F"/>
    <w:rsid w:val="0049664D"/>
    <w:rsid w:val="004A0747"/>
    <w:rsid w:val="004A1232"/>
    <w:rsid w:val="004B3DD4"/>
    <w:rsid w:val="004B3E56"/>
    <w:rsid w:val="004B4ECE"/>
    <w:rsid w:val="004B72C8"/>
    <w:rsid w:val="004B747B"/>
    <w:rsid w:val="004C220E"/>
    <w:rsid w:val="004C2D69"/>
    <w:rsid w:val="004C44EF"/>
    <w:rsid w:val="004C49E0"/>
    <w:rsid w:val="004C4F85"/>
    <w:rsid w:val="004C6570"/>
    <w:rsid w:val="004D0390"/>
    <w:rsid w:val="004D2DC9"/>
    <w:rsid w:val="004D3CA7"/>
    <w:rsid w:val="004D40BD"/>
    <w:rsid w:val="004D446D"/>
    <w:rsid w:val="004D6D0E"/>
    <w:rsid w:val="004E0AC9"/>
    <w:rsid w:val="004E1428"/>
    <w:rsid w:val="004E1CE4"/>
    <w:rsid w:val="004E5CBB"/>
    <w:rsid w:val="004E774D"/>
    <w:rsid w:val="004F0869"/>
    <w:rsid w:val="004F78B9"/>
    <w:rsid w:val="00500200"/>
    <w:rsid w:val="0050071A"/>
    <w:rsid w:val="00501D54"/>
    <w:rsid w:val="005053F2"/>
    <w:rsid w:val="00511366"/>
    <w:rsid w:val="00514EAC"/>
    <w:rsid w:val="0051636B"/>
    <w:rsid w:val="00521083"/>
    <w:rsid w:val="005229C3"/>
    <w:rsid w:val="005263EF"/>
    <w:rsid w:val="00540686"/>
    <w:rsid w:val="005419BD"/>
    <w:rsid w:val="00542266"/>
    <w:rsid w:val="005477A4"/>
    <w:rsid w:val="00550A9B"/>
    <w:rsid w:val="00553B07"/>
    <w:rsid w:val="005542D6"/>
    <w:rsid w:val="0055738D"/>
    <w:rsid w:val="00560247"/>
    <w:rsid w:val="0056186D"/>
    <w:rsid w:val="00563948"/>
    <w:rsid w:val="00563D5B"/>
    <w:rsid w:val="005711A1"/>
    <w:rsid w:val="0057150E"/>
    <w:rsid w:val="00572570"/>
    <w:rsid w:val="00576BFF"/>
    <w:rsid w:val="005876BD"/>
    <w:rsid w:val="00590A39"/>
    <w:rsid w:val="00593B39"/>
    <w:rsid w:val="005970B6"/>
    <w:rsid w:val="005A0408"/>
    <w:rsid w:val="005A29B3"/>
    <w:rsid w:val="005A7164"/>
    <w:rsid w:val="005B466D"/>
    <w:rsid w:val="005B4E93"/>
    <w:rsid w:val="005B6680"/>
    <w:rsid w:val="005C17FD"/>
    <w:rsid w:val="005C48E8"/>
    <w:rsid w:val="005C609D"/>
    <w:rsid w:val="005C60B7"/>
    <w:rsid w:val="005D0604"/>
    <w:rsid w:val="005D1F14"/>
    <w:rsid w:val="005D2031"/>
    <w:rsid w:val="005D2437"/>
    <w:rsid w:val="005D2A92"/>
    <w:rsid w:val="005D3807"/>
    <w:rsid w:val="005D3825"/>
    <w:rsid w:val="005D55B4"/>
    <w:rsid w:val="005D7616"/>
    <w:rsid w:val="005E1360"/>
    <w:rsid w:val="005E3610"/>
    <w:rsid w:val="005E4A1F"/>
    <w:rsid w:val="005F0652"/>
    <w:rsid w:val="005F2BAB"/>
    <w:rsid w:val="005F4CEE"/>
    <w:rsid w:val="005F753A"/>
    <w:rsid w:val="00602DAE"/>
    <w:rsid w:val="006043EE"/>
    <w:rsid w:val="00604BC4"/>
    <w:rsid w:val="00606297"/>
    <w:rsid w:val="006067B1"/>
    <w:rsid w:val="006072F6"/>
    <w:rsid w:val="0061308B"/>
    <w:rsid w:val="00614C4F"/>
    <w:rsid w:val="00620754"/>
    <w:rsid w:val="006227A7"/>
    <w:rsid w:val="006261FA"/>
    <w:rsid w:val="006325C5"/>
    <w:rsid w:val="00636EEB"/>
    <w:rsid w:val="00636FFC"/>
    <w:rsid w:val="006403E7"/>
    <w:rsid w:val="00640DC5"/>
    <w:rsid w:val="00644D23"/>
    <w:rsid w:val="00645311"/>
    <w:rsid w:val="00646BBD"/>
    <w:rsid w:val="0065026A"/>
    <w:rsid w:val="00663AF2"/>
    <w:rsid w:val="006678AD"/>
    <w:rsid w:val="00675887"/>
    <w:rsid w:val="00682882"/>
    <w:rsid w:val="00685B8E"/>
    <w:rsid w:val="00687BFB"/>
    <w:rsid w:val="00690443"/>
    <w:rsid w:val="006907E6"/>
    <w:rsid w:val="006922DD"/>
    <w:rsid w:val="006952AB"/>
    <w:rsid w:val="006A301F"/>
    <w:rsid w:val="006B1DB6"/>
    <w:rsid w:val="006B62AB"/>
    <w:rsid w:val="006B72BA"/>
    <w:rsid w:val="006B73BF"/>
    <w:rsid w:val="006C3F8C"/>
    <w:rsid w:val="006C56C8"/>
    <w:rsid w:val="006C5863"/>
    <w:rsid w:val="006C732E"/>
    <w:rsid w:val="006D541A"/>
    <w:rsid w:val="006D7A1D"/>
    <w:rsid w:val="006E641D"/>
    <w:rsid w:val="006F0588"/>
    <w:rsid w:val="006F6AC0"/>
    <w:rsid w:val="006F76F0"/>
    <w:rsid w:val="00704042"/>
    <w:rsid w:val="00706554"/>
    <w:rsid w:val="007108B7"/>
    <w:rsid w:val="0071248E"/>
    <w:rsid w:val="00713172"/>
    <w:rsid w:val="00713D19"/>
    <w:rsid w:val="00713F0E"/>
    <w:rsid w:val="00720763"/>
    <w:rsid w:val="00724574"/>
    <w:rsid w:val="007328FA"/>
    <w:rsid w:val="00732A75"/>
    <w:rsid w:val="00745B9E"/>
    <w:rsid w:val="00747357"/>
    <w:rsid w:val="00750C74"/>
    <w:rsid w:val="007513AB"/>
    <w:rsid w:val="0075513B"/>
    <w:rsid w:val="00756905"/>
    <w:rsid w:val="00757E9D"/>
    <w:rsid w:val="007633DF"/>
    <w:rsid w:val="0076369D"/>
    <w:rsid w:val="00764410"/>
    <w:rsid w:val="007654A0"/>
    <w:rsid w:val="007718DC"/>
    <w:rsid w:val="00780737"/>
    <w:rsid w:val="00782B04"/>
    <w:rsid w:val="00782E13"/>
    <w:rsid w:val="0078683C"/>
    <w:rsid w:val="00787FDF"/>
    <w:rsid w:val="00790DD7"/>
    <w:rsid w:val="0079412A"/>
    <w:rsid w:val="00795C44"/>
    <w:rsid w:val="00796813"/>
    <w:rsid w:val="007A2149"/>
    <w:rsid w:val="007A25C2"/>
    <w:rsid w:val="007A2A30"/>
    <w:rsid w:val="007A2D79"/>
    <w:rsid w:val="007A331E"/>
    <w:rsid w:val="007A50E1"/>
    <w:rsid w:val="007B36BD"/>
    <w:rsid w:val="007B514A"/>
    <w:rsid w:val="007B716B"/>
    <w:rsid w:val="007C1BB7"/>
    <w:rsid w:val="007C1BD7"/>
    <w:rsid w:val="007C7B83"/>
    <w:rsid w:val="007D05CA"/>
    <w:rsid w:val="007D33A8"/>
    <w:rsid w:val="007D41A1"/>
    <w:rsid w:val="007D4ACD"/>
    <w:rsid w:val="007D6AA6"/>
    <w:rsid w:val="007E0621"/>
    <w:rsid w:val="007E190F"/>
    <w:rsid w:val="007E34FE"/>
    <w:rsid w:val="007E3814"/>
    <w:rsid w:val="007F194A"/>
    <w:rsid w:val="007F4D60"/>
    <w:rsid w:val="007F6908"/>
    <w:rsid w:val="007F7458"/>
    <w:rsid w:val="0080156D"/>
    <w:rsid w:val="00805CED"/>
    <w:rsid w:val="0080625A"/>
    <w:rsid w:val="00806407"/>
    <w:rsid w:val="0080662E"/>
    <w:rsid w:val="00806DA8"/>
    <w:rsid w:val="00806E70"/>
    <w:rsid w:val="00812E99"/>
    <w:rsid w:val="00813070"/>
    <w:rsid w:val="008220E8"/>
    <w:rsid w:val="00822593"/>
    <w:rsid w:val="008244B4"/>
    <w:rsid w:val="00825D08"/>
    <w:rsid w:val="008310CF"/>
    <w:rsid w:val="008314E5"/>
    <w:rsid w:val="00832D6A"/>
    <w:rsid w:val="00833EA8"/>
    <w:rsid w:val="00835BD0"/>
    <w:rsid w:val="00842F2F"/>
    <w:rsid w:val="00845106"/>
    <w:rsid w:val="008461FD"/>
    <w:rsid w:val="00846599"/>
    <w:rsid w:val="008521C5"/>
    <w:rsid w:val="008537B7"/>
    <w:rsid w:val="0085537F"/>
    <w:rsid w:val="0085723F"/>
    <w:rsid w:val="00860CE0"/>
    <w:rsid w:val="008671D1"/>
    <w:rsid w:val="0086739F"/>
    <w:rsid w:val="008701E7"/>
    <w:rsid w:val="00870C8B"/>
    <w:rsid w:val="00870D26"/>
    <w:rsid w:val="00870D88"/>
    <w:rsid w:val="008711AC"/>
    <w:rsid w:val="00871F85"/>
    <w:rsid w:val="008731B4"/>
    <w:rsid w:val="00874627"/>
    <w:rsid w:val="008751D0"/>
    <w:rsid w:val="00881E86"/>
    <w:rsid w:val="00884B7A"/>
    <w:rsid w:val="00895433"/>
    <w:rsid w:val="00897207"/>
    <w:rsid w:val="008A113F"/>
    <w:rsid w:val="008A32A7"/>
    <w:rsid w:val="008A3BEC"/>
    <w:rsid w:val="008A3F46"/>
    <w:rsid w:val="008B07BF"/>
    <w:rsid w:val="008B08A5"/>
    <w:rsid w:val="008B1A32"/>
    <w:rsid w:val="008B6E21"/>
    <w:rsid w:val="008B73D8"/>
    <w:rsid w:val="008B786E"/>
    <w:rsid w:val="008C021C"/>
    <w:rsid w:val="008C3C24"/>
    <w:rsid w:val="008C47E0"/>
    <w:rsid w:val="008C6099"/>
    <w:rsid w:val="008C68AD"/>
    <w:rsid w:val="008C71D2"/>
    <w:rsid w:val="008D1D46"/>
    <w:rsid w:val="008D7057"/>
    <w:rsid w:val="008E0EDA"/>
    <w:rsid w:val="008F02E7"/>
    <w:rsid w:val="008F0F8E"/>
    <w:rsid w:val="008F2A4F"/>
    <w:rsid w:val="008F4E8C"/>
    <w:rsid w:val="00901A73"/>
    <w:rsid w:val="00901C17"/>
    <w:rsid w:val="009035B0"/>
    <w:rsid w:val="00906A49"/>
    <w:rsid w:val="0091275C"/>
    <w:rsid w:val="00913653"/>
    <w:rsid w:val="00916C75"/>
    <w:rsid w:val="0092026B"/>
    <w:rsid w:val="009269B9"/>
    <w:rsid w:val="00930238"/>
    <w:rsid w:val="00930255"/>
    <w:rsid w:val="009310D3"/>
    <w:rsid w:val="0093250F"/>
    <w:rsid w:val="00932CDF"/>
    <w:rsid w:val="00935EF1"/>
    <w:rsid w:val="00936A57"/>
    <w:rsid w:val="00943072"/>
    <w:rsid w:val="00943745"/>
    <w:rsid w:val="00945C41"/>
    <w:rsid w:val="009502F4"/>
    <w:rsid w:val="0096275C"/>
    <w:rsid w:val="0096551C"/>
    <w:rsid w:val="009658D8"/>
    <w:rsid w:val="00965A10"/>
    <w:rsid w:val="00967F50"/>
    <w:rsid w:val="00982E18"/>
    <w:rsid w:val="00987D43"/>
    <w:rsid w:val="009A0206"/>
    <w:rsid w:val="009A34C2"/>
    <w:rsid w:val="009A35AC"/>
    <w:rsid w:val="009A6D74"/>
    <w:rsid w:val="009A6EAB"/>
    <w:rsid w:val="009B2131"/>
    <w:rsid w:val="009B2881"/>
    <w:rsid w:val="009B3AC7"/>
    <w:rsid w:val="009B50A5"/>
    <w:rsid w:val="009B6221"/>
    <w:rsid w:val="009B7A4B"/>
    <w:rsid w:val="009C11ED"/>
    <w:rsid w:val="009C6EFD"/>
    <w:rsid w:val="009D3E6B"/>
    <w:rsid w:val="009D5E69"/>
    <w:rsid w:val="009E49F3"/>
    <w:rsid w:val="009E59FA"/>
    <w:rsid w:val="009F76CE"/>
    <w:rsid w:val="009F7C0B"/>
    <w:rsid w:val="00A01D2B"/>
    <w:rsid w:val="00A02C57"/>
    <w:rsid w:val="00A03340"/>
    <w:rsid w:val="00A10526"/>
    <w:rsid w:val="00A11528"/>
    <w:rsid w:val="00A136C3"/>
    <w:rsid w:val="00A16BFB"/>
    <w:rsid w:val="00A2193B"/>
    <w:rsid w:val="00A250A1"/>
    <w:rsid w:val="00A3017F"/>
    <w:rsid w:val="00A30C8A"/>
    <w:rsid w:val="00A31BC3"/>
    <w:rsid w:val="00A33AC0"/>
    <w:rsid w:val="00A344E7"/>
    <w:rsid w:val="00A357BD"/>
    <w:rsid w:val="00A37031"/>
    <w:rsid w:val="00A37FC7"/>
    <w:rsid w:val="00A40260"/>
    <w:rsid w:val="00A4364A"/>
    <w:rsid w:val="00A43897"/>
    <w:rsid w:val="00A46CD2"/>
    <w:rsid w:val="00A47F55"/>
    <w:rsid w:val="00A5202E"/>
    <w:rsid w:val="00A53EC5"/>
    <w:rsid w:val="00A54E2C"/>
    <w:rsid w:val="00A555E9"/>
    <w:rsid w:val="00A573CF"/>
    <w:rsid w:val="00A617F3"/>
    <w:rsid w:val="00A660CB"/>
    <w:rsid w:val="00A70DA5"/>
    <w:rsid w:val="00A71798"/>
    <w:rsid w:val="00A73255"/>
    <w:rsid w:val="00A76699"/>
    <w:rsid w:val="00A8076D"/>
    <w:rsid w:val="00A944E3"/>
    <w:rsid w:val="00A969BD"/>
    <w:rsid w:val="00AA19EB"/>
    <w:rsid w:val="00AA3557"/>
    <w:rsid w:val="00AA66A7"/>
    <w:rsid w:val="00AB019B"/>
    <w:rsid w:val="00AB2BD1"/>
    <w:rsid w:val="00AB3EFF"/>
    <w:rsid w:val="00AB495D"/>
    <w:rsid w:val="00AB5560"/>
    <w:rsid w:val="00AB6F25"/>
    <w:rsid w:val="00AC1AA3"/>
    <w:rsid w:val="00AC1C86"/>
    <w:rsid w:val="00AC2049"/>
    <w:rsid w:val="00AC5964"/>
    <w:rsid w:val="00AC70B5"/>
    <w:rsid w:val="00AD19B9"/>
    <w:rsid w:val="00AD2FC0"/>
    <w:rsid w:val="00AE05F4"/>
    <w:rsid w:val="00AE1EA3"/>
    <w:rsid w:val="00AE4C53"/>
    <w:rsid w:val="00AE6616"/>
    <w:rsid w:val="00AF25CB"/>
    <w:rsid w:val="00AF3814"/>
    <w:rsid w:val="00AF7A62"/>
    <w:rsid w:val="00B00DFB"/>
    <w:rsid w:val="00B01094"/>
    <w:rsid w:val="00B01485"/>
    <w:rsid w:val="00B020CB"/>
    <w:rsid w:val="00B1026D"/>
    <w:rsid w:val="00B10336"/>
    <w:rsid w:val="00B1120C"/>
    <w:rsid w:val="00B147AE"/>
    <w:rsid w:val="00B21BEE"/>
    <w:rsid w:val="00B22D22"/>
    <w:rsid w:val="00B26024"/>
    <w:rsid w:val="00B26795"/>
    <w:rsid w:val="00B309B7"/>
    <w:rsid w:val="00B31B41"/>
    <w:rsid w:val="00B338A7"/>
    <w:rsid w:val="00B33B9B"/>
    <w:rsid w:val="00B437EE"/>
    <w:rsid w:val="00B43AA1"/>
    <w:rsid w:val="00B451FA"/>
    <w:rsid w:val="00B4745D"/>
    <w:rsid w:val="00B5370C"/>
    <w:rsid w:val="00B559F7"/>
    <w:rsid w:val="00B610C4"/>
    <w:rsid w:val="00B63457"/>
    <w:rsid w:val="00B66702"/>
    <w:rsid w:val="00B6753B"/>
    <w:rsid w:val="00B702BD"/>
    <w:rsid w:val="00B70FFC"/>
    <w:rsid w:val="00B7456F"/>
    <w:rsid w:val="00B74884"/>
    <w:rsid w:val="00B757EA"/>
    <w:rsid w:val="00B77575"/>
    <w:rsid w:val="00B800B2"/>
    <w:rsid w:val="00B8238D"/>
    <w:rsid w:val="00B83A0F"/>
    <w:rsid w:val="00B83EA8"/>
    <w:rsid w:val="00B84642"/>
    <w:rsid w:val="00B9015B"/>
    <w:rsid w:val="00B91C1A"/>
    <w:rsid w:val="00B95A31"/>
    <w:rsid w:val="00B975F2"/>
    <w:rsid w:val="00BA24D3"/>
    <w:rsid w:val="00BA3989"/>
    <w:rsid w:val="00BB1C38"/>
    <w:rsid w:val="00BB48D7"/>
    <w:rsid w:val="00BB7E3D"/>
    <w:rsid w:val="00BC0F24"/>
    <w:rsid w:val="00BC2537"/>
    <w:rsid w:val="00BC2C27"/>
    <w:rsid w:val="00BC4CE6"/>
    <w:rsid w:val="00BC7853"/>
    <w:rsid w:val="00BD0CB8"/>
    <w:rsid w:val="00BD20A4"/>
    <w:rsid w:val="00BD36DF"/>
    <w:rsid w:val="00BD43E0"/>
    <w:rsid w:val="00BE0FE1"/>
    <w:rsid w:val="00BE3523"/>
    <w:rsid w:val="00BE4BE7"/>
    <w:rsid w:val="00BE4D62"/>
    <w:rsid w:val="00BF0767"/>
    <w:rsid w:val="00BF1162"/>
    <w:rsid w:val="00BF1C5A"/>
    <w:rsid w:val="00BF5C47"/>
    <w:rsid w:val="00BF7F49"/>
    <w:rsid w:val="00C01EC9"/>
    <w:rsid w:val="00C071AE"/>
    <w:rsid w:val="00C11223"/>
    <w:rsid w:val="00C12097"/>
    <w:rsid w:val="00C13D3E"/>
    <w:rsid w:val="00C14696"/>
    <w:rsid w:val="00C15D47"/>
    <w:rsid w:val="00C22702"/>
    <w:rsid w:val="00C24439"/>
    <w:rsid w:val="00C27787"/>
    <w:rsid w:val="00C27975"/>
    <w:rsid w:val="00C320F1"/>
    <w:rsid w:val="00C41D31"/>
    <w:rsid w:val="00C42313"/>
    <w:rsid w:val="00C4466D"/>
    <w:rsid w:val="00C464C2"/>
    <w:rsid w:val="00C50E8E"/>
    <w:rsid w:val="00C52045"/>
    <w:rsid w:val="00C527C0"/>
    <w:rsid w:val="00C56535"/>
    <w:rsid w:val="00C57F3E"/>
    <w:rsid w:val="00C60262"/>
    <w:rsid w:val="00C60FB7"/>
    <w:rsid w:val="00C61F62"/>
    <w:rsid w:val="00C71168"/>
    <w:rsid w:val="00C72559"/>
    <w:rsid w:val="00C77CC9"/>
    <w:rsid w:val="00C77E02"/>
    <w:rsid w:val="00C84D50"/>
    <w:rsid w:val="00C860A5"/>
    <w:rsid w:val="00C907AF"/>
    <w:rsid w:val="00C92608"/>
    <w:rsid w:val="00C928D7"/>
    <w:rsid w:val="00C9595C"/>
    <w:rsid w:val="00C95DFB"/>
    <w:rsid w:val="00CA2484"/>
    <w:rsid w:val="00CA3168"/>
    <w:rsid w:val="00CA6393"/>
    <w:rsid w:val="00CA754D"/>
    <w:rsid w:val="00CB11D0"/>
    <w:rsid w:val="00CB149B"/>
    <w:rsid w:val="00CB512D"/>
    <w:rsid w:val="00CC27A8"/>
    <w:rsid w:val="00CC2E18"/>
    <w:rsid w:val="00CC2E64"/>
    <w:rsid w:val="00CC4C71"/>
    <w:rsid w:val="00CD579F"/>
    <w:rsid w:val="00CD7939"/>
    <w:rsid w:val="00CE2C89"/>
    <w:rsid w:val="00CE2F1A"/>
    <w:rsid w:val="00CE4044"/>
    <w:rsid w:val="00CE6047"/>
    <w:rsid w:val="00CE7D94"/>
    <w:rsid w:val="00D07BD2"/>
    <w:rsid w:val="00D10586"/>
    <w:rsid w:val="00D123F4"/>
    <w:rsid w:val="00D1582E"/>
    <w:rsid w:val="00D160D1"/>
    <w:rsid w:val="00D247C2"/>
    <w:rsid w:val="00D26775"/>
    <w:rsid w:val="00D30A92"/>
    <w:rsid w:val="00D30C17"/>
    <w:rsid w:val="00D44165"/>
    <w:rsid w:val="00D4670D"/>
    <w:rsid w:val="00D46936"/>
    <w:rsid w:val="00D4775E"/>
    <w:rsid w:val="00D5091E"/>
    <w:rsid w:val="00D50A49"/>
    <w:rsid w:val="00D52484"/>
    <w:rsid w:val="00D54E1C"/>
    <w:rsid w:val="00D61E7B"/>
    <w:rsid w:val="00D631D8"/>
    <w:rsid w:val="00D70D2D"/>
    <w:rsid w:val="00D70EA8"/>
    <w:rsid w:val="00D72BC4"/>
    <w:rsid w:val="00D73C5A"/>
    <w:rsid w:val="00D74FA4"/>
    <w:rsid w:val="00D839FB"/>
    <w:rsid w:val="00D85889"/>
    <w:rsid w:val="00D861AD"/>
    <w:rsid w:val="00D97893"/>
    <w:rsid w:val="00D97F0D"/>
    <w:rsid w:val="00DA1593"/>
    <w:rsid w:val="00DA23E9"/>
    <w:rsid w:val="00DA3154"/>
    <w:rsid w:val="00DA6C93"/>
    <w:rsid w:val="00DA6DF1"/>
    <w:rsid w:val="00DB4E21"/>
    <w:rsid w:val="00DB57B8"/>
    <w:rsid w:val="00DC063B"/>
    <w:rsid w:val="00DC1112"/>
    <w:rsid w:val="00DC1CD0"/>
    <w:rsid w:val="00DC5D77"/>
    <w:rsid w:val="00DD174C"/>
    <w:rsid w:val="00DD2386"/>
    <w:rsid w:val="00DD2B5F"/>
    <w:rsid w:val="00DD47C9"/>
    <w:rsid w:val="00DD5B47"/>
    <w:rsid w:val="00DE64D5"/>
    <w:rsid w:val="00DF3433"/>
    <w:rsid w:val="00DF5BE4"/>
    <w:rsid w:val="00E020A4"/>
    <w:rsid w:val="00E043BE"/>
    <w:rsid w:val="00E06246"/>
    <w:rsid w:val="00E105ED"/>
    <w:rsid w:val="00E11B8F"/>
    <w:rsid w:val="00E11F11"/>
    <w:rsid w:val="00E127DE"/>
    <w:rsid w:val="00E14248"/>
    <w:rsid w:val="00E14BF2"/>
    <w:rsid w:val="00E1547E"/>
    <w:rsid w:val="00E16C0E"/>
    <w:rsid w:val="00E25ABB"/>
    <w:rsid w:val="00E26FCE"/>
    <w:rsid w:val="00E30C75"/>
    <w:rsid w:val="00E310BC"/>
    <w:rsid w:val="00E34367"/>
    <w:rsid w:val="00E404E8"/>
    <w:rsid w:val="00E40A93"/>
    <w:rsid w:val="00E40B01"/>
    <w:rsid w:val="00E40B42"/>
    <w:rsid w:val="00E42109"/>
    <w:rsid w:val="00E42E94"/>
    <w:rsid w:val="00E44564"/>
    <w:rsid w:val="00E5040C"/>
    <w:rsid w:val="00E5326E"/>
    <w:rsid w:val="00E56F2A"/>
    <w:rsid w:val="00E61443"/>
    <w:rsid w:val="00E61983"/>
    <w:rsid w:val="00E63FC2"/>
    <w:rsid w:val="00E72B9D"/>
    <w:rsid w:val="00E738D2"/>
    <w:rsid w:val="00E742FA"/>
    <w:rsid w:val="00E74D4F"/>
    <w:rsid w:val="00E76042"/>
    <w:rsid w:val="00E77B85"/>
    <w:rsid w:val="00E82CF3"/>
    <w:rsid w:val="00E84B43"/>
    <w:rsid w:val="00E85142"/>
    <w:rsid w:val="00E8571C"/>
    <w:rsid w:val="00E874E1"/>
    <w:rsid w:val="00E919A1"/>
    <w:rsid w:val="00E93967"/>
    <w:rsid w:val="00EA09FF"/>
    <w:rsid w:val="00EA1578"/>
    <w:rsid w:val="00EA2856"/>
    <w:rsid w:val="00EA559B"/>
    <w:rsid w:val="00EA5AEB"/>
    <w:rsid w:val="00EA72BB"/>
    <w:rsid w:val="00EA7E1E"/>
    <w:rsid w:val="00EB3BCB"/>
    <w:rsid w:val="00EC103B"/>
    <w:rsid w:val="00EC1A41"/>
    <w:rsid w:val="00EC1D27"/>
    <w:rsid w:val="00EC4827"/>
    <w:rsid w:val="00EC58A3"/>
    <w:rsid w:val="00EC721C"/>
    <w:rsid w:val="00ED02AA"/>
    <w:rsid w:val="00ED4D09"/>
    <w:rsid w:val="00EE5859"/>
    <w:rsid w:val="00EE5C07"/>
    <w:rsid w:val="00EF5D66"/>
    <w:rsid w:val="00F013AD"/>
    <w:rsid w:val="00F0224D"/>
    <w:rsid w:val="00F059AD"/>
    <w:rsid w:val="00F100CE"/>
    <w:rsid w:val="00F1118E"/>
    <w:rsid w:val="00F13200"/>
    <w:rsid w:val="00F13495"/>
    <w:rsid w:val="00F20040"/>
    <w:rsid w:val="00F2043C"/>
    <w:rsid w:val="00F21C50"/>
    <w:rsid w:val="00F221F9"/>
    <w:rsid w:val="00F22F47"/>
    <w:rsid w:val="00F266B3"/>
    <w:rsid w:val="00F26ACF"/>
    <w:rsid w:val="00F3382D"/>
    <w:rsid w:val="00F375AD"/>
    <w:rsid w:val="00F37614"/>
    <w:rsid w:val="00F517D6"/>
    <w:rsid w:val="00F52101"/>
    <w:rsid w:val="00F5351F"/>
    <w:rsid w:val="00F55D49"/>
    <w:rsid w:val="00F57572"/>
    <w:rsid w:val="00F578A9"/>
    <w:rsid w:val="00F61E59"/>
    <w:rsid w:val="00F63BCC"/>
    <w:rsid w:val="00F65E3F"/>
    <w:rsid w:val="00F70BA0"/>
    <w:rsid w:val="00F71BF0"/>
    <w:rsid w:val="00F74264"/>
    <w:rsid w:val="00F761C0"/>
    <w:rsid w:val="00F76F97"/>
    <w:rsid w:val="00F7728F"/>
    <w:rsid w:val="00F77593"/>
    <w:rsid w:val="00F825A1"/>
    <w:rsid w:val="00F844C5"/>
    <w:rsid w:val="00F8597E"/>
    <w:rsid w:val="00F924B2"/>
    <w:rsid w:val="00F964E4"/>
    <w:rsid w:val="00FA3BB1"/>
    <w:rsid w:val="00FB4BDF"/>
    <w:rsid w:val="00FB5BD6"/>
    <w:rsid w:val="00FC1191"/>
    <w:rsid w:val="00FC1498"/>
    <w:rsid w:val="00FC27F3"/>
    <w:rsid w:val="00FC6EA8"/>
    <w:rsid w:val="00FD182A"/>
    <w:rsid w:val="00FD52BD"/>
    <w:rsid w:val="00FD797B"/>
    <w:rsid w:val="00FE0B60"/>
    <w:rsid w:val="00FE3FAF"/>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5A942-3FF0-4466-8DF6-DC1762FD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1862</Words>
  <Characters>11732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4</cp:revision>
  <cp:lastPrinted>2019-01-22T03:27:00Z</cp:lastPrinted>
  <dcterms:created xsi:type="dcterms:W3CDTF">2021-01-12T10:07:00Z</dcterms:created>
  <dcterms:modified xsi:type="dcterms:W3CDTF">2021-01-18T16:02:00Z</dcterms:modified>
</cp:coreProperties>
</file>