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F67992">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F67992">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F67992">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F67992">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F67992">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bookmarkStart w:id="3" w:name="_GoBack"/>
      <w:r>
        <w:rPr>
          <w:rFonts w:ascii="Arial" w:hAnsi="Arial" w:cs="Arial"/>
          <w:sz w:val="20"/>
          <w:szCs w:val="20"/>
          <w:highlight w:val="cyan"/>
        </w:rPr>
        <w:t>FL9</w:t>
      </w:r>
      <w:bookmarkEnd w:id="3"/>
      <w:r>
        <w:rPr>
          <w:rFonts w:ascii="Arial" w:hAnsi="Arial" w:cs="Arial"/>
          <w:sz w:val="20"/>
          <w:szCs w:val="20"/>
          <w:highlight w:val="cyan"/>
        </w:rPr>
        <w:t>.</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4" w:name="_Toc56122177"/>
      <w:r>
        <w:rPr>
          <w:rFonts w:cs="Arial"/>
          <w:lang w:val="en-US"/>
        </w:rPr>
        <w:t xml:space="preserve">8.2 </w:t>
      </w:r>
      <w:r>
        <w:t>Reduced PDCCH monitoring</w:t>
      </w:r>
      <w:bookmarkEnd w:id="4"/>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5" w:name="_Toc56122178"/>
      <w:r>
        <w:rPr>
          <w:rFonts w:ascii="Arial" w:eastAsia="SimSun" w:hAnsi="Arial" w:cs="Times New Roman"/>
          <w:color w:val="auto"/>
          <w:sz w:val="32"/>
          <w:szCs w:val="20"/>
          <w:lang w:val="en-GB" w:eastAsia="ja-JP"/>
        </w:rPr>
        <w:t>8.2.1 Description of feature</w:t>
      </w:r>
      <w:bookmarkEnd w:id="5"/>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2570F33C" w14:textId="77777777">
        <w:tc>
          <w:tcPr>
            <w:tcW w:w="1550"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tc>
          <w:tcPr>
            <w:tcW w:w="1550"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We are generally fine with the description. However, it is worth to point out that the current scheme2 is focused on extending the time separation between the PDCCH occasion, which actually can be realized by setting the searchspace periodicity.</w:t>
            </w:r>
          </w:p>
        </w:tc>
      </w:tr>
      <w:tr w:rsidR="00877BD3" w14:paraId="7CDEE772" w14:textId="77777777">
        <w:tc>
          <w:tcPr>
            <w:tcW w:w="1550"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626"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tc>
          <w:tcPr>
            <w:tcW w:w="1550"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r>
              <w:rPr>
                <w:rFonts w:eastAsiaTheme="minorEastAsia" w:hint="eastAsia"/>
                <w:sz w:val="20"/>
                <w:szCs w:val="20"/>
              </w:rPr>
              <w:t>Spreadtrum</w:t>
            </w:r>
          </w:p>
        </w:tc>
        <w:tc>
          <w:tcPr>
            <w:tcW w:w="626"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5E7A8E">
        <w:tc>
          <w:tcPr>
            <w:tcW w:w="1550"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626"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7458"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5E7A8E">
        <w:tc>
          <w:tcPr>
            <w:tcW w:w="1550"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626"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r w:rsidR="001F084E" w14:paraId="3A7D2D14" w14:textId="77777777" w:rsidTr="005E7A8E">
        <w:tc>
          <w:tcPr>
            <w:tcW w:w="1550" w:type="dxa"/>
            <w:tcMar>
              <w:top w:w="0" w:type="dxa"/>
              <w:left w:w="108" w:type="dxa"/>
              <w:bottom w:w="0" w:type="dxa"/>
              <w:right w:w="108" w:type="dxa"/>
            </w:tcMar>
          </w:tcPr>
          <w:p w14:paraId="3A3D06C4" w14:textId="44A31F2E"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523970EF" w14:textId="40F00F1D" w:rsidR="001F084E" w:rsidRDefault="001F084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00AE519A" w14:textId="77777777" w:rsidR="001F084E" w:rsidRDefault="001F084E" w:rsidP="001F084E">
            <w:pPr>
              <w:spacing w:after="180"/>
              <w:rPr>
                <w:rFonts w:eastAsiaTheme="minorEastAsia"/>
                <w:sz w:val="20"/>
                <w:szCs w:val="20"/>
              </w:rPr>
            </w:pPr>
          </w:p>
        </w:tc>
      </w:tr>
      <w:tr w:rsidR="00C75C1E" w14:paraId="1FA0A3AB" w14:textId="77777777" w:rsidTr="005E7A8E">
        <w:tc>
          <w:tcPr>
            <w:tcW w:w="1550" w:type="dxa"/>
            <w:tcMar>
              <w:top w:w="0" w:type="dxa"/>
              <w:left w:w="108" w:type="dxa"/>
              <w:bottom w:w="0" w:type="dxa"/>
              <w:right w:w="108" w:type="dxa"/>
            </w:tcMar>
          </w:tcPr>
          <w:p w14:paraId="33E8412E" w14:textId="2BA3D172" w:rsidR="00C75C1E" w:rsidRDefault="00C75C1E" w:rsidP="001F084E">
            <w:pPr>
              <w:spacing w:after="180"/>
              <w:rPr>
                <w:rFonts w:eastAsiaTheme="minorEastAsia"/>
                <w:sz w:val="20"/>
                <w:szCs w:val="20"/>
              </w:rPr>
            </w:pPr>
            <w:r>
              <w:rPr>
                <w:rFonts w:eastAsiaTheme="minorEastAsia"/>
                <w:sz w:val="20"/>
                <w:szCs w:val="20"/>
              </w:rPr>
              <w:t>Intel</w:t>
            </w:r>
          </w:p>
        </w:tc>
        <w:tc>
          <w:tcPr>
            <w:tcW w:w="626" w:type="dxa"/>
          </w:tcPr>
          <w:p w14:paraId="701958DA" w14:textId="46A6CFE4" w:rsidR="00C75C1E" w:rsidRDefault="00C75C1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1772868E" w14:textId="77777777" w:rsidR="00C75C1E" w:rsidRDefault="00C75C1E" w:rsidP="001F084E">
            <w:pPr>
              <w:spacing w:after="180"/>
              <w:rPr>
                <w:rFonts w:eastAsiaTheme="minorEastAsia"/>
                <w:sz w:val="20"/>
                <w:szCs w:val="20"/>
              </w:rPr>
            </w:pP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r>
              <w:rPr>
                <w:rFonts w:eastAsiaTheme="minorEastAsia" w:hint="eastAsia"/>
                <w:sz w:val="20"/>
                <w:szCs w:val="20"/>
              </w:rPr>
              <w:t>ZTE,sanechips</w:t>
            </w:r>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Actually,  reducing maximum number of BDs in X slots has been discussed and modified many times. Both of them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Scheme 1 is used to describe the BD reduction per slot, scheme 3 is used to describe the dynamic BD reduction, and scheme 2 is used to describe the BD reduction on multiple slots. Scheme1 and scheme 3 are actually described broadly which does not limit to any specific method. Therefore, the description of scheme2 is just  used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We hope both of them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r w:rsidRPr="001155BC">
              <w:rPr>
                <w:rFonts w:eastAsiaTheme="minorEastAsia" w:hint="eastAsia"/>
                <w:sz w:val="20"/>
                <w:szCs w:val="20"/>
              </w:rPr>
              <w:t>Spreadtrum</w:t>
            </w:r>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r w:rsidR="00C75C1E" w14:paraId="0EDEE42E" w14:textId="77777777">
        <w:tc>
          <w:tcPr>
            <w:tcW w:w="1550" w:type="dxa"/>
            <w:tcMar>
              <w:top w:w="0" w:type="dxa"/>
              <w:left w:w="108" w:type="dxa"/>
              <w:bottom w:w="0" w:type="dxa"/>
              <w:right w:w="108" w:type="dxa"/>
            </w:tcMar>
          </w:tcPr>
          <w:p w14:paraId="43CBB3D8" w14:textId="7DF3AD28" w:rsidR="00C75C1E" w:rsidRDefault="00C75C1E" w:rsidP="00586D04">
            <w:pPr>
              <w:spacing w:after="180"/>
              <w:rPr>
                <w:rFonts w:eastAsiaTheme="minorEastAsia" w:hint="eastAsia"/>
                <w:sz w:val="20"/>
                <w:szCs w:val="20"/>
              </w:rPr>
            </w:pPr>
            <w:r>
              <w:rPr>
                <w:rFonts w:eastAsiaTheme="minorEastAsia"/>
                <w:sz w:val="20"/>
                <w:szCs w:val="20"/>
              </w:rPr>
              <w:t>Intel</w:t>
            </w:r>
          </w:p>
        </w:tc>
        <w:tc>
          <w:tcPr>
            <w:tcW w:w="626" w:type="dxa"/>
          </w:tcPr>
          <w:p w14:paraId="78BF3FE7" w14:textId="0846CBAD" w:rsidR="00C75C1E" w:rsidRDefault="00C75C1E" w:rsidP="00586D04">
            <w:pPr>
              <w:spacing w:after="180"/>
              <w:rPr>
                <w:rFonts w:eastAsiaTheme="minorEastAsia" w:hint="eastAsia"/>
                <w:sz w:val="20"/>
                <w:szCs w:val="20"/>
              </w:rPr>
            </w:pPr>
            <w:r>
              <w:rPr>
                <w:rFonts w:eastAsiaTheme="minorEastAsia"/>
                <w:sz w:val="20"/>
                <w:szCs w:val="20"/>
              </w:rPr>
              <w:t>N</w:t>
            </w:r>
          </w:p>
        </w:tc>
        <w:tc>
          <w:tcPr>
            <w:tcW w:w="7458" w:type="dxa"/>
            <w:tcMar>
              <w:top w:w="0" w:type="dxa"/>
              <w:left w:w="108" w:type="dxa"/>
              <w:bottom w:w="0" w:type="dxa"/>
              <w:right w:w="108" w:type="dxa"/>
            </w:tcMar>
          </w:tcPr>
          <w:p w14:paraId="5C038A56" w14:textId="77777777" w:rsidR="00C75C1E" w:rsidRDefault="00C75C1E" w:rsidP="00586D04">
            <w:pPr>
              <w:spacing w:after="180"/>
              <w:rPr>
                <w:rFonts w:eastAsiaTheme="minorEastAsia"/>
                <w:sz w:val="20"/>
                <w:szCs w:val="20"/>
              </w:rPr>
            </w:pP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monitors M BDs per X slot assuming the PDCCH monitoring periodicity is X slot. However, the UE has to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2A21DA">
        <w:tc>
          <w:tcPr>
            <w:tcW w:w="1550" w:type="dxa"/>
            <w:tcMar>
              <w:top w:w="0" w:type="dxa"/>
              <w:left w:w="108" w:type="dxa"/>
              <w:bottom w:w="0" w:type="dxa"/>
              <w:right w:w="108" w:type="dxa"/>
            </w:tcMar>
          </w:tcPr>
          <w:p w14:paraId="185A49ED" w14:textId="61248946" w:rsidR="00D02E42" w:rsidRDefault="00D02E42" w:rsidP="002A21DA">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2A21DA">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2A21DA">
            <w:pPr>
              <w:spacing w:after="180"/>
              <w:rPr>
                <w:rFonts w:eastAsiaTheme="minorEastAsia"/>
                <w:sz w:val="20"/>
                <w:szCs w:val="20"/>
              </w:rPr>
            </w:pPr>
            <w:r>
              <w:rPr>
                <w:rFonts w:eastAsiaTheme="minorEastAsia"/>
                <w:sz w:val="20"/>
                <w:szCs w:val="20"/>
              </w:rPr>
              <w:t>Same view as vivo.</w:t>
            </w:r>
          </w:p>
        </w:tc>
      </w:tr>
      <w:tr w:rsidR="001F084E" w14:paraId="45928379" w14:textId="77777777" w:rsidTr="002A21DA">
        <w:tc>
          <w:tcPr>
            <w:tcW w:w="1550" w:type="dxa"/>
            <w:tcMar>
              <w:top w:w="0" w:type="dxa"/>
              <w:left w:w="108" w:type="dxa"/>
              <w:bottom w:w="0" w:type="dxa"/>
              <w:right w:w="108" w:type="dxa"/>
            </w:tcMar>
          </w:tcPr>
          <w:p w14:paraId="0941C1DA" w14:textId="09E839F9" w:rsidR="001F084E" w:rsidRDefault="001F084E" w:rsidP="001F084E">
            <w:pPr>
              <w:spacing w:after="180"/>
              <w:rPr>
                <w:rFonts w:eastAsiaTheme="minorEastAsia"/>
                <w:sz w:val="20"/>
                <w:szCs w:val="20"/>
              </w:rPr>
            </w:pPr>
            <w:r>
              <w:rPr>
                <w:rFonts w:eastAsiaTheme="minorEastAsia"/>
                <w:sz w:val="20"/>
                <w:szCs w:val="20"/>
              </w:rPr>
              <w:t>Futurewei</w:t>
            </w:r>
          </w:p>
        </w:tc>
        <w:tc>
          <w:tcPr>
            <w:tcW w:w="626" w:type="dxa"/>
          </w:tcPr>
          <w:p w14:paraId="3AB684E3" w14:textId="2D04BEEE" w:rsidR="001F084E" w:rsidRDefault="001F084E" w:rsidP="001F084E">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714D741" w14:textId="2A1D7027" w:rsidR="001F084E" w:rsidRDefault="001F084E" w:rsidP="001F084E">
            <w:pPr>
              <w:spacing w:after="180"/>
              <w:rPr>
                <w:rFonts w:eastAsiaTheme="minorEastAsia"/>
                <w:sz w:val="20"/>
                <w:szCs w:val="20"/>
              </w:rPr>
            </w:pPr>
            <w:r>
              <w:rPr>
                <w:rFonts w:eastAsiaTheme="minorEastAsia"/>
                <w:sz w:val="20"/>
                <w:szCs w:val="20"/>
              </w:rPr>
              <w:t xml:space="preserve">Agree with CATT comment that it is not within scope. In addition, we do not see any reason to introduce </w:t>
            </w:r>
            <w:r w:rsidRPr="001F084E">
              <w:rPr>
                <w:rFonts w:eastAsiaTheme="minorEastAsia"/>
                <w:i/>
                <w:iCs/>
                <w:sz w:val="20"/>
                <w:szCs w:val="20"/>
              </w:rPr>
              <w:t>N</w:t>
            </w: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6" w:name="_Toc56122179"/>
      <w:r>
        <w:rPr>
          <w:rFonts w:ascii="Arial" w:hAnsi="Arial" w:cs="Arial"/>
          <w:color w:val="auto"/>
          <w:sz w:val="26"/>
          <w:szCs w:val="26"/>
        </w:rPr>
        <w:t>8.2.3.2 Latency and Scheduling flexibility</w:t>
      </w:r>
      <w:bookmarkEnd w:id="6"/>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Option 1. We have no strong view here.</w:t>
            </w:r>
            <w:r>
              <w:rPr>
                <w:rFonts w:ascii="Arial" w:eastAsia="SimSun" w:hAnsi="Arial" w:cs="Arial"/>
                <w:sz w:val="20"/>
                <w:szCs w:val="20"/>
              </w:rPr>
              <w:t>”</w:t>
            </w:r>
            <w:r>
              <w:rPr>
                <w:rFonts w:ascii="Arial" w:eastAsia="SimSun" w:hAnsi="Arial" w:cs="Arial" w:hint="eastAsia"/>
                <w:sz w:val="20"/>
                <w:szCs w:val="20"/>
              </w:rPr>
              <w:t>the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are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1F084E" w14:paraId="01AEC88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0B49" w14:textId="38DDEC2F" w:rsidR="001F084E" w:rsidRDefault="001F084E" w:rsidP="001F084E">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2D6FE" w14:textId="34BA90A8" w:rsidR="001F084E" w:rsidRDefault="001F084E" w:rsidP="001F084E">
            <w:pPr>
              <w:outlineLvl w:val="0"/>
              <w:rPr>
                <w:rFonts w:ascii="Arial" w:eastAsiaTheme="minorEastAsia" w:hAnsi="Arial" w:cs="Arial"/>
                <w:sz w:val="20"/>
                <w:szCs w:val="20"/>
              </w:rPr>
            </w:pPr>
            <w:r>
              <w:rPr>
                <w:rFonts w:ascii="Arial" w:eastAsiaTheme="minorEastAsia" w:hAnsi="Arial" w:cs="Arial"/>
                <w:sz w:val="20"/>
                <w:szCs w:val="20"/>
              </w:rPr>
              <w:t>Option 1</w:t>
            </w:r>
          </w:p>
        </w:tc>
      </w:tr>
      <w:tr w:rsidR="00C75C1E" w14:paraId="3E64464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98A8" w14:textId="5EF9DFEB" w:rsidR="00C75C1E" w:rsidRDefault="00C75C1E" w:rsidP="001F084E">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EFBF8" w14:textId="77777777"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Option 1</w:t>
            </w:r>
          </w:p>
          <w:p w14:paraId="09756B22" w14:textId="77777777" w:rsidR="00C75C1E" w:rsidRDefault="00C75C1E" w:rsidP="001F084E">
            <w:pPr>
              <w:outlineLvl w:val="0"/>
              <w:rPr>
                <w:rFonts w:ascii="Arial" w:eastAsiaTheme="minorEastAsia" w:hAnsi="Arial" w:cs="Arial"/>
                <w:sz w:val="20"/>
                <w:szCs w:val="20"/>
              </w:rPr>
            </w:pPr>
          </w:p>
          <w:p w14:paraId="7CEA2A43" w14:textId="0887C696"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Did you intend  to write “number of ALs per candidate”, not “number of ALs per UE”?</w:t>
            </w: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2A21DA">
            <w:pPr>
              <w:rPr>
                <w:rFonts w:ascii="Arial" w:hAnsi="Arial" w:cs="Arial"/>
                <w:sz w:val="20"/>
                <w:szCs w:val="20"/>
              </w:rPr>
            </w:pPr>
          </w:p>
        </w:tc>
      </w:tr>
      <w:tr w:rsidR="001F084E" w14:paraId="702AD611"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4AB" w14:textId="604BDAA5"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285" w:type="dxa"/>
            <w:tcBorders>
              <w:top w:val="single" w:sz="4" w:space="0" w:color="auto"/>
              <w:left w:val="single" w:sz="4" w:space="0" w:color="auto"/>
              <w:bottom w:val="single" w:sz="4" w:space="0" w:color="auto"/>
              <w:right w:val="single" w:sz="4" w:space="0" w:color="auto"/>
            </w:tcBorders>
          </w:tcPr>
          <w:p w14:paraId="26AC0F17" w14:textId="590FCF98"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BD53" w14:textId="77777777" w:rsidR="001F084E" w:rsidRDefault="001F084E" w:rsidP="001F084E">
            <w:pPr>
              <w:rPr>
                <w:rFonts w:ascii="Arial" w:hAnsi="Arial" w:cs="Arial"/>
                <w:sz w:val="20"/>
                <w:szCs w:val="20"/>
              </w:rPr>
            </w:pPr>
          </w:p>
        </w:tc>
      </w:tr>
      <w:tr w:rsidR="00C75C1E" w14:paraId="6D6DF81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A7EE" w14:textId="156317A0"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Intel</w:t>
            </w:r>
          </w:p>
        </w:tc>
        <w:tc>
          <w:tcPr>
            <w:tcW w:w="1285" w:type="dxa"/>
            <w:tcBorders>
              <w:top w:val="single" w:sz="4" w:space="0" w:color="auto"/>
              <w:left w:val="single" w:sz="4" w:space="0" w:color="auto"/>
              <w:bottom w:val="single" w:sz="4" w:space="0" w:color="auto"/>
              <w:right w:val="single" w:sz="4" w:space="0" w:color="auto"/>
            </w:tcBorders>
          </w:tcPr>
          <w:p w14:paraId="785505B6" w14:textId="158E0F46"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166B" w14:textId="77777777" w:rsidR="00C75C1E" w:rsidRDefault="00C75C1E" w:rsidP="001F084E">
            <w:pPr>
              <w:rPr>
                <w:rFonts w:ascii="Arial" w:hAnsi="Arial" w:cs="Arial"/>
                <w:sz w:val="20"/>
                <w:szCs w:val="20"/>
              </w:rPr>
            </w:pP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7" w:name="_Toc51768574"/>
      <w:bookmarkStart w:id="8" w:name="_Toc42165639"/>
      <w:bookmarkStart w:id="9"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0" w:name="_Toc56122180"/>
      <w:r>
        <w:rPr>
          <w:rFonts w:ascii="Arial" w:eastAsia="SimSun" w:hAnsi="Arial" w:cs="Times New Roman"/>
          <w:color w:val="auto"/>
          <w:sz w:val="32"/>
          <w:szCs w:val="20"/>
          <w:lang w:val="en-GB" w:eastAsia="ja-JP"/>
        </w:rPr>
        <w:t>8.2.5 Analysis of specification impacts</w:t>
      </w:r>
      <w:bookmarkEnd w:id="7"/>
      <w:bookmarkEnd w:id="8"/>
      <w:bookmarkEnd w:id="9"/>
      <w:bookmarkEnd w:id="10"/>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A modification may be needed for the second paragraph if  Proposal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2A21DA">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2A21DA">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 , it may seem all of these impacts are jointly possible.</w:t>
            </w: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br w:type="page"/>
      </w:r>
    </w:p>
    <w:p w14:paraId="371413CB" w14:textId="77777777" w:rsidR="00877BD3" w:rsidRDefault="006B5573">
      <w:pPr>
        <w:pStyle w:val="Heading1"/>
      </w:pPr>
      <w:bookmarkStart w:id="11" w:name="_Toc56122181"/>
      <w:r>
        <w:rPr>
          <w:rFonts w:cs="Arial"/>
          <w:lang w:val="en-US"/>
        </w:rPr>
        <w:t xml:space="preserve">12. </w:t>
      </w:r>
      <w:r>
        <w:t>Conclusion</w:t>
      </w:r>
      <w:bookmarkEnd w:id="11"/>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r>
              <w:rPr>
                <w:rFonts w:eastAsiaTheme="minorEastAsia" w:hint="eastAsia"/>
                <w:sz w:val="20"/>
                <w:szCs w:val="20"/>
              </w:rPr>
              <w:t>ZTE,sanechips</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Spreadtrum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All. It would be great if we state the recommendation to be more inline with the description of the WID</w:t>
            </w:r>
            <w:r>
              <w:rPr>
                <w:rFonts w:ascii="Arial" w:eastAsiaTheme="minorEastAsia" w:hAnsi="Arial" w:cs="Arial"/>
                <w:sz w:val="20"/>
                <w:szCs w:val="20"/>
              </w:rPr>
              <w:t xml:space="preserve"> to make it more clear.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ListParagraph"/>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75C1E" w:rsidRPr="002C379B" w14:paraId="37FA0D4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77777777" w:rsidR="00C75C1E" w:rsidRDefault="00C75C1E" w:rsidP="00C75C1E">
            <w:pPr>
              <w:rPr>
                <w:rFonts w:ascii="Arial" w:eastAsiaTheme="minorEastAsia" w:hAnsi="Arial" w:cs="Arial"/>
                <w:sz w:val="20"/>
                <w:szCs w:val="20"/>
              </w:rPr>
            </w:pP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0254" w14:textId="77777777" w:rsidR="00C75C1E" w:rsidRDefault="00C75C1E" w:rsidP="00C75C1E">
            <w:pPr>
              <w:rPr>
                <w:rFonts w:ascii="Arial" w:eastAsiaTheme="minorEastAsia" w:hAnsi="Arial" w:cs="Arial"/>
                <w:sz w:val="20"/>
                <w:szCs w:val="20"/>
              </w:rPr>
            </w:pPr>
          </w:p>
        </w:tc>
      </w:tr>
    </w:tbl>
    <w:p w14:paraId="11DFE36F" w14:textId="77777777" w:rsidR="00877BD3" w:rsidRDefault="00877BD3">
      <w:pPr>
        <w:rPr>
          <w:rFonts w:ascii="Arial" w:eastAsia="SimSun" w:hAnsi="Arial" w:cs="Arial"/>
          <w:sz w:val="36"/>
          <w:szCs w:val="20"/>
          <w:lang w:eastAsia="en-US"/>
        </w:rPr>
      </w:pPr>
    </w:p>
    <w:sectPr w:rsidR="00877BD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B9684" w14:textId="77777777" w:rsidR="00F67992" w:rsidRDefault="00F67992">
      <w:r>
        <w:separator/>
      </w:r>
    </w:p>
  </w:endnote>
  <w:endnote w:type="continuationSeparator" w:id="0">
    <w:p w14:paraId="05D8B84A" w14:textId="77777777" w:rsidR="00F67992" w:rsidRDefault="00F6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877BD3" w:rsidRDefault="0087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77777777"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0C756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56F">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8130" w14:textId="77777777" w:rsidR="00C75C1E" w:rsidRDefault="00C7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C656" w14:textId="77777777" w:rsidR="00F67992" w:rsidRDefault="00F67992">
      <w:r>
        <w:separator/>
      </w:r>
    </w:p>
  </w:footnote>
  <w:footnote w:type="continuationSeparator" w:id="0">
    <w:p w14:paraId="2CC6AD95" w14:textId="77777777" w:rsidR="00F67992" w:rsidRDefault="00F6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38F4" w14:textId="77777777" w:rsidR="00C75C1E" w:rsidRDefault="00C75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76E1" w14:textId="77777777" w:rsidR="00C75C1E" w:rsidRDefault="00C7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6B68"/>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spacing w:after="160" w:line="259" w:lineRule="auto"/>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42CC86-0AB2-499C-A00F-41A03A5E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Islam, Toufiqul</cp:lastModifiedBy>
  <cp:revision>4</cp:revision>
  <cp:lastPrinted>2019-01-22T03:27:00Z</cp:lastPrinted>
  <dcterms:created xsi:type="dcterms:W3CDTF">2020-11-13T15:41:00Z</dcterms:created>
  <dcterms:modified xsi:type="dcterms:W3CDTF">2020-11-13T15:58:00Z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