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hint="eastAsia"/>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hint="eastAsia"/>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hint="eastAsia"/>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hint="eastAsia"/>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lastRenderedPageBreak/>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hint="eastAsia"/>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hint="eastAsia"/>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lastRenderedPageBreak/>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w:t>
            </w:r>
            <w:proofErr w:type="gramStart"/>
            <w:r w:rsidRPr="00D42F7A">
              <w:rPr>
                <w:rFonts w:eastAsia="DengXian"/>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 xml:space="preserve">s this is Phase 2 </w:t>
            </w:r>
            <w:proofErr w:type="gramStart"/>
            <w:r>
              <w:rPr>
                <w:rFonts w:eastAsia="DengXian"/>
                <w:lang w:val="en-US" w:eastAsia="zh-CN"/>
              </w:rPr>
              <w:t>question</w:t>
            </w:r>
            <w:proofErr w:type="gramEnd"/>
            <w:r>
              <w:rPr>
                <w:rFonts w:eastAsia="DengXian"/>
                <w:lang w:val="en-US" w:eastAsia="zh-CN"/>
              </w:rPr>
              <w:t xml:space="preserve">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w:t>
      </w:r>
      <w:r w:rsidR="00146113">
        <w:rPr>
          <w:b/>
          <w:bCs/>
        </w:rPr>
        <w:lastRenderedPageBreak/>
        <w:t>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lastRenderedPageBreak/>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 xml:space="preserve">eanwhile 2 Rx </w:t>
            </w:r>
            <w:r>
              <w:rPr>
                <w:rFonts w:eastAsia="DengXian" w:hint="eastAsia"/>
                <w:lang w:val="en-US" w:eastAsia="zh-CN"/>
              </w:rPr>
              <w:lastRenderedPageBreak/>
              <w:t>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lastRenderedPageBreak/>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lastRenderedPageBreak/>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hint="eastAsia"/>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hint="eastAsia"/>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463ABB4F" w:rsidR="00090EF0" w:rsidRPr="000E647A" w:rsidRDefault="00090EF0" w:rsidP="00E8041B">
      <w:pPr>
        <w:pStyle w:val="Heading3"/>
        <w:numPr>
          <w:ilvl w:val="2"/>
          <w:numId w:val="11"/>
        </w:numPr>
      </w:pPr>
      <w:r w:rsidRPr="000E647A">
        <w:t xml:space="preserve">Analysis of </w:t>
      </w:r>
      <w:r>
        <w:t xml:space="preserve">coexistence with legacy </w:t>
      </w:r>
      <w:proofErr w:type="spellStart"/>
      <w:r>
        <w:t>U</w:t>
      </w:r>
      <w:r w:rsidR="00C62424">
        <w:t>e</w:t>
      </w:r>
      <w:r>
        <w:t>s</w:t>
      </w:r>
      <w:bookmarkEnd w:id="38"/>
      <w:bookmarkEnd w:id="39"/>
      <w:bookmarkEnd w:id="40"/>
      <w:proofErr w:type="spellEnd"/>
    </w:p>
    <w:p w14:paraId="7860D4F6" w14:textId="1FE15FC7"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proofErr w:type="spellStart"/>
      <w:r w:rsidR="005F4076" w:rsidRPr="00482371">
        <w:rPr>
          <w:rFonts w:ascii="Times New Roman" w:hAnsi="Times New Roman"/>
        </w:rPr>
        <w:t>U</w:t>
      </w:r>
      <w:r w:rsidR="00C62424" w:rsidRPr="00482371">
        <w:rPr>
          <w:rFonts w:ascii="Times New Roman" w:hAnsi="Times New Roman"/>
        </w:rPr>
        <w:t>e</w:t>
      </w:r>
      <w:r w:rsidR="005A37C3" w:rsidRPr="00482371">
        <w:rPr>
          <w:rFonts w:ascii="Times New Roman" w:hAnsi="Times New Roman"/>
        </w:rPr>
        <w:t>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depending on the cell load and the solutions for RedCap and normal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411BA10C" w14:textId="2C2F30E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29037CAB" w14:textId="5CAE198F"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one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proofErr w:type="spellStart"/>
      <w:r w:rsidR="00873F16" w:rsidRPr="00482371">
        <w:rPr>
          <w:rFonts w:ascii="Times New Roman" w:hAnsi="Times New Roman"/>
        </w:rPr>
        <w:t>U</w:t>
      </w:r>
      <w:r w:rsidR="00C62424" w:rsidRPr="00482371">
        <w:rPr>
          <w:rFonts w:ascii="Times New Roman" w:hAnsi="Times New Roman"/>
        </w:rPr>
        <w:t>e</w:t>
      </w:r>
      <w:r w:rsidR="00873F16" w:rsidRPr="00482371">
        <w:rPr>
          <w:rFonts w:ascii="Times New Roman" w:hAnsi="Times New Roman"/>
        </w:rPr>
        <w:t>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5F012617"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may not support the bandwidth of the initial UL BWP configured for normal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is 50 MHz, paging configuration for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may need to be restricted if the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and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29A23AF8"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[5]</w:t>
      </w:r>
      <w:r w:rsidR="000B12C7">
        <w:rPr>
          <w:rFonts w:ascii="Times New Roman" w:hAnsi="Times New Roman"/>
        </w:rPr>
        <w:t>.</w:t>
      </w:r>
    </w:p>
    <w:p w14:paraId="7028F927" w14:textId="03EA1F48"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Msg3 transmission of the RedCap UE can be flexibly scheduled and Msg3 hopping can be enabled if dedicated initial UL BWP is configured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proofErr w:type="spellStart"/>
      <w:r w:rsidR="00F46967" w:rsidRPr="00482371">
        <w:rPr>
          <w:rFonts w:ascii="Times New Roman" w:hAnsi="Times New Roman"/>
        </w:rPr>
        <w:t>U</w:t>
      </w:r>
      <w:r w:rsidR="00C62424" w:rsidRPr="00482371">
        <w:rPr>
          <w:rFonts w:ascii="Times New Roman" w:hAnsi="Times New Roman"/>
        </w:rPr>
        <w:t>e</w:t>
      </w:r>
      <w:r w:rsidR="00F46967" w:rsidRPr="00482371">
        <w:rPr>
          <w:rFonts w:ascii="Times New Roman" w:hAnsi="Times New Roman"/>
        </w:rPr>
        <w:t>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6AC7320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[10]</w:t>
      </w:r>
      <w:r w:rsidR="000B12C7">
        <w:rPr>
          <w:rFonts w:ascii="Times New Roman" w:hAnsi="Times New Roman"/>
        </w:rPr>
        <w:t>.</w:t>
      </w:r>
    </w:p>
    <w:p w14:paraId="2E6A8722" w14:textId="5F1439E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(as well as common UL BWP shared with normal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[10]</w:t>
      </w:r>
      <w:r w:rsidR="000B12C7">
        <w:rPr>
          <w:rFonts w:ascii="Times New Roman" w:hAnsi="Times New Roman"/>
        </w:rPr>
        <w:t>.</w:t>
      </w:r>
    </w:p>
    <w:p w14:paraId="47CEDD0C" w14:textId="0B95EE2F"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22BF66E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maximum UE bandwidth of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proofErr w:type="spellStart"/>
      <w:r w:rsidR="006539AA" w:rsidRPr="00482371">
        <w:rPr>
          <w:rFonts w:ascii="Times New Roman" w:hAnsi="Times New Roman"/>
        </w:rPr>
        <w:t>U</w:t>
      </w:r>
      <w:r w:rsidR="00C62424" w:rsidRPr="00482371">
        <w:rPr>
          <w:rFonts w:ascii="Times New Roman" w:hAnsi="Times New Roman"/>
        </w:rPr>
        <w:t>e</w:t>
      </w:r>
      <w:r w:rsidR="006539AA" w:rsidRPr="00482371">
        <w:rPr>
          <w:rFonts w:ascii="Times New Roman" w:hAnsi="Times New Roman"/>
        </w:rPr>
        <w:t>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xml:space="preserve"> is 50 MHz, to guarantee the performance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[27]</w:t>
      </w:r>
      <w:r w:rsidR="003847B2">
        <w:rPr>
          <w:rFonts w:ascii="Times New Roman" w:hAnsi="Times New Roman"/>
        </w:rPr>
        <w:t>.</w:t>
      </w:r>
    </w:p>
    <w:p w14:paraId="70BB5BEE" w14:textId="06C207F1"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proofErr w:type="spellStart"/>
      <w:r w:rsidR="000B62BC" w:rsidRPr="00482371">
        <w:rPr>
          <w:rFonts w:ascii="Times New Roman" w:hAnsi="Times New Roman"/>
        </w:rPr>
        <w:t>U</w:t>
      </w:r>
      <w:r w:rsidR="00C62424" w:rsidRPr="00482371">
        <w:rPr>
          <w:rFonts w:ascii="Times New Roman" w:hAnsi="Times New Roman"/>
        </w:rPr>
        <w:t>e</w:t>
      </w:r>
      <w:r w:rsidR="000B62BC" w:rsidRPr="00482371">
        <w:rPr>
          <w:rFonts w:ascii="Times New Roman" w:hAnsi="Times New Roman"/>
        </w:rPr>
        <w:t>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For example, the above-mentioned bandwidth is larger than the supportable maximum bandwidth of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proofErr w:type="spellStart"/>
      <w:r w:rsidR="00AA2588" w:rsidRPr="00482371">
        <w:rPr>
          <w:rFonts w:ascii="Times New Roman" w:hAnsi="Times New Roman"/>
        </w:rPr>
        <w:t>U</w:t>
      </w:r>
      <w:r w:rsidR="00C62424" w:rsidRPr="00482371">
        <w:rPr>
          <w:rFonts w:ascii="Times New Roman" w:hAnsi="Times New Roman"/>
        </w:rPr>
        <w:t>e</w:t>
      </w:r>
      <w:r w:rsidR="00AA2588" w:rsidRPr="00482371">
        <w:rPr>
          <w:rFonts w:ascii="Times New Roman" w:hAnsi="Times New Roman"/>
        </w:rPr>
        <w:t>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FDD </w:t>
      </w:r>
      <w:proofErr w:type="spellStart"/>
      <w:r w:rsidR="005965DB" w:rsidRPr="00482371">
        <w:rPr>
          <w:b/>
          <w:bCs/>
        </w:rPr>
        <w:t>U</w:t>
      </w:r>
      <w:r w:rsidR="00C62424" w:rsidRPr="00482371">
        <w:rPr>
          <w:b/>
          <w:bCs/>
        </w:rPr>
        <w:t>e</w:t>
      </w:r>
      <w:r w:rsidR="005965DB" w:rsidRPr="00482371">
        <w:rPr>
          <w:b/>
          <w:bCs/>
        </w:rPr>
        <w:t>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lastRenderedPageBreak/>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lastRenderedPageBreak/>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lastRenderedPageBreak/>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hint="eastAsia"/>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hint="eastAsia"/>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is expected to be at least as good as that of FD-FDD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05B26465" w:rsidR="00090EF0" w:rsidRPr="000E647A" w:rsidRDefault="00090EF0" w:rsidP="00090EF0">
      <w:pPr>
        <w:pStyle w:val="Heading3"/>
      </w:pPr>
      <w:bookmarkStart w:id="56" w:name="_Toc42165612"/>
      <w:bookmarkStart w:id="57" w:name="_Toc51768547"/>
      <w:bookmarkStart w:id="58" w:name="_Toc51771054"/>
      <w:r>
        <w:lastRenderedPageBreak/>
        <w:t>7</w:t>
      </w:r>
      <w:r w:rsidRPr="000E647A">
        <w:t>.</w:t>
      </w:r>
      <w:r>
        <w:t>4</w:t>
      </w:r>
      <w:r w:rsidRPr="000E647A">
        <w:t>.4</w:t>
      </w:r>
      <w:r w:rsidRPr="000E647A">
        <w:tab/>
        <w:t xml:space="preserve">Analysis of </w:t>
      </w:r>
      <w:r>
        <w:t xml:space="preserve">coexistence with legacy </w:t>
      </w:r>
      <w:proofErr w:type="spellStart"/>
      <w:r>
        <w:t>U</w:t>
      </w:r>
      <w:r w:rsidR="00C62424">
        <w:t>e</w:t>
      </w:r>
      <w:r>
        <w:t>s</w:t>
      </w:r>
      <w:bookmarkEnd w:id="56"/>
      <w:bookmarkEnd w:id="57"/>
      <w:bookmarkEnd w:id="58"/>
      <w:proofErr w:type="spellEnd"/>
    </w:p>
    <w:p w14:paraId="16D4D08B" w14:textId="5C63019D"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proofErr w:type="spellStart"/>
      <w:r w:rsidR="00EE06DB" w:rsidRPr="00A63519">
        <w:rPr>
          <w:rFonts w:ascii="Times New Roman" w:hAnsi="Times New Roman"/>
        </w:rPr>
        <w:t>U</w:t>
      </w:r>
      <w:r w:rsidR="00C62424" w:rsidRPr="00A63519">
        <w:rPr>
          <w:rFonts w:ascii="Times New Roman" w:hAnsi="Times New Roman"/>
        </w:rPr>
        <w:t>e</w:t>
      </w:r>
      <w:r w:rsidR="00EE06DB" w:rsidRPr="00A63519">
        <w:rPr>
          <w:rFonts w:ascii="Times New Roman" w:hAnsi="Times New Roman"/>
        </w:rPr>
        <w:t>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proofErr w:type="spellStart"/>
      <w:r w:rsidRPr="00A63519">
        <w:rPr>
          <w:lang w:val="en-US" w:eastAsia="zh-CN"/>
        </w:rPr>
        <w:t>U</w:t>
      </w:r>
      <w:r w:rsidR="00C62424" w:rsidRPr="00A63519">
        <w:rPr>
          <w:lang w:val="en-US" w:eastAsia="zh-CN"/>
        </w:rPr>
        <w:t>e</w:t>
      </w:r>
      <w:r w:rsidRPr="00A63519">
        <w:rPr>
          <w:lang w:val="en-US" w:eastAsia="zh-CN"/>
        </w:rPr>
        <w:t>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share resources with URLLC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proofErr w:type="spellStart"/>
      <w:r w:rsidR="00936958" w:rsidRPr="00A63519">
        <w:rPr>
          <w:rFonts w:ascii="Times New Roman" w:hAnsi="Times New Roman"/>
        </w:rPr>
        <w:t>U</w:t>
      </w:r>
      <w:r w:rsidR="00C62424" w:rsidRPr="00A63519">
        <w:rPr>
          <w:rFonts w:ascii="Times New Roman" w:hAnsi="Times New Roman"/>
        </w:rPr>
        <w:t>e</w:t>
      </w:r>
      <w:r w:rsidR="00936958" w:rsidRPr="00A63519">
        <w:rPr>
          <w:rFonts w:ascii="Times New Roman" w:hAnsi="Times New Roman"/>
        </w:rPr>
        <w:t>s</w:t>
      </w:r>
      <w:proofErr w:type="spellEnd"/>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proofErr w:type="spellStart"/>
      <w:r w:rsidR="004C30CD" w:rsidRPr="00482371">
        <w:rPr>
          <w:b/>
          <w:bCs/>
        </w:rPr>
        <w:t>U</w:t>
      </w:r>
      <w:r w:rsidR="00C62424" w:rsidRPr="00482371">
        <w:rPr>
          <w:b/>
          <w:bCs/>
        </w:rPr>
        <w:t>e</w:t>
      </w:r>
      <w:r w:rsidR="004C30CD" w:rsidRPr="00482371">
        <w:rPr>
          <w:b/>
          <w:bCs/>
        </w:rPr>
        <w:t>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3947E605"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proofErr w:type="spellStart"/>
            <w:r w:rsidR="00084446">
              <w:rPr>
                <w:rFonts w:eastAsia="DengXian"/>
                <w:lang w:val="en-US" w:eastAsia="zh-CN"/>
              </w:rPr>
              <w:t>U</w:t>
            </w:r>
            <w:r w:rsidR="00C62424">
              <w:rPr>
                <w:rFonts w:eastAsia="DengXian"/>
                <w:lang w:val="en-US" w:eastAsia="zh-CN"/>
              </w:rPr>
              <w:t>e</w:t>
            </w:r>
            <w:r w:rsidR="00084446">
              <w:rPr>
                <w:rFonts w:eastAsia="DengXian"/>
                <w:lang w:val="en-US" w:eastAsia="zh-CN"/>
              </w:rPr>
              <w:t>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lastRenderedPageBreak/>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hint="eastAsia"/>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hint="eastAsia"/>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11DA3553"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 xml:space="preserve">coexistence with legacy </w:t>
      </w:r>
      <w:proofErr w:type="spellStart"/>
      <w:r>
        <w:t>U</w:t>
      </w:r>
      <w:r w:rsidR="00C62424">
        <w:t>e</w:t>
      </w:r>
      <w:r>
        <w:t>s</w:t>
      </w:r>
      <w:bookmarkEnd w:id="74"/>
      <w:bookmarkEnd w:id="75"/>
      <w:bookmarkEnd w:id="76"/>
      <w:proofErr w:type="spellEnd"/>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Pr="00ED3FEA">
        <w:t>U</w:t>
      </w:r>
      <w:r w:rsidR="00C62424" w:rsidRPr="00ED3FEA">
        <w:t>e</w:t>
      </w:r>
      <w:r w:rsidRPr="00ED3FEA">
        <w:t>s</w:t>
      </w:r>
      <w:proofErr w:type="spellEnd"/>
      <w:r w:rsidRPr="00ED3FEA">
        <w:t>.</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t>
      </w:r>
      <w:proofErr w:type="spellStart"/>
      <w:r w:rsidRPr="00ED3FEA">
        <w:rPr>
          <w:lang w:eastAsia="ja-JP"/>
        </w:rPr>
        <w:t>RedCap</w:t>
      </w:r>
      <w:proofErr w:type="spellEnd"/>
      <w:r w:rsidRPr="00ED3FEA">
        <w:rPr>
          <w:lang w:eastAsia="ja-JP"/>
        </w:rPr>
        <w:t xml:space="preserve">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processing time in a cell, it would schedule according to the worst-case timing which would degrade the performance of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proofErr w:type="spellStart"/>
      <w:r w:rsidR="00991199" w:rsidRPr="00ED3FEA">
        <w:rPr>
          <w:rFonts w:eastAsia="Times New Roman"/>
        </w:rPr>
        <w:t>U</w:t>
      </w:r>
      <w:r w:rsidR="00C62424" w:rsidRPr="00ED3FEA">
        <w:rPr>
          <w:rFonts w:eastAsia="Times New Roman"/>
        </w:rPr>
        <w:t>e</w:t>
      </w:r>
      <w:r w:rsidR="00991199" w:rsidRPr="00ED3FEA">
        <w:rPr>
          <w:rFonts w:eastAsia="Times New Roman"/>
        </w:rPr>
        <w:t>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proofErr w:type="spellStart"/>
      <w:r w:rsidRPr="00ED3FEA">
        <w:rPr>
          <w:rFonts w:eastAsia="Times New Roman"/>
        </w:rPr>
        <w:t>U</w:t>
      </w:r>
      <w:r w:rsidR="00C62424" w:rsidRPr="00ED3FEA">
        <w:rPr>
          <w:rFonts w:eastAsia="Times New Roman"/>
        </w:rPr>
        <w:t>e</w:t>
      </w:r>
      <w:r w:rsidRPr="00ED3FEA">
        <w:rPr>
          <w:rFonts w:eastAsia="Times New Roman"/>
        </w:rPr>
        <w:t>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proofErr w:type="spellStart"/>
      <w:r w:rsidR="00C70C86">
        <w:rPr>
          <w:b/>
          <w:bCs/>
        </w:rPr>
        <w:t>U</w:t>
      </w:r>
      <w:r w:rsidR="00C62424">
        <w:rPr>
          <w:b/>
          <w:bCs/>
        </w:rPr>
        <w:t>e</w:t>
      </w:r>
      <w:r w:rsidR="00C70C86">
        <w:rPr>
          <w:b/>
          <w:bCs/>
        </w:rPr>
        <w:t>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w:t>
            </w:r>
            <w:r>
              <w:rPr>
                <w:rFonts w:eastAsia="DengXian"/>
                <w:lang w:val="en-US" w:eastAsia="zh-CN"/>
              </w:rPr>
              <w:lastRenderedPageBreak/>
              <w:t xml:space="preserve">support to recommend relaxed UE processing time for RedCap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lastRenderedPageBreak/>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hint="eastAsia"/>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hint="eastAsia"/>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 xml:space="preserve">coexistence with legacy </w:t>
      </w:r>
      <w:proofErr w:type="spellStart"/>
      <w:r>
        <w:t>U</w:t>
      </w:r>
      <w:r w:rsidR="00C62424">
        <w:t>e</w:t>
      </w:r>
      <w:r>
        <w:t>s</w:t>
      </w:r>
      <w:bookmarkEnd w:id="89"/>
      <w:bookmarkEnd w:id="90"/>
      <w:bookmarkEnd w:id="91"/>
      <w:proofErr w:type="spellEnd"/>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proofErr w:type="spellStart"/>
      <w:r w:rsidR="009F19EB" w:rsidRPr="000962AC">
        <w:rPr>
          <w:b/>
          <w:bCs/>
        </w:rPr>
        <w:t>U</w:t>
      </w:r>
      <w:r w:rsidR="00C62424" w:rsidRPr="000962AC">
        <w:rPr>
          <w:b/>
          <w:bCs/>
        </w:rPr>
        <w:t>e</w:t>
      </w:r>
      <w:r w:rsidR="009F19EB" w:rsidRPr="000962AC">
        <w:rPr>
          <w:b/>
          <w:bCs/>
        </w:rPr>
        <w:t>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13FA4512"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6B6DB260" w14:textId="2968788C"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25DBAAF9"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1880896"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1AA3646F" w14:textId="45EB4C41"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p w14:paraId="0950B425" w14:textId="1E021608"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0344543E"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6A45A3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44D493D1" w14:textId="38741B2D"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hint="eastAsia"/>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hint="eastAsia"/>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E4BC3F6"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proofErr w:type="spellStart"/>
      <w:r>
        <w:t>U</w:t>
      </w:r>
      <w:r w:rsidR="00C62424">
        <w:t>e</w:t>
      </w:r>
      <w:r>
        <w:t>s</w:t>
      </w:r>
      <w:proofErr w:type="spellEnd"/>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proofErr w:type="spellStart"/>
      <w:r w:rsidR="00F84144" w:rsidRPr="00ED3FEA">
        <w:rPr>
          <w:rFonts w:ascii="Times New Roman" w:hAnsi="Times New Roman"/>
        </w:rPr>
        <w:t>U</w:t>
      </w:r>
      <w:r w:rsidR="00C62424" w:rsidRPr="00ED3FEA">
        <w:rPr>
          <w:rFonts w:ascii="Times New Roman" w:hAnsi="Times New Roman"/>
        </w:rPr>
        <w:t>e</w:t>
      </w:r>
      <w:r w:rsidR="00F84144" w:rsidRPr="00ED3FEA">
        <w:rPr>
          <w:rFonts w:ascii="Times New Roman" w:hAnsi="Times New Roman"/>
        </w:rPr>
        <w:t>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proofErr w:type="spellStart"/>
      <w:r w:rsidRPr="00ED3FEA">
        <w:rPr>
          <w:rFonts w:ascii="Times New Roman" w:hAnsi="Times New Roman"/>
        </w:rPr>
        <w:t>U</w:t>
      </w:r>
      <w:r w:rsidR="00C62424" w:rsidRPr="00ED3FEA">
        <w:rPr>
          <w:rFonts w:ascii="Times New Roman" w:hAnsi="Times New Roman"/>
        </w:rPr>
        <w:t>e</w:t>
      </w:r>
      <w:r w:rsidR="0007562D" w:rsidRPr="00ED3FEA">
        <w:rPr>
          <w:rFonts w:ascii="Times New Roman" w:hAnsi="Times New Roman"/>
        </w:rPr>
        <w:t>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proofErr w:type="spellStart"/>
      <w:r w:rsidR="00381F68" w:rsidRPr="00ED3FEA">
        <w:rPr>
          <w:rFonts w:ascii="Times New Roman" w:hAnsi="Times New Roman"/>
        </w:rPr>
        <w:t>U</w:t>
      </w:r>
      <w:r w:rsidR="00C62424"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proofErr w:type="spellStart"/>
      <w:r w:rsidR="00845E8C" w:rsidRPr="000962AC">
        <w:rPr>
          <w:b/>
          <w:bCs/>
        </w:rPr>
        <w:t>U</w:t>
      </w:r>
      <w:r w:rsidR="00C62424" w:rsidRPr="000962AC">
        <w:rPr>
          <w:b/>
          <w:bCs/>
        </w:rPr>
        <w:t>e</w:t>
      </w:r>
      <w:r w:rsidR="00845E8C" w:rsidRPr="000962AC">
        <w:rPr>
          <w:b/>
          <w:bCs/>
        </w:rPr>
        <w:t>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proofErr w:type="spellStart"/>
            <w:r>
              <w:rPr>
                <w:lang w:val="en-US" w:eastAsia="ko-KR"/>
              </w:rPr>
              <w:t>U</w:t>
            </w:r>
            <w:r w:rsidR="00C62424">
              <w:rPr>
                <w:lang w:val="en-US" w:eastAsia="ko-KR"/>
              </w:rPr>
              <w:t>e</w:t>
            </w:r>
            <w:r>
              <w:rPr>
                <w:lang w:val="en-US" w:eastAsia="ko-KR"/>
              </w:rPr>
              <w:t>s</w:t>
            </w:r>
            <w:proofErr w:type="spellEnd"/>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lastRenderedPageBreak/>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 xml:space="preserve">Simplifying features that are mandatory for mandatory for Rel-15 NR </w:t>
      </w:r>
      <w:proofErr w:type="spellStart"/>
      <w:r w:rsidRPr="00ED3FEA">
        <w:rPr>
          <w:rFonts w:ascii="Times New Roman" w:hAnsi="Times New Roman"/>
        </w:rPr>
        <w:t>U</w:t>
      </w:r>
      <w:r w:rsidR="00F65727"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proofErr w:type="spellStart"/>
      <w:r w:rsidR="00381F68" w:rsidRPr="00ED3FEA">
        <w:rPr>
          <w:rFonts w:ascii="Times New Roman" w:hAnsi="Times New Roman"/>
        </w:rPr>
        <w:t>U</w:t>
      </w:r>
      <w:r w:rsidR="00F65727"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 xml:space="preserve">)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proofErr w:type="spellStart"/>
      <w:r>
        <w:t>U</w:t>
      </w:r>
      <w:r w:rsidR="00F65727">
        <w:t>e</w:t>
      </w:r>
      <w:r>
        <w:t>s</w:t>
      </w:r>
      <w:proofErr w:type="spellEnd"/>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lastRenderedPageBreak/>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lastRenderedPageBreak/>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w:t>
            </w:r>
            <w:r w:rsidRPr="00396510">
              <w:rPr>
                <w:rFonts w:ascii="Times New Roman" w:hAnsi="Times New Roman" w:cs="Times New Roman"/>
                <w:sz w:val="20"/>
                <w:szCs w:val="20"/>
                <w:lang w:val="en-US"/>
              </w:rPr>
              <w:t xml:space="preserve">Half Duplex </w:t>
            </w:r>
            <w:r w:rsidRPr="00396510">
              <w:rPr>
                <w:rFonts w:ascii="Times New Roman" w:hAnsi="Times New Roman" w:cs="Times New Roman"/>
                <w:sz w:val="20"/>
                <w:szCs w:val="20"/>
                <w:lang w:val="en-US"/>
              </w:rPr>
              <w:t>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77F2E"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77F2E"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77F2E"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77F2E"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77F2E"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77F2E"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77F2E"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77F2E"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77F2E"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77F2E"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77F2E"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77F2E"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77F2E"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77F2E"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77F2E"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77F2E"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77F2E"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77F2E"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D77F2E"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77F2E"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77F2E"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77F2E"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77F2E"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77F2E"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77F2E"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77F2E"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77F2E"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77F2E"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77F2E"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77F2E"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77F2E"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77F2E"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77F2E"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77F2E"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77F2E"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77F2E"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77F2E"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77F2E"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6EB7B" w14:textId="77777777" w:rsidR="00661B4D" w:rsidRDefault="00661B4D" w:rsidP="00581A60">
      <w:pPr>
        <w:spacing w:after="0"/>
      </w:pPr>
      <w:r>
        <w:separator/>
      </w:r>
    </w:p>
  </w:endnote>
  <w:endnote w:type="continuationSeparator" w:id="0">
    <w:p w14:paraId="2BC514EB" w14:textId="77777777" w:rsidR="00661B4D" w:rsidRDefault="00661B4D" w:rsidP="00581A60">
      <w:pPr>
        <w:spacing w:after="0"/>
      </w:pPr>
      <w:r>
        <w:continuationSeparator/>
      </w:r>
    </w:p>
  </w:endnote>
  <w:endnote w:type="continuationNotice" w:id="1">
    <w:p w14:paraId="64DD0974" w14:textId="77777777" w:rsidR="00661B4D" w:rsidRDefault="00661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5E300" w14:textId="77777777" w:rsidR="00661B4D" w:rsidRDefault="00661B4D" w:rsidP="00581A60">
      <w:pPr>
        <w:spacing w:after="0"/>
      </w:pPr>
      <w:r>
        <w:separator/>
      </w:r>
    </w:p>
  </w:footnote>
  <w:footnote w:type="continuationSeparator" w:id="0">
    <w:p w14:paraId="7461D323" w14:textId="77777777" w:rsidR="00661B4D" w:rsidRDefault="00661B4D" w:rsidP="00581A60">
      <w:pPr>
        <w:spacing w:after="0"/>
      </w:pPr>
      <w:r>
        <w:continuationSeparator/>
      </w:r>
    </w:p>
  </w:footnote>
  <w:footnote w:type="continuationNotice" w:id="1">
    <w:p w14:paraId="2DD94BD7" w14:textId="77777777" w:rsidR="00661B4D" w:rsidRDefault="00661B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C7FC4"/>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D113A3-DBD1-48D8-8AC8-2BE698E7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25008</Words>
  <Characters>142549</Characters>
  <Application>Microsoft Office Word</Application>
  <DocSecurity>0</DocSecurity>
  <Lines>1187</Lines>
  <Paragraphs>334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2</cp:revision>
  <dcterms:created xsi:type="dcterms:W3CDTF">2020-10-28T07:37:00Z</dcterms:created>
  <dcterms:modified xsi:type="dcterms:W3CDTF">2020-10-28T07:37:00Z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