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 xml:space="preserve">uawei, </w:t>
            </w:r>
            <w:proofErr w:type="spellStart"/>
            <w:r w:rsidRPr="0058288B">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Actually, the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86CF9" w14:paraId="2511C809"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BB16" w14:textId="45176E28"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7510CA" w14:textId="2EE9DD95" w:rsidR="00686CF9" w:rsidRDefault="00686CF9" w:rsidP="00686CF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251ADF" w14:paraId="72596DFC" w14:textId="77777777" w:rsidTr="00251AD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BBAB6" w14:textId="77777777" w:rsidR="00251ADF" w:rsidRPr="00251ADF" w:rsidRDefault="00251ADF" w:rsidP="00850CA5">
            <w:pPr>
              <w:spacing w:after="0"/>
              <w:rPr>
                <w:lang w:val="sv-SE" w:eastAsia="zh-CN"/>
              </w:rPr>
            </w:pPr>
            <w:r w:rsidRPr="00251ADF">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1D6A3DF" w14:textId="77777777" w:rsidR="00251ADF" w:rsidRPr="00251ADF" w:rsidRDefault="00251ADF" w:rsidP="00850CA5">
            <w:pPr>
              <w:overflowPunct/>
              <w:autoSpaceDE/>
              <w:adjustRightInd/>
              <w:spacing w:after="0"/>
              <w:rPr>
                <w:szCs w:val="22"/>
                <w:lang w:eastAsia="zh-CN"/>
              </w:rPr>
            </w:pPr>
            <w:r w:rsidRPr="00251ADF">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345099" r:id="rId16"/>
                    </w:object>
                  </w:r>
                  <w:r>
                    <w:t xml:space="preserve">should be updated since it is defined as </w:t>
                  </w:r>
                  <w:r>
                    <w:rPr>
                      <w:rFonts w:ascii="Times New Roman" w:hAnsi="Times New Roman"/>
                      <w:position w:val="-12"/>
                    </w:rPr>
                    <w:object w:dxaOrig="1740" w:dyaOrig="375" w14:anchorId="7A8FF72A">
                      <v:shape id="_x0000_i1026" type="#_x0000_t75" style="width:87.75pt;height:18pt" o:ole="">
                        <v:imagedata r:id="rId17" o:title=""/>
                      </v:shape>
                      <o:OLEObject Type="Embed" ProgID="Equation.3" ShapeID="_x0000_i1026" DrawAspect="Content" ObjectID="_166534510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TW"/>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686CF9" w14:paraId="5AB818A6" w14:textId="77777777" w:rsidTr="00231EEB">
                                    <w:tc>
                                      <w:tcPr>
                                        <w:tcW w:w="1129" w:type="dxa"/>
                                      </w:tcPr>
                                      <w:p w14:paraId="7F2EB2AC" w14:textId="77777777" w:rsidR="00686CF9" w:rsidRDefault="00686CF9" w:rsidP="00231EEB">
                                        <w:pPr>
                                          <w:rPr>
                                            <w:lang w:val="sv-SE"/>
                                          </w:rPr>
                                        </w:pPr>
                                        <w:r>
                                          <w:rPr>
                                            <w:lang w:val="sv-SE"/>
                                          </w:rPr>
                                          <w:t>SCS</w:t>
                                        </w:r>
                                      </w:p>
                                    </w:tc>
                                    <w:tc>
                                      <w:tcPr>
                                        <w:tcW w:w="6946" w:type="dxa"/>
                                      </w:tcPr>
                                      <w:p w14:paraId="3D89636D" w14:textId="77777777" w:rsidR="00686CF9" w:rsidRDefault="00686CF9" w:rsidP="00231EEB">
                                        <w:pPr>
                                          <w:rPr>
                                            <w:lang w:val="sv-SE"/>
                                          </w:rPr>
                                        </w:pPr>
                                        <w:r>
                                          <w:rPr>
                                            <w:lang w:val="sv-SE"/>
                                          </w:rPr>
                                          <w:t>PHY impact (other than common impact for unlicensed support)</w:t>
                                        </w:r>
                                      </w:p>
                                    </w:tc>
                                  </w:tr>
                                  <w:tr w:rsidR="00686CF9" w14:paraId="1CB1B3E9" w14:textId="77777777" w:rsidTr="00231EEB">
                                    <w:tc>
                                      <w:tcPr>
                                        <w:tcW w:w="1129" w:type="dxa"/>
                                      </w:tcPr>
                                      <w:p w14:paraId="63968027" w14:textId="77777777" w:rsidR="00686CF9" w:rsidRDefault="00686CF9" w:rsidP="00231EEB">
                                        <w:pPr>
                                          <w:rPr>
                                            <w:lang w:val="sv-SE"/>
                                          </w:rPr>
                                        </w:pPr>
                                        <w:r>
                                          <w:rPr>
                                            <w:rFonts w:hint="eastAsia"/>
                                            <w:lang w:val="sv-SE"/>
                                          </w:rPr>
                                          <w:t>120 kHz</w:t>
                                        </w:r>
                                      </w:p>
                                    </w:tc>
                                    <w:tc>
                                      <w:tcPr>
                                        <w:tcW w:w="6946" w:type="dxa"/>
                                      </w:tcPr>
                                      <w:p w14:paraId="1FBF4EEE" w14:textId="77777777" w:rsidR="00686CF9" w:rsidRPr="0058288B" w:rsidRDefault="00686CF9"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686CF9" w:rsidRPr="0058288B" w:rsidRDefault="00686CF9"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686CF9" w:rsidRPr="0058288B" w:rsidRDefault="00686CF9"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686CF9" w:rsidRPr="004C4CED" w14:paraId="1925C7E7" w14:textId="77777777" w:rsidTr="00231EEB">
                                    <w:tc>
                                      <w:tcPr>
                                        <w:tcW w:w="1129" w:type="dxa"/>
                                      </w:tcPr>
                                      <w:p w14:paraId="684FACC3" w14:textId="77777777" w:rsidR="00686CF9" w:rsidRDefault="00686CF9" w:rsidP="00231EEB">
                                        <w:pPr>
                                          <w:rPr>
                                            <w:lang w:val="sv-SE"/>
                                          </w:rPr>
                                        </w:pPr>
                                        <w:r>
                                          <w:rPr>
                                            <w:rFonts w:hint="eastAsia"/>
                                            <w:lang w:val="sv-SE"/>
                                          </w:rPr>
                                          <w:t>240 kHz</w:t>
                                        </w:r>
                                      </w:p>
                                    </w:tc>
                                    <w:tc>
                                      <w:tcPr>
                                        <w:tcW w:w="6946" w:type="dxa"/>
                                      </w:tcPr>
                                      <w:p w14:paraId="53A39ABE" w14:textId="77777777" w:rsidR="00686CF9" w:rsidRPr="0058288B" w:rsidRDefault="00686CF9"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75B0A1E3"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686CF9" w:rsidRPr="0058288B" w:rsidRDefault="00686CF9" w:rsidP="00231EEB">
                                        <w:pPr>
                                          <w:spacing w:before="0" w:after="0" w:line="240" w:lineRule="auto"/>
                                          <w:rPr>
                                            <w:sz w:val="18"/>
                                            <w:szCs w:val="18"/>
                                          </w:rPr>
                                        </w:pPr>
                                        <w:r w:rsidRPr="0058288B">
                                          <w:rPr>
                                            <w:sz w:val="18"/>
                                            <w:szCs w:val="18"/>
                                          </w:rPr>
                                          <w:t>- PDCCH Monitoring</w:t>
                                        </w:r>
                                      </w:p>
                                      <w:p w14:paraId="5F2B3F3C" w14:textId="77777777" w:rsidR="00686CF9" w:rsidRPr="0058288B" w:rsidRDefault="00686CF9" w:rsidP="00231EEB">
                                        <w:pPr>
                                          <w:spacing w:before="0" w:after="0" w:line="240" w:lineRule="auto"/>
                                          <w:rPr>
                                            <w:sz w:val="18"/>
                                            <w:szCs w:val="18"/>
                                            <w:lang w:val="sv-SE"/>
                                          </w:rPr>
                                        </w:pPr>
                                        <w:r w:rsidRPr="0058288B">
                                          <w:rPr>
                                            <w:sz w:val="18"/>
                                            <w:szCs w:val="18"/>
                                          </w:rPr>
                                          <w:t>- HARQ process</w:t>
                                        </w:r>
                                      </w:p>
                                    </w:tc>
                                  </w:tr>
                                  <w:tr w:rsidR="00686CF9" w:rsidRPr="004C4CED" w14:paraId="71949E69" w14:textId="77777777" w:rsidTr="00231EEB">
                                    <w:tc>
                                      <w:tcPr>
                                        <w:tcW w:w="1129" w:type="dxa"/>
                                      </w:tcPr>
                                      <w:p w14:paraId="597299FF" w14:textId="77777777" w:rsidR="00686CF9" w:rsidRDefault="00686CF9" w:rsidP="00231EEB">
                                        <w:pPr>
                                          <w:rPr>
                                            <w:lang w:val="sv-SE"/>
                                          </w:rPr>
                                        </w:pPr>
                                        <w:r>
                                          <w:rPr>
                                            <w:rFonts w:hint="eastAsia"/>
                                            <w:lang w:val="sv-SE"/>
                                          </w:rPr>
                                          <w:t>480 k</w:t>
                                        </w:r>
                                        <w:r>
                                          <w:rPr>
                                            <w:lang w:val="sv-SE"/>
                                          </w:rPr>
                                          <w:t>Hz</w:t>
                                        </w:r>
                                      </w:p>
                                    </w:tc>
                                    <w:tc>
                                      <w:tcPr>
                                        <w:tcW w:w="6946" w:type="dxa"/>
                                      </w:tcPr>
                                      <w:p w14:paraId="1C8AA481" w14:textId="7DFA83D0" w:rsidR="00686CF9" w:rsidRPr="0058288B" w:rsidRDefault="00686CF9"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594E2B15"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60F7592A"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686CF9" w:rsidRPr="00864C4A" w:rsidRDefault="00686CF9" w:rsidP="00231EEB">
                                        <w:pPr>
                                          <w:spacing w:before="0" w:after="0" w:line="240" w:lineRule="auto"/>
                                          <w:rPr>
                                            <w:sz w:val="18"/>
                                            <w:szCs w:val="18"/>
                                          </w:rPr>
                                        </w:pPr>
                                        <w:r w:rsidRPr="0058288B">
                                          <w:rPr>
                                            <w:sz w:val="18"/>
                                            <w:szCs w:val="18"/>
                                          </w:rPr>
                                          <w:t>- PDCCH Monitoring</w:t>
                                        </w:r>
                                      </w:p>
                                    </w:tc>
                                  </w:tr>
                                  <w:tr w:rsidR="00686CF9" w:rsidRPr="004C4CED" w14:paraId="364E29B9" w14:textId="77777777" w:rsidTr="00231EEB">
                                    <w:tc>
                                      <w:tcPr>
                                        <w:tcW w:w="1129" w:type="dxa"/>
                                      </w:tcPr>
                                      <w:p w14:paraId="6D8E1AC7" w14:textId="77777777" w:rsidR="00686CF9" w:rsidRDefault="00686CF9" w:rsidP="00231EEB">
                                        <w:pPr>
                                          <w:rPr>
                                            <w:lang w:val="sv-SE"/>
                                          </w:rPr>
                                        </w:pPr>
                                        <w:r>
                                          <w:rPr>
                                            <w:rFonts w:hint="eastAsia"/>
                                            <w:lang w:val="sv-SE"/>
                                          </w:rPr>
                                          <w:t>960 kHz</w:t>
                                        </w:r>
                                      </w:p>
                                    </w:tc>
                                    <w:tc>
                                      <w:tcPr>
                                        <w:tcW w:w="6946" w:type="dxa"/>
                                      </w:tcPr>
                                      <w:p w14:paraId="7FA62F36" w14:textId="02C94220" w:rsidR="00686CF9" w:rsidRPr="0058288B" w:rsidRDefault="00686CF9"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0F987E97"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2A6390B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686CF9" w:rsidRPr="0014669A" w:rsidRDefault="00686CF9" w:rsidP="00231EEB">
                                        <w:pPr>
                                          <w:spacing w:before="0" w:after="0" w:line="240" w:lineRule="auto"/>
                                          <w:rPr>
                                            <w:sz w:val="18"/>
                                            <w:szCs w:val="18"/>
                                          </w:rPr>
                                        </w:pPr>
                                        <w:r w:rsidRPr="0058288B">
                                          <w:rPr>
                                            <w:sz w:val="18"/>
                                            <w:szCs w:val="18"/>
                                          </w:rPr>
                                          <w:t>- PDCCH Monitoring</w:t>
                                        </w:r>
                                      </w:p>
                                    </w:tc>
                                  </w:tr>
                                </w:tbl>
                                <w:p w14:paraId="6FA37EC9" w14:textId="77777777" w:rsidR="00686CF9" w:rsidRPr="0058288B" w:rsidRDefault="00686CF9"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686CF9" w14:paraId="5AB818A6" w14:textId="77777777" w:rsidTr="00231EEB">
                              <w:tc>
                                <w:tcPr>
                                  <w:tcW w:w="1129" w:type="dxa"/>
                                </w:tcPr>
                                <w:p w14:paraId="7F2EB2AC" w14:textId="77777777" w:rsidR="00686CF9" w:rsidRDefault="00686CF9" w:rsidP="00231EEB">
                                  <w:pPr>
                                    <w:rPr>
                                      <w:lang w:val="sv-SE"/>
                                    </w:rPr>
                                  </w:pPr>
                                  <w:r>
                                    <w:rPr>
                                      <w:lang w:val="sv-SE"/>
                                    </w:rPr>
                                    <w:t>SCS</w:t>
                                  </w:r>
                                </w:p>
                              </w:tc>
                              <w:tc>
                                <w:tcPr>
                                  <w:tcW w:w="6946" w:type="dxa"/>
                                </w:tcPr>
                                <w:p w14:paraId="3D89636D" w14:textId="77777777" w:rsidR="00686CF9" w:rsidRDefault="00686CF9" w:rsidP="00231EEB">
                                  <w:pPr>
                                    <w:rPr>
                                      <w:lang w:val="sv-SE"/>
                                    </w:rPr>
                                  </w:pPr>
                                  <w:r>
                                    <w:rPr>
                                      <w:lang w:val="sv-SE"/>
                                    </w:rPr>
                                    <w:t>PHY impact (other than common impact for unlicensed support)</w:t>
                                  </w:r>
                                </w:p>
                              </w:tc>
                            </w:tr>
                            <w:tr w:rsidR="00686CF9" w14:paraId="1CB1B3E9" w14:textId="77777777" w:rsidTr="00231EEB">
                              <w:tc>
                                <w:tcPr>
                                  <w:tcW w:w="1129" w:type="dxa"/>
                                </w:tcPr>
                                <w:p w14:paraId="63968027" w14:textId="77777777" w:rsidR="00686CF9" w:rsidRDefault="00686CF9" w:rsidP="00231EEB">
                                  <w:pPr>
                                    <w:rPr>
                                      <w:lang w:val="sv-SE"/>
                                    </w:rPr>
                                  </w:pPr>
                                  <w:r>
                                    <w:rPr>
                                      <w:rFonts w:hint="eastAsia"/>
                                      <w:lang w:val="sv-SE"/>
                                    </w:rPr>
                                    <w:t>120 kHz</w:t>
                                  </w:r>
                                </w:p>
                              </w:tc>
                              <w:tc>
                                <w:tcPr>
                                  <w:tcW w:w="6946" w:type="dxa"/>
                                </w:tcPr>
                                <w:p w14:paraId="1FBF4EEE" w14:textId="77777777" w:rsidR="00686CF9" w:rsidRPr="0058288B" w:rsidRDefault="00686CF9"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686CF9" w:rsidRPr="0058288B" w:rsidRDefault="00686CF9"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686CF9" w:rsidRPr="0058288B" w:rsidRDefault="00686CF9"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686CF9" w:rsidRPr="004C4CED" w14:paraId="1925C7E7" w14:textId="77777777" w:rsidTr="00231EEB">
                              <w:tc>
                                <w:tcPr>
                                  <w:tcW w:w="1129" w:type="dxa"/>
                                </w:tcPr>
                                <w:p w14:paraId="684FACC3" w14:textId="77777777" w:rsidR="00686CF9" w:rsidRDefault="00686CF9" w:rsidP="00231EEB">
                                  <w:pPr>
                                    <w:rPr>
                                      <w:lang w:val="sv-SE"/>
                                    </w:rPr>
                                  </w:pPr>
                                  <w:r>
                                    <w:rPr>
                                      <w:rFonts w:hint="eastAsia"/>
                                      <w:lang w:val="sv-SE"/>
                                    </w:rPr>
                                    <w:t>240 kHz</w:t>
                                  </w:r>
                                </w:p>
                              </w:tc>
                              <w:tc>
                                <w:tcPr>
                                  <w:tcW w:w="6946" w:type="dxa"/>
                                </w:tcPr>
                                <w:p w14:paraId="53A39ABE" w14:textId="77777777" w:rsidR="00686CF9" w:rsidRPr="0058288B" w:rsidRDefault="00686CF9"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75B0A1E3"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686CF9" w:rsidRPr="0058288B" w:rsidRDefault="00686CF9" w:rsidP="00231EEB">
                                  <w:pPr>
                                    <w:spacing w:before="0" w:after="0" w:line="240" w:lineRule="auto"/>
                                    <w:rPr>
                                      <w:sz w:val="18"/>
                                      <w:szCs w:val="18"/>
                                    </w:rPr>
                                  </w:pPr>
                                  <w:r w:rsidRPr="0058288B">
                                    <w:rPr>
                                      <w:sz w:val="18"/>
                                      <w:szCs w:val="18"/>
                                    </w:rPr>
                                    <w:t>- PDCCH Monitoring</w:t>
                                  </w:r>
                                </w:p>
                                <w:p w14:paraId="5F2B3F3C" w14:textId="77777777" w:rsidR="00686CF9" w:rsidRPr="0058288B" w:rsidRDefault="00686CF9" w:rsidP="00231EEB">
                                  <w:pPr>
                                    <w:spacing w:before="0" w:after="0" w:line="240" w:lineRule="auto"/>
                                    <w:rPr>
                                      <w:sz w:val="18"/>
                                      <w:szCs w:val="18"/>
                                      <w:lang w:val="sv-SE"/>
                                    </w:rPr>
                                  </w:pPr>
                                  <w:r w:rsidRPr="0058288B">
                                    <w:rPr>
                                      <w:sz w:val="18"/>
                                      <w:szCs w:val="18"/>
                                    </w:rPr>
                                    <w:t>- HARQ process</w:t>
                                  </w:r>
                                </w:p>
                              </w:tc>
                            </w:tr>
                            <w:tr w:rsidR="00686CF9" w:rsidRPr="004C4CED" w14:paraId="71949E69" w14:textId="77777777" w:rsidTr="00231EEB">
                              <w:tc>
                                <w:tcPr>
                                  <w:tcW w:w="1129" w:type="dxa"/>
                                </w:tcPr>
                                <w:p w14:paraId="597299FF" w14:textId="77777777" w:rsidR="00686CF9" w:rsidRDefault="00686CF9" w:rsidP="00231EEB">
                                  <w:pPr>
                                    <w:rPr>
                                      <w:lang w:val="sv-SE"/>
                                    </w:rPr>
                                  </w:pPr>
                                  <w:r>
                                    <w:rPr>
                                      <w:rFonts w:hint="eastAsia"/>
                                      <w:lang w:val="sv-SE"/>
                                    </w:rPr>
                                    <w:t>480 k</w:t>
                                  </w:r>
                                  <w:r>
                                    <w:rPr>
                                      <w:lang w:val="sv-SE"/>
                                    </w:rPr>
                                    <w:t>Hz</w:t>
                                  </w:r>
                                </w:p>
                              </w:tc>
                              <w:tc>
                                <w:tcPr>
                                  <w:tcW w:w="6946" w:type="dxa"/>
                                </w:tcPr>
                                <w:p w14:paraId="1C8AA481" w14:textId="7DFA83D0" w:rsidR="00686CF9" w:rsidRPr="0058288B" w:rsidRDefault="00686CF9"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594E2B15"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60F7592A"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686CF9" w:rsidRPr="00864C4A" w:rsidRDefault="00686CF9" w:rsidP="00231EEB">
                                  <w:pPr>
                                    <w:spacing w:before="0" w:after="0" w:line="240" w:lineRule="auto"/>
                                    <w:rPr>
                                      <w:sz w:val="18"/>
                                      <w:szCs w:val="18"/>
                                    </w:rPr>
                                  </w:pPr>
                                  <w:r w:rsidRPr="0058288B">
                                    <w:rPr>
                                      <w:sz w:val="18"/>
                                      <w:szCs w:val="18"/>
                                    </w:rPr>
                                    <w:t>- PDCCH Monitoring</w:t>
                                  </w:r>
                                </w:p>
                              </w:tc>
                            </w:tr>
                            <w:tr w:rsidR="00686CF9" w:rsidRPr="004C4CED" w14:paraId="364E29B9" w14:textId="77777777" w:rsidTr="00231EEB">
                              <w:tc>
                                <w:tcPr>
                                  <w:tcW w:w="1129" w:type="dxa"/>
                                </w:tcPr>
                                <w:p w14:paraId="6D8E1AC7" w14:textId="77777777" w:rsidR="00686CF9" w:rsidRDefault="00686CF9" w:rsidP="00231EEB">
                                  <w:pPr>
                                    <w:rPr>
                                      <w:lang w:val="sv-SE"/>
                                    </w:rPr>
                                  </w:pPr>
                                  <w:r>
                                    <w:rPr>
                                      <w:rFonts w:hint="eastAsia"/>
                                      <w:lang w:val="sv-SE"/>
                                    </w:rPr>
                                    <w:t>960 kHz</w:t>
                                  </w:r>
                                </w:p>
                              </w:tc>
                              <w:tc>
                                <w:tcPr>
                                  <w:tcW w:w="6946" w:type="dxa"/>
                                </w:tcPr>
                                <w:p w14:paraId="7FA62F36" w14:textId="02C94220" w:rsidR="00686CF9" w:rsidRPr="0058288B" w:rsidRDefault="00686CF9"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0F987E97"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2A6390B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686CF9" w:rsidRPr="0014669A" w:rsidRDefault="00686CF9" w:rsidP="00231EEB">
                                  <w:pPr>
                                    <w:spacing w:before="0" w:after="0" w:line="240" w:lineRule="auto"/>
                                    <w:rPr>
                                      <w:sz w:val="18"/>
                                      <w:szCs w:val="18"/>
                                    </w:rPr>
                                  </w:pPr>
                                  <w:r w:rsidRPr="0058288B">
                                    <w:rPr>
                                      <w:sz w:val="18"/>
                                      <w:szCs w:val="18"/>
                                    </w:rPr>
                                    <w:t>- PDCCH Monitoring</w:t>
                                  </w:r>
                                </w:p>
                              </w:tc>
                            </w:tr>
                          </w:tbl>
                          <w:p w14:paraId="6FA37EC9" w14:textId="77777777" w:rsidR="00686CF9" w:rsidRPr="0058288B" w:rsidRDefault="00686CF9"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lastRenderedPageBreak/>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86CF9" w14:paraId="4C06D4F6"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9149F" w14:textId="4C7D9763" w:rsidR="00686CF9" w:rsidRPr="00686CF9" w:rsidRDefault="00686CF9" w:rsidP="00686CF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28CB2A" w14:textId="09257CF2" w:rsidR="00686CF9" w:rsidRDefault="00686CF9" w:rsidP="00686CF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F25DDB" w14:paraId="535635F4" w14:textId="77777777" w:rsidTr="00F25DD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62343" w14:textId="77777777" w:rsidR="00F25DDB" w:rsidRPr="00F25DDB" w:rsidRDefault="00F25DDB" w:rsidP="00850CA5">
            <w:pPr>
              <w:spacing w:after="0"/>
              <w:rPr>
                <w:lang w:val="sv-SE" w:eastAsia="zh-CN"/>
              </w:rPr>
            </w:pPr>
            <w:r w:rsidRPr="00F25DD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9B36C7F" w14:textId="77777777" w:rsidR="00F25DDB" w:rsidRPr="00F25DDB" w:rsidRDefault="00F25DDB" w:rsidP="00850CA5">
            <w:pPr>
              <w:pStyle w:val="BodyText"/>
              <w:rPr>
                <w:rFonts w:ascii="Times New Roman" w:hAnsi="Times New Roman"/>
                <w:szCs w:val="20"/>
                <w:lang w:eastAsia="zh-CN"/>
              </w:rPr>
            </w:pPr>
            <w:r w:rsidRPr="00F25DDB">
              <w:rPr>
                <w:rFonts w:ascii="Times New Roman" w:hAnsi="Times New Roman"/>
                <w:szCs w:val="20"/>
                <w:lang w:eastAsia="zh-CN"/>
              </w:rPr>
              <w:t>Agree with Samsung that for all numerologies other than 120KHz SCS (if introduced), the specification impacts are similar.</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If there is a need for a mode where all signals and channels operate 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86CF9" w14:paraId="78ACF783"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66" w14:textId="331EE801"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73945" w14:textId="43B73791" w:rsidR="00686CF9" w:rsidRDefault="00686CF9" w:rsidP="00686CF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24E14" w14:paraId="2964A65B" w14:textId="77777777" w:rsidTr="00B24E1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67D9" w14:textId="77777777" w:rsidR="00B24E14" w:rsidRPr="00B24E14" w:rsidRDefault="00B24E14" w:rsidP="00850CA5">
            <w:pPr>
              <w:spacing w:after="0"/>
              <w:rPr>
                <w:lang w:eastAsia="zh-CN"/>
              </w:rPr>
            </w:pPr>
            <w:r w:rsidRPr="00B24E14">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C29F43" w14:textId="77777777" w:rsidR="00B24E14" w:rsidRPr="00B24E14" w:rsidRDefault="00B24E14" w:rsidP="00850CA5">
            <w:pPr>
              <w:overflowPunct/>
              <w:autoSpaceDE/>
              <w:adjustRightInd/>
              <w:spacing w:after="0"/>
              <w:rPr>
                <w:lang w:eastAsia="zh-CN"/>
              </w:rPr>
            </w:pPr>
            <w:r w:rsidRPr="00B24E14">
              <w:rPr>
                <w:lang w:eastAsia="zh-CN"/>
              </w:rPr>
              <w:t>We prefer single numerology operation. However, if SCS of 480 KHz or 960 KHz is supported, we are also fine with having the SSB operating at 120 kHz SCS.</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686CF9"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04373586"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C0A9E" w14:textId="550D1452" w:rsidR="00686CF9" w:rsidRDefault="00686CF9" w:rsidP="00686CF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97712" w14:paraId="5C012BCD" w14:textId="77777777" w:rsidTr="00B9771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53C9" w14:textId="77777777" w:rsidR="00B97712" w:rsidRDefault="00B97712" w:rsidP="00850CA5">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4BE64566" w14:textId="77777777" w:rsidR="00B97712" w:rsidRDefault="00B97712" w:rsidP="00850CA5">
            <w:pPr>
              <w:overflowPunct/>
              <w:autoSpaceDE/>
              <w:adjustRightInd/>
              <w:spacing w:after="0"/>
              <w:rPr>
                <w:lang w:eastAsia="zh-CN"/>
              </w:rPr>
            </w:pPr>
            <w:r>
              <w:rPr>
                <w:lang w:eastAsia="zh-CN"/>
              </w:rPr>
              <w:t>We prefer maximum SCS of 960KHz and NCP only.</w:t>
            </w: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Pr>
                <w:sz w:val="22"/>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86CF9" w:rsidRPr="00B657B2" w14:paraId="0E6893E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7BF" w14:textId="71B6999F"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4AFA14" w14:textId="05304E71" w:rsidR="00686CF9" w:rsidRDefault="00686CF9" w:rsidP="00686CF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203FC" w:rsidRPr="00B657B2" w14:paraId="4F87ED64" w14:textId="77777777" w:rsidTr="006203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9F29" w14:textId="77777777" w:rsidR="006203FC" w:rsidRPr="006203FC" w:rsidRDefault="006203FC" w:rsidP="00850CA5">
            <w:pPr>
              <w:spacing w:after="0"/>
              <w:rPr>
                <w:lang w:eastAsia="zh-CN"/>
              </w:rPr>
            </w:pPr>
            <w:proofErr w:type="spellStart"/>
            <w:r w:rsidRPr="006203FC">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109C999" w14:textId="77777777" w:rsidR="006203FC" w:rsidRPr="006203FC" w:rsidRDefault="006203FC" w:rsidP="00850CA5">
            <w:pPr>
              <w:pStyle w:val="BodyText"/>
              <w:rPr>
                <w:rFonts w:ascii="Times New Roman" w:hAnsi="Times New Roman"/>
                <w:szCs w:val="20"/>
                <w:lang w:eastAsia="zh-CN"/>
              </w:rPr>
            </w:pPr>
            <w:r w:rsidRPr="006203FC">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lastRenderedPageBreak/>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observation, two numerologies, 120 kHz and 960 kHz SCS, are sufficient to cover all the development scenarios, and each has its own benefit. </w:t>
            </w:r>
          </w:p>
          <w:p w14:paraId="3422036E" w14:textId="77777777" w:rsidR="00231EEB" w:rsidRDefault="00231EEB" w:rsidP="00231EE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DD1DC8">
              <w:rPr>
                <w:rFonts w:hint="eastAsia"/>
                <w:lang w:eastAsia="zh-CN"/>
              </w:rPr>
              <w:t>960</w:t>
            </w:r>
            <w:r w:rsidRPr="00DD1DC8">
              <w:rPr>
                <w:lang w:eastAsia="zh-CN"/>
              </w:rPr>
              <w:t xml:space="preserve"> </w:t>
            </w:r>
            <w:r w:rsidRPr="00DD1DC8">
              <w:rPr>
                <w:rFonts w:hint="eastAsia"/>
                <w:lang w:eastAsia="zh-CN"/>
              </w:rPr>
              <w:t>kHz SCS is more suitable for higher through</w:t>
            </w:r>
            <w:r w:rsidRPr="00DD1DC8">
              <w:rPr>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86CF9" w:rsidRPr="00B657B2" w14:paraId="35A9B310"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783E9" w14:textId="26E64A1D"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C8225" w14:textId="6BB5F846" w:rsidR="00686CF9" w:rsidRDefault="00686CF9" w:rsidP="00686CF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7A32C5" w:rsidRPr="00742AC8" w14:paraId="63A5FAE4" w14:textId="77777777" w:rsidTr="007A32C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676B" w14:textId="77777777" w:rsidR="007A32C5" w:rsidRPr="007A32C5" w:rsidRDefault="007A32C5" w:rsidP="00850CA5">
            <w:pPr>
              <w:spacing w:after="0"/>
              <w:rPr>
                <w:lang w:eastAsia="zh-CN"/>
              </w:rPr>
            </w:pPr>
            <w:proofErr w:type="spellStart"/>
            <w:r w:rsidRPr="007A32C5">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4BF22C6" w14:textId="77777777" w:rsidR="007A32C5" w:rsidRPr="007A32C5" w:rsidRDefault="007A32C5" w:rsidP="00850CA5">
            <w:pPr>
              <w:pStyle w:val="BodyText"/>
              <w:rPr>
                <w:rFonts w:ascii="Times New Roman" w:hAnsi="Times New Roman"/>
                <w:szCs w:val="20"/>
                <w:lang w:eastAsia="zh-CN"/>
              </w:rPr>
            </w:pPr>
            <w:r w:rsidRPr="007A32C5">
              <w:rPr>
                <w:rFonts w:ascii="Times New Roman" w:hAnsi="Times New Roman"/>
                <w:szCs w:val="20"/>
                <w:lang w:eastAsia="zh-CN"/>
              </w:rPr>
              <w:t>120KHz SCS should be able to support both indoor and outdoor scenarios, while 960KHz could support indoor, high throughput scenario.</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86CF9" w14:paraId="7AA3A02A"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054F" w14:textId="4943CD5B"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D87F97" w14:textId="4929FAC5" w:rsidR="00686CF9" w:rsidRDefault="00686CF9" w:rsidP="00686CF9">
            <w:pPr>
              <w:rPr>
                <w:lang w:val="sv-SE" w:eastAsia="zh-CN"/>
              </w:rPr>
            </w:pPr>
            <w:r>
              <w:rPr>
                <w:lang w:val="sv-SE" w:eastAsia="zh-CN"/>
              </w:rPr>
              <w:t xml:space="preserve">We support maximum bandwidth of 400MHz and 2.16GHz for 120kHz and 960kHz SCSs, respectively. </w:t>
            </w:r>
          </w:p>
        </w:tc>
      </w:tr>
      <w:tr w:rsidR="00316F2F" w:rsidRPr="00702EBE" w14:paraId="3949AD00" w14:textId="77777777" w:rsidTr="00316F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8C674" w14:textId="77777777" w:rsidR="00316F2F" w:rsidRPr="00316F2F" w:rsidRDefault="00316F2F" w:rsidP="00850CA5">
            <w:pPr>
              <w:spacing w:after="0"/>
              <w:rPr>
                <w:lang w:eastAsia="zh-CN"/>
              </w:rPr>
            </w:pPr>
            <w:proofErr w:type="spellStart"/>
            <w:r w:rsidRPr="00316F2F">
              <w:rPr>
                <w:lang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B222DF4" w14:textId="77777777" w:rsidR="00316F2F" w:rsidRPr="00316F2F" w:rsidRDefault="00316F2F" w:rsidP="00850CA5">
            <w:pPr>
              <w:rPr>
                <w:lang w:val="sv-SE" w:eastAsia="zh-CN"/>
              </w:rPr>
            </w:pPr>
            <w:r w:rsidRPr="00316F2F">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bl>
    <w:p w14:paraId="6D10676D" w14:textId="77777777" w:rsidR="007321B3" w:rsidRPr="00E57E82" w:rsidRDefault="007321B3">
      <w:pPr>
        <w:pStyle w:val="BodyText"/>
        <w:spacing w:after="0"/>
        <w:rPr>
          <w:rFonts w:ascii="Times New Roman" w:hAnsi="Times New Roman"/>
          <w:sz w:val="22"/>
          <w:szCs w:val="22"/>
          <w:lang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lastRenderedPageBreak/>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xml:space="preserv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86CF9" w:rsidRPr="00742125" w14:paraId="54147FD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1645" w14:textId="1DDE4F17"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1C4875" w14:textId="748CE411" w:rsidR="00686CF9" w:rsidRDefault="00686CF9" w:rsidP="00686CF9">
            <w:pPr>
              <w:overflowPunct/>
              <w:autoSpaceDE/>
              <w:adjustRightInd/>
              <w:spacing w:after="0"/>
              <w:rPr>
                <w:lang w:eastAsia="zh-CN"/>
              </w:rPr>
            </w:pPr>
            <w:r>
              <w:rPr>
                <w:lang w:eastAsia="zh-CN"/>
              </w:rPr>
              <w:t>Share the same view as Samsung</w:t>
            </w:r>
          </w:p>
        </w:tc>
      </w:tr>
      <w:tr w:rsidR="006A002F" w:rsidRPr="00742125" w14:paraId="71441E4C" w14:textId="77777777" w:rsidTr="006A00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7CF85" w14:textId="77777777" w:rsidR="006A002F" w:rsidRPr="006A002F" w:rsidRDefault="006A002F" w:rsidP="00850CA5">
            <w:pPr>
              <w:spacing w:after="0"/>
              <w:rPr>
                <w:lang w:eastAsia="zh-CN"/>
              </w:rPr>
            </w:pPr>
            <w:proofErr w:type="spellStart"/>
            <w:r w:rsidRPr="006A002F">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A80FBAD" w14:textId="77777777" w:rsidR="006A002F" w:rsidRPr="006A002F" w:rsidRDefault="006A002F" w:rsidP="00850CA5">
            <w:pPr>
              <w:overflowPunct/>
              <w:autoSpaceDE/>
              <w:adjustRightInd/>
              <w:spacing w:after="0"/>
              <w:rPr>
                <w:lang w:eastAsia="zh-CN"/>
              </w:rPr>
            </w:pPr>
            <w:r w:rsidRPr="006A002F">
              <w:rPr>
                <w:lang w:eastAsia="zh-CN"/>
              </w:rPr>
              <w:t>At least channelization of integer multiples of 400MHz should be supported.</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specification 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86CF9" w14:paraId="14AE5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DE2D" w14:textId="2398868E"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1ED38F1" w14:textId="2D6EBDAB" w:rsidR="00686CF9" w:rsidRDefault="00686CF9" w:rsidP="00686CF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835470" w14:paraId="3B22DC6C" w14:textId="77777777" w:rsidTr="0083547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5C8C" w14:textId="77777777" w:rsidR="00835470" w:rsidRPr="00835470" w:rsidRDefault="00835470" w:rsidP="00850CA5">
            <w:pPr>
              <w:spacing w:after="0"/>
              <w:rPr>
                <w:lang w:val="sv-SE" w:eastAsia="zh-CN"/>
              </w:rPr>
            </w:pPr>
            <w:r w:rsidRPr="0083547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99C457F" w14:textId="77777777" w:rsidR="00835470" w:rsidRPr="00835470" w:rsidRDefault="00835470" w:rsidP="00850CA5">
            <w:pPr>
              <w:overflowPunct/>
              <w:autoSpaceDE/>
              <w:adjustRightInd/>
              <w:spacing w:after="0"/>
              <w:rPr>
                <w:lang w:val="sv-SE" w:eastAsia="zh-CN"/>
              </w:rPr>
            </w:pPr>
            <w:r w:rsidRPr="00835470">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bl>
    <w:p w14:paraId="225E5BB2" w14:textId="77777777" w:rsidR="007321B3" w:rsidRDefault="007321B3">
      <w:pPr>
        <w:pStyle w:val="BodyText"/>
        <w:spacing w:after="0"/>
        <w:rPr>
          <w:rFonts w:ascii="Times New Roman" w:hAnsi="Times New Roman"/>
          <w:sz w:val="22"/>
          <w:szCs w:val="22"/>
          <w:lang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86CF9" w14:paraId="6FB01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530AC" w14:textId="72E77A7C"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52DCC3" w14:textId="77777777" w:rsidR="00686CF9" w:rsidRDefault="00686CF9" w:rsidP="00686CF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6EBE61A" w14:textId="77777777" w:rsidR="00686CF9" w:rsidRDefault="00686CF9" w:rsidP="00686CF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6791F3D" w14:textId="62E7554D" w:rsidR="00686CF9" w:rsidRDefault="00686CF9" w:rsidP="00686CF9">
            <w:pPr>
              <w:overflowPunct/>
              <w:autoSpaceDE/>
              <w:adjustRightInd/>
              <w:spacing w:after="0"/>
              <w:rPr>
                <w:lang w:val="sv-SE" w:eastAsia="zh-CN"/>
              </w:rPr>
            </w:pPr>
            <w:r w:rsidRPr="00686CF9">
              <w:rPr>
                <w:lang w:val="sv-SE" w:eastAsia="zh-CN"/>
              </w:rPr>
              <w:t>Regarding DRX window and QCL assumption, the same principle as Rel-16 NR-U can be applied, with potential increase in the transission opportunities and the SSB ID space.</w:t>
            </w:r>
          </w:p>
        </w:tc>
      </w:tr>
      <w:tr w:rsidR="00DB6BCB" w:rsidRPr="00FD0D48" w14:paraId="0C17B8B3" w14:textId="77777777" w:rsidTr="00DB6B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13EB" w14:textId="77777777" w:rsidR="00DB6BCB" w:rsidRPr="00DB6BCB" w:rsidRDefault="00DB6BCB" w:rsidP="00850CA5">
            <w:pPr>
              <w:spacing w:after="0"/>
              <w:rPr>
                <w:lang w:val="sv-SE" w:eastAsia="zh-CN"/>
              </w:rPr>
            </w:pPr>
            <w:r w:rsidRPr="00DB6BC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55EAA6" w14:textId="77777777" w:rsidR="00DB6BCB" w:rsidRPr="00DB6BCB" w:rsidRDefault="00DB6BCB" w:rsidP="00850CA5">
            <w:pPr>
              <w:overflowPunct/>
              <w:autoSpaceDE/>
              <w:adjustRightInd/>
              <w:spacing w:after="0"/>
              <w:rPr>
                <w:lang w:val="sv-SE" w:eastAsia="zh-CN"/>
              </w:rPr>
            </w:pPr>
            <w:r w:rsidRPr="00DB6BCB">
              <w:rPr>
                <w:lang w:val="sv-SE" w:eastAsia="zh-CN"/>
              </w:rPr>
              <w:t>If 120kHz or 240 kHz SSB SCS are supported, we prefer to reuse the existing FR2 SSB designs, e.g., SSB pattern and SSB/CORESET multiplexing, to minimize the spec impact.</w:t>
            </w:r>
          </w:p>
        </w:tc>
      </w:tr>
    </w:tbl>
    <w:p w14:paraId="5848841F" w14:textId="77777777" w:rsidR="007321B3" w:rsidRPr="00F5366A" w:rsidRDefault="007321B3">
      <w:pPr>
        <w:pStyle w:val="BodyText"/>
        <w:spacing w:after="0"/>
        <w:rPr>
          <w:rFonts w:ascii="Times New Roman" w:hAnsi="Times New Roman"/>
          <w:sz w:val="22"/>
          <w:szCs w:val="22"/>
          <w:lang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 xml:space="preserve">For operation in the 52.6 – 71 GHz band, basic tools in the Rel-16 specifications, e.g., FR2 initial access framework, BWP switching, CA/DC activation already support both standalone and non-standalone deployments that can ensure coverage. It is not needed to specify coverage </w:t>
      </w:r>
      <w:r>
        <w:rPr>
          <w:rFonts w:eastAsia="SimSun"/>
          <w:lang w:eastAsia="zh-CN"/>
        </w:rPr>
        <w:lastRenderedPageBreak/>
        <w:t>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bl>
    <w:p w14:paraId="2F67F838" w14:textId="77777777" w:rsidR="007321B3" w:rsidRDefault="007321B3">
      <w:pPr>
        <w:pStyle w:val="BodyText"/>
        <w:spacing w:after="0"/>
        <w:rPr>
          <w:rFonts w:ascii="Times New Roman" w:hAnsi="Times New Roman"/>
          <w:sz w:val="22"/>
          <w:szCs w:val="22"/>
          <w:lang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lastRenderedPageBreak/>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686CF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686CF9">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238D9" w14:paraId="7B6356F7"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BE05" w14:textId="7F88942E" w:rsidR="006238D9" w:rsidRDefault="006238D9" w:rsidP="006238D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0F5BC1" w14:textId="3CE13CDE" w:rsidR="006238D9" w:rsidRDefault="006238D9" w:rsidP="006238D9">
            <w:pPr>
              <w:overflowPunct/>
              <w:autoSpaceDE/>
              <w:adjustRightInd/>
              <w:spacing w:after="0"/>
              <w:rPr>
                <w:lang w:val="sv-SE" w:eastAsia="zh-CN"/>
              </w:rPr>
            </w:pPr>
            <w:r>
              <w:rPr>
                <w:lang w:val="sv-SE" w:eastAsia="zh-CN"/>
              </w:rPr>
              <w:t>We support the same numerologies for PRACH and other channels, i.e., 120kHz and 960kHz.</w:t>
            </w:r>
          </w:p>
          <w:p w14:paraId="4A3FC9CA" w14:textId="77777777" w:rsidR="006238D9" w:rsidRDefault="006238D9" w:rsidP="006238D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17B7A5E1" w14:textId="0C2D1996" w:rsidR="006238D9" w:rsidRDefault="006238D9" w:rsidP="006238D9">
            <w:pPr>
              <w:overflowPunct/>
              <w:autoSpaceDE/>
              <w:adjustRightInd/>
              <w:spacing w:after="0"/>
              <w:rPr>
                <w:lang w:val="sv-SE" w:eastAsia="zh-CN"/>
              </w:rPr>
            </w:pPr>
            <w:r>
              <w:rPr>
                <w:lang w:val="sv-SE" w:eastAsia="zh-CN"/>
              </w:rPr>
              <w:t>Also, we don’t see any strong motivation for interaced PRACH.</w:t>
            </w:r>
          </w:p>
        </w:tc>
      </w:tr>
      <w:tr w:rsidR="002E7530" w:rsidRPr="00FD0D48" w14:paraId="37E39CFA" w14:textId="77777777" w:rsidTr="002E75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EB3E" w14:textId="77777777" w:rsidR="002E7530" w:rsidRPr="002E7530" w:rsidRDefault="002E7530" w:rsidP="00850CA5">
            <w:pPr>
              <w:spacing w:after="0"/>
              <w:rPr>
                <w:lang w:val="sv-SE" w:eastAsia="zh-CN"/>
              </w:rPr>
            </w:pPr>
            <w:r w:rsidRPr="002E753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4E09C94" w14:textId="77777777" w:rsidR="002E7530" w:rsidRPr="002E7530" w:rsidRDefault="002E7530" w:rsidP="00850CA5">
            <w:pPr>
              <w:overflowPunct/>
              <w:autoSpaceDE/>
              <w:adjustRightInd/>
              <w:spacing w:after="0"/>
              <w:rPr>
                <w:lang w:val="sv-SE" w:eastAsia="zh-CN"/>
              </w:rPr>
            </w:pPr>
            <w:r w:rsidRPr="002E7530">
              <w:rPr>
                <w:lang w:val="sv-SE" w:eastAsia="zh-CN"/>
              </w:rPr>
              <w:t>Similar to SSB aspect, we prefer single numerology operation. Longer PRACH sequence can be considered to address coverage issue. However, interlace design for PRACH is not preferred.</w:t>
            </w:r>
          </w:p>
        </w:tc>
      </w:tr>
    </w:tbl>
    <w:p w14:paraId="19FADD58" w14:textId="77777777" w:rsidR="007321B3" w:rsidRPr="00F5366A" w:rsidRDefault="007321B3">
      <w:pPr>
        <w:pStyle w:val="BodyText"/>
        <w:spacing w:after="0"/>
        <w:rPr>
          <w:rFonts w:ascii="Times New Roman" w:hAnsi="Times New Roman"/>
          <w:sz w:val="22"/>
          <w:szCs w:val="22"/>
          <w:lang w:eastAsia="zh-CN"/>
        </w:rPr>
      </w:pPr>
      <w:bookmarkStart w:id="0" w:name="_GoBack"/>
      <w:bookmarkEnd w:id="0"/>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lastRenderedPageBreak/>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884F95" w14:paraId="3EC4E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C824" w14:textId="52C9BD7F" w:rsidR="00884F95" w:rsidRDefault="00884F95" w:rsidP="00884F9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40ECAF" w14:textId="20778D3A" w:rsidR="00884F95" w:rsidRDefault="00884F95" w:rsidP="00884F95">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bl>
    <w:p w14:paraId="15AA02C1" w14:textId="77777777" w:rsidR="007321B3" w:rsidRDefault="007321B3">
      <w:pPr>
        <w:pStyle w:val="BodyText"/>
        <w:spacing w:after="0"/>
        <w:rPr>
          <w:rFonts w:ascii="Times New Roman" w:hAnsi="Times New Roman"/>
          <w:sz w:val="22"/>
          <w:szCs w:val="22"/>
          <w:lang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13: For supporting NR beyond 52.6 GHz with existing waveforms in Rel. 17, if higher subcarrier spacings (numerologies) are adopted, then the PDCCH processing in every slot </w:t>
      </w:r>
      <w:r>
        <w:rPr>
          <w:rFonts w:ascii="Times New Roman" w:hAnsi="Times New Roman"/>
          <w:sz w:val="22"/>
          <w:szCs w:val="22"/>
          <w:lang w:eastAsia="zh-CN"/>
        </w:rPr>
        <w:lastRenderedPageBreak/>
        <w:t>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 xml:space="preserve">=1 and </w:t>
      </w:r>
      <w:proofErr w:type="spellStart"/>
      <w:r>
        <w:rPr>
          <w:rFonts w:ascii="Times New Roman" w:hAnsi="Times New Roman"/>
          <w:sz w:val="22"/>
          <w:szCs w:val="22"/>
          <w:lang w:eastAsia="zh-CN"/>
        </w:rPr>
        <w:t>Ts</w:t>
      </w:r>
      <w:proofErr w:type="spellEnd"/>
      <w:r>
        <w:rPr>
          <w:rFonts w:ascii="Times New Roman" w:hAnsi="Times New Roman"/>
          <w:sz w:val="22"/>
          <w:szCs w:val="22"/>
          <w:lang w:eastAsia="zh-CN"/>
        </w:rPr>
        <w:t>&gt;1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lastRenderedPageBreak/>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D42BCE" w14:paraId="5A11DC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CD8A" w14:textId="125785DD"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910F19D" w14:textId="42B7314C" w:rsidR="00D42BCE" w:rsidRDefault="00D42BCE" w:rsidP="00D42BCE">
            <w:pPr>
              <w:overflowPunct/>
              <w:autoSpaceDE/>
              <w:adjustRightInd/>
              <w:spacing w:after="0"/>
              <w:rPr>
                <w:lang w:val="sv-SE" w:eastAsia="zh-CN"/>
              </w:rPr>
            </w:pPr>
            <w:r>
              <w:rPr>
                <w:lang w:val="sv-SE" w:eastAsia="zh-CN"/>
              </w:rPr>
              <w:t xml:space="preserve">For higher SCS, </w:t>
            </w:r>
            <w:bookmarkStart w:id="1" w:name="OLE_LINK3"/>
            <w:r>
              <w:rPr>
                <w:lang w:val="sv-SE" w:eastAsia="zh-CN"/>
              </w:rPr>
              <w:t>multi-slot-based PDCCH monitoring capability would be discussed to reduce complexity</w:t>
            </w:r>
            <w:bookmarkEnd w:id="1"/>
            <w:r>
              <w:rPr>
                <w:lang w:val="sv-SE" w:eastAsia="zh-CN"/>
              </w:rPr>
              <w:t>. The span-based PDCCH monitoring capability, which was introduced in Rel-16, can be a baseline.</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D42BCE" w14:paraId="1F770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08C0" w14:textId="488D1D8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E975A7B" w14:textId="68B1EFD2" w:rsidR="00D42BCE" w:rsidRDefault="00D42BCE" w:rsidP="00D42BCE">
            <w:pPr>
              <w:overflowPunct/>
              <w:autoSpaceDE/>
              <w:adjustRightInd/>
              <w:spacing w:after="0"/>
              <w:rPr>
                <w:lang w:val="sv-SE" w:eastAsia="zh-CN"/>
              </w:rPr>
            </w:pPr>
            <w:r>
              <w:rPr>
                <w:lang w:val="sv-SE" w:eastAsia="zh-CN"/>
              </w:rPr>
              <w:t>We support a new DCI format for multi-PDSCH scheduling.</w:t>
            </w:r>
          </w:p>
        </w:tc>
      </w:tr>
    </w:tbl>
    <w:p w14:paraId="60B5F29D" w14:textId="77777777" w:rsidR="007321B3" w:rsidRDefault="007321B3">
      <w:pPr>
        <w:pStyle w:val="BodyText"/>
        <w:spacing w:after="0"/>
        <w:rPr>
          <w:rFonts w:ascii="Times New Roman" w:hAnsi="Times New Roman"/>
          <w:sz w:val="22"/>
          <w:szCs w:val="22"/>
          <w:lang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D42BCE" w14:paraId="3057D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19FD" w14:textId="15D0BF0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3C79E9" w14:textId="77777777" w:rsidR="00D42BCE" w:rsidRDefault="00D42BCE" w:rsidP="00D42BCE">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F1D8C61"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HARQ-ACK feedback enhancement (see Section 2.6.4)</w:t>
            </w:r>
          </w:p>
          <w:p w14:paraId="4B9F2993"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DMRS enhancement: e.g., DMRS bundling/skipping</w:t>
            </w:r>
          </w:p>
          <w:p w14:paraId="340AB90E" w14:textId="77777777" w:rsidR="00D42BCE" w:rsidRPr="00E87CA1" w:rsidRDefault="00D42BCE" w:rsidP="00D42BCE">
            <w:pPr>
              <w:pStyle w:val="ListParagraph"/>
              <w:numPr>
                <w:ilvl w:val="0"/>
                <w:numId w:val="17"/>
              </w:numPr>
              <w:rPr>
                <w:lang w:val="sv-SE" w:eastAsia="zh-CN"/>
              </w:rPr>
            </w:pPr>
            <w:r w:rsidRPr="00FF5BEC">
              <w:rPr>
                <w:sz w:val="20"/>
                <w:szCs w:val="20"/>
                <w:lang w:val="sv-SE" w:eastAsia="zh-CN"/>
              </w:rPr>
              <w:t>DCI piggyback on PDSCH</w:t>
            </w:r>
            <w:r w:rsidRPr="00E87CA1">
              <w:rPr>
                <w:lang w:val="sv-SE" w:eastAsia="zh-CN"/>
              </w:rPr>
              <w:t xml:space="preserve"> </w:t>
            </w:r>
          </w:p>
          <w:p w14:paraId="2F6AD41B" w14:textId="1A6A20F6" w:rsidR="00D42BCE" w:rsidRDefault="00D42BCE" w:rsidP="00D42BCE">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r w:rsidR="00D42BCE" w14:paraId="49E4A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0860" w14:textId="145BCD89" w:rsidR="00D42BCE" w:rsidRDefault="00D42BCE" w:rsidP="00D42BCE">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AC104DF" w14:textId="20E8B585" w:rsidR="00D42BCE" w:rsidRDefault="00D42BCE" w:rsidP="00D42BCE">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523082" w14:paraId="23CD5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6E73" w14:textId="59A5EFE6"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6EFC2F" w14:textId="4DF11F86" w:rsidR="00523082" w:rsidRDefault="00523082" w:rsidP="00523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523082"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0AB7222D" w:rsidR="00523082" w:rsidRDefault="00523082" w:rsidP="00523082">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EA6C947" w14:textId="77777777" w:rsidR="00523082" w:rsidRDefault="00523082" w:rsidP="00523082">
            <w:pPr>
              <w:overflowPunct/>
              <w:autoSpaceDE/>
              <w:adjustRightInd/>
              <w:spacing w:after="0"/>
              <w:rPr>
                <w:lang w:val="sv-SE" w:eastAsia="zh-CN"/>
              </w:rPr>
            </w:pPr>
            <w:r>
              <w:rPr>
                <w:lang w:val="sv-SE" w:eastAsia="zh-CN"/>
              </w:rPr>
              <w:t>We support HARQ enhancement in the following aspects:</w:t>
            </w:r>
          </w:p>
          <w:p w14:paraId="4F8473B8" w14:textId="77777777" w:rsidR="00523082" w:rsidRDefault="00523082" w:rsidP="00523082">
            <w:pPr>
              <w:pStyle w:val="ListParagraph"/>
              <w:numPr>
                <w:ilvl w:val="0"/>
                <w:numId w:val="18"/>
              </w:numPr>
              <w:rPr>
                <w:sz w:val="20"/>
                <w:szCs w:val="20"/>
                <w:lang w:val="sv-SE" w:eastAsia="zh-CN"/>
              </w:rPr>
            </w:pPr>
            <w:r w:rsidRPr="00FF5BEC">
              <w:rPr>
                <w:sz w:val="20"/>
                <w:szCs w:val="20"/>
                <w:lang w:val="sv-SE" w:eastAsia="zh-CN"/>
              </w:rPr>
              <w:t>HARQ supporting multi-PDSCH/PUSCH scheduling</w:t>
            </w:r>
          </w:p>
          <w:p w14:paraId="5239BB4D" w14:textId="77777777" w:rsidR="00523082" w:rsidRPr="00523082" w:rsidRDefault="00523082" w:rsidP="00523082">
            <w:pPr>
              <w:pStyle w:val="ListParagraph"/>
              <w:numPr>
                <w:ilvl w:val="1"/>
                <w:numId w:val="18"/>
              </w:numPr>
              <w:rPr>
                <w:sz w:val="20"/>
                <w:szCs w:val="20"/>
                <w:lang w:val="sv-SE" w:eastAsia="zh-CN"/>
              </w:rPr>
            </w:pPr>
            <w:r>
              <w:rPr>
                <w:lang w:val="sv-SE" w:eastAsia="zh-CN"/>
              </w:rPr>
              <w:t xml:space="preserve">Joint feedback in a single or multiple </w:t>
            </w:r>
            <w:r w:rsidRPr="00BB79A9">
              <w:rPr>
                <w:lang w:val="sv-SE" w:eastAsia="zh-CN"/>
              </w:rPr>
              <w:t xml:space="preserve">PUCCHs for a single DCI-scheduled </w:t>
            </w:r>
            <w:r>
              <w:rPr>
                <w:lang w:val="sv-SE" w:eastAsia="zh-CN"/>
              </w:rPr>
              <w:t>SCHs</w:t>
            </w:r>
          </w:p>
          <w:p w14:paraId="68D8396F" w14:textId="2890B342" w:rsidR="00523082" w:rsidRPr="00523082" w:rsidRDefault="00523082" w:rsidP="00523082">
            <w:pPr>
              <w:pStyle w:val="ListParagraph"/>
              <w:numPr>
                <w:ilvl w:val="0"/>
                <w:numId w:val="18"/>
              </w:numPr>
              <w:rPr>
                <w:sz w:val="20"/>
                <w:szCs w:val="20"/>
                <w:lang w:val="sv-SE" w:eastAsia="zh-CN"/>
              </w:rPr>
            </w:pPr>
            <w:r w:rsidRPr="00523082">
              <w:rPr>
                <w:lang w:val="sv-SE" w:eastAsia="zh-CN"/>
              </w:rPr>
              <w:t>Increased number of HARQ processes</w:t>
            </w: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523082" w14:paraId="55B37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891EE" w14:textId="127208BE"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833C77" w14:textId="3BC61D7E" w:rsidR="00523082" w:rsidRDefault="00523082" w:rsidP="00523082">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lastRenderedPageBreak/>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523082" w14:paraId="09B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3A6F" w14:textId="707B08F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AF7F7B" w14:textId="42147EE3" w:rsidR="00523082" w:rsidRDefault="00523082" w:rsidP="00523082">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bl>
    <w:p w14:paraId="1EC8D349" w14:textId="77777777" w:rsidR="007321B3" w:rsidRDefault="007321B3">
      <w:pPr>
        <w:pStyle w:val="BodyText"/>
        <w:spacing w:after="0"/>
        <w:rPr>
          <w:rFonts w:ascii="Times New Roman" w:hAnsi="Times New Roman"/>
          <w:sz w:val="22"/>
          <w:szCs w:val="22"/>
          <w:lang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523082" w14:paraId="07411C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0A94" w14:textId="08D2093C"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579021" w14:textId="7CB8E808" w:rsidR="00523082" w:rsidRDefault="00523082" w:rsidP="00523082">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bl>
    <w:p w14:paraId="21CC13B4" w14:textId="77777777" w:rsidR="007321B3" w:rsidRDefault="007321B3">
      <w:pPr>
        <w:pStyle w:val="BodyText"/>
        <w:spacing w:after="0"/>
        <w:rPr>
          <w:rFonts w:ascii="Times New Roman" w:hAnsi="Times New Roman"/>
          <w:sz w:val="22"/>
          <w:szCs w:val="22"/>
          <w:lang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523082" w14:paraId="1721B3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3472" w14:textId="718BEA3B"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CBAFBC" w14:textId="1FA5C0B0" w:rsidR="00523082" w:rsidRDefault="00523082" w:rsidP="00523082">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r w:rsidR="00523082" w14:paraId="25C0C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3540C" w14:textId="5D84097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8C0C4D" w14:textId="2D6BB50E" w:rsidR="00523082" w:rsidRDefault="00523082" w:rsidP="00523082">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r w:rsidR="00523082" w14:paraId="33F27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AC8E" w14:textId="0FCE752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187C6" w14:textId="7E70D3C5" w:rsidR="00523082" w:rsidRDefault="00523082" w:rsidP="00523082">
            <w:pPr>
              <w:overflowPunct/>
              <w:autoSpaceDE/>
              <w:adjustRightInd/>
              <w:spacing w:after="0"/>
              <w:rPr>
                <w:lang w:val="sv-SE" w:eastAsia="zh-CN"/>
              </w:rPr>
            </w:pPr>
            <w:r>
              <w:rPr>
                <w:lang w:val="sv-SE" w:eastAsia="zh-CN"/>
              </w:rPr>
              <w:t>Support multi-carrier operation for wider bandwidth</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523082" w14:paraId="4A8FC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78CC" w14:textId="05C322BA"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3DE539" w14:textId="2A17ED7F" w:rsidR="00523082" w:rsidRDefault="00523082" w:rsidP="00523082">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036F15" w14:paraId="1ABEA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29E2" w14:textId="0E54C368" w:rsidR="00036F15" w:rsidRDefault="00036F15" w:rsidP="00036F1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1C74ED" w14:textId="64D935C2" w:rsidR="00036F15" w:rsidRDefault="00036F15" w:rsidP="00036F15">
            <w:pPr>
              <w:overflowPunct/>
              <w:autoSpaceDE/>
              <w:adjustRightInd/>
              <w:spacing w:after="0"/>
              <w:rPr>
                <w:lang w:val="sv-SE" w:eastAsia="zh-CN"/>
              </w:rPr>
            </w:pPr>
            <w:r>
              <w:rPr>
                <w:lang w:val="sv-SE" w:eastAsia="zh-CN"/>
              </w:rPr>
              <w:t>For higher SCS, the necessity of the beam switching gap should be discussed.</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lastRenderedPageBreak/>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32BF0" w14:textId="77777777" w:rsidR="00C54409" w:rsidRDefault="00C54409">
      <w:pPr>
        <w:spacing w:after="0" w:line="240" w:lineRule="auto"/>
      </w:pPr>
      <w:r>
        <w:separator/>
      </w:r>
    </w:p>
  </w:endnote>
  <w:endnote w:type="continuationSeparator" w:id="0">
    <w:p w14:paraId="2D9DC633" w14:textId="77777777" w:rsidR="00C54409" w:rsidRDefault="00C5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03D" w14:textId="77777777" w:rsidR="00686CF9" w:rsidRDefault="00686C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686CF9" w:rsidRDefault="00686C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99B21" w14:textId="4350A18C" w:rsidR="00686CF9" w:rsidRDefault="00686CF9">
    <w:pPr>
      <w:pStyle w:val="Footer"/>
      <w:ind w:right="360"/>
    </w:pPr>
    <w:r>
      <w:rPr>
        <w:rStyle w:val="PageNumber"/>
      </w:rPr>
      <w:fldChar w:fldCharType="begin"/>
    </w:r>
    <w:r>
      <w:rPr>
        <w:rStyle w:val="PageNumber"/>
      </w:rPr>
      <w:instrText xml:space="preserve"> PAGE </w:instrText>
    </w:r>
    <w:r>
      <w:rPr>
        <w:rStyle w:val="PageNumber"/>
      </w:rPr>
      <w:fldChar w:fldCharType="separate"/>
    </w:r>
    <w:r w:rsidR="002E7530">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7530">
      <w:rPr>
        <w:rStyle w:val="PageNumber"/>
        <w:noProof/>
      </w:rPr>
      <w:t>52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955CD" w14:textId="77777777" w:rsidR="00686CF9" w:rsidRDefault="00686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BF58" w14:textId="77777777" w:rsidR="00C54409" w:rsidRDefault="00C54409">
      <w:pPr>
        <w:spacing w:after="0" w:line="240" w:lineRule="auto"/>
      </w:pPr>
      <w:r>
        <w:separator/>
      </w:r>
    </w:p>
  </w:footnote>
  <w:footnote w:type="continuationSeparator" w:id="0">
    <w:p w14:paraId="4C8ED7C9" w14:textId="77777777" w:rsidR="00C54409" w:rsidRDefault="00C54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CC0E" w14:textId="77777777" w:rsidR="00686CF9" w:rsidRDefault="00686CF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04B8" w14:textId="77777777" w:rsidR="00686CF9" w:rsidRDefault="00686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FD77" w14:textId="77777777" w:rsidR="00686CF9" w:rsidRDefault="00686C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hybridMultilevel"/>
    <w:tmpl w:val="ABB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F1027"/>
    <w:multiLevelType w:val="hybridMultilevel"/>
    <w:tmpl w:val="B45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10"/>
  </w:num>
  <w:num w:numId="10">
    <w:abstractNumId w:val="9"/>
  </w:num>
  <w:num w:numId="11">
    <w:abstractNumId w:val="7"/>
  </w:num>
  <w:num w:numId="12">
    <w:abstractNumId w:val="5"/>
  </w:num>
  <w:num w:numId="13">
    <w:abstractNumId w:val="2"/>
  </w:num>
  <w:num w:numId="14">
    <w:abstractNumId w:val="17"/>
  </w:num>
  <w:num w:numId="15">
    <w:abstractNumId w:val="4"/>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4594207-C058-41EB-9EAB-5B40F14CA82A}">
  <ds:schemaRefs>
    <ds:schemaRef ds:uri="http://schemas.openxmlformats.org/officeDocument/2006/bibliography"/>
  </ds:schemaRefs>
</ds:datastoreItem>
</file>

<file path=customXml/itemProps8.xml><?xml version="1.0" encoding="utf-8"?>
<ds:datastoreItem xmlns:ds="http://schemas.openxmlformats.org/officeDocument/2006/customXml" ds:itemID="{30FC4E9F-A9FB-4731-A732-287A5097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52</Pages>
  <Words>20924</Words>
  <Characters>119272</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139917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Chun-Hsuan Kuo</cp:lastModifiedBy>
  <cp:revision>13</cp:revision>
  <cp:lastPrinted>2011-11-09T07:49:00Z</cp:lastPrinted>
  <dcterms:created xsi:type="dcterms:W3CDTF">2020-10-28T05:20:00Z</dcterms:created>
  <dcterms:modified xsi:type="dcterms:W3CDTF">2020-10-28T05:25:00Z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