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a3"/>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Source:</w:t>
      </w:r>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Document for:</w:t>
      </w:r>
      <w:r w:rsidRPr="00BF0EA9">
        <w:rPr>
          <w:rFonts w:ascii="Arial" w:hAnsi="Arial" w:cs="Arial"/>
          <w:b/>
          <w:lang w:val="fr-FR"/>
        </w:rPr>
        <w:tab/>
        <w:t>Discussion</w:t>
      </w:r>
      <w:r w:rsidR="00665A88" w:rsidRPr="00BF0EA9">
        <w:rPr>
          <w:rFonts w:ascii="Arial" w:hAnsi="Arial" w:cs="Arial"/>
          <w:b/>
          <w:lang w:val="fr-FR"/>
        </w:rPr>
        <w:t>, Decision</w:t>
      </w:r>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a9"/>
          </w:rPr>
          <w:t>R1-2009281</w:t>
        </w:r>
      </w:hyperlink>
      <w:r w:rsidR="00E83293">
        <w:t xml:space="preserve">. </w:t>
      </w:r>
    </w:p>
    <w:p w:rsidR="003915AD" w:rsidRPr="007C7367" w:rsidRDefault="007C7367" w:rsidP="007C7367">
      <w:pPr>
        <w:pStyle w:val="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a8"/>
        <w:tblW w:w="0" w:type="auto"/>
        <w:tblLook w:val="04A0" w:firstRow="1" w:lastRow="0" w:firstColumn="1" w:lastColumn="0" w:noHBand="0" w:noVBand="1"/>
      </w:tblPr>
      <w:tblGrid>
        <w:gridCol w:w="1246"/>
        <w:gridCol w:w="8385"/>
      </w:tblGrid>
      <w:tr w:rsidR="003915AD" w:rsidTr="000A0B38">
        <w:tc>
          <w:tcPr>
            <w:tcW w:w="1246" w:type="dxa"/>
            <w:shd w:val="clear" w:color="auto" w:fill="D9D9D9" w:themeFill="background1" w:themeFillShade="D9"/>
          </w:tcPr>
          <w:p w:rsidR="003915AD" w:rsidRPr="003915AD" w:rsidRDefault="003915AD" w:rsidP="003915AD">
            <w:pPr>
              <w:rPr>
                <w:b/>
                <w:bCs/>
              </w:rPr>
            </w:pPr>
            <w:r w:rsidRPr="003915AD">
              <w:rPr>
                <w:b/>
                <w:bCs/>
              </w:rPr>
              <w:t>Company</w:t>
            </w:r>
          </w:p>
        </w:tc>
        <w:tc>
          <w:tcPr>
            <w:tcW w:w="8385" w:type="dxa"/>
            <w:shd w:val="clear" w:color="auto" w:fill="D9D9D9" w:themeFill="background1" w:themeFillShade="D9"/>
          </w:tcPr>
          <w:p w:rsidR="003915AD" w:rsidRPr="003915AD" w:rsidRDefault="003915AD" w:rsidP="003915AD">
            <w:pPr>
              <w:rPr>
                <w:b/>
                <w:bCs/>
              </w:rPr>
            </w:pPr>
            <w:r w:rsidRPr="003915AD">
              <w:rPr>
                <w:b/>
                <w:bCs/>
              </w:rPr>
              <w:t>Comments</w:t>
            </w:r>
          </w:p>
        </w:tc>
      </w:tr>
      <w:tr w:rsidR="003915AD" w:rsidTr="000A0B38">
        <w:tc>
          <w:tcPr>
            <w:tcW w:w="1246" w:type="dxa"/>
          </w:tcPr>
          <w:p w:rsidR="003915AD" w:rsidRDefault="00C8707B" w:rsidP="003915AD">
            <w:r>
              <w:t>Nokia</w:t>
            </w:r>
          </w:p>
        </w:tc>
        <w:tc>
          <w:tcPr>
            <w:tcW w:w="8385"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00FD56BA"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00FD56BA" w:rsidRPr="00971DED">
              <w:rPr>
                <w:rFonts w:eastAsia="Malgun Gothic"/>
                <w:noProof/>
                <w:color w:val="0070C0"/>
                <w:lang w:val="en-US"/>
              </w:rPr>
            </w:r>
            <w:r w:rsidR="00FD56BA" w:rsidRPr="00971DED">
              <w:rPr>
                <w:rFonts w:eastAsia="Malgun Gothic"/>
                <w:noProof/>
                <w:color w:val="0070C0"/>
                <w:lang w:val="en-US"/>
              </w:rPr>
              <w:fldChar w:fldCharType="separate"/>
            </w:r>
            <w:r w:rsidRPr="00971DED">
              <w:rPr>
                <w:rFonts w:eastAsia="Malgun Gothic"/>
                <w:noProof/>
                <w:color w:val="0070C0"/>
                <w:lang w:val="en-US"/>
              </w:rPr>
              <w:t>[2]</w:t>
            </w:r>
            <w:r w:rsidR="00FD56BA"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rsidR="00C8707B" w:rsidRPr="00971DED" w:rsidRDefault="00C8707B" w:rsidP="00C8707B">
            <w:pPr>
              <w:rPr>
                <w:rFonts w:eastAsia="Malgun Gothic"/>
                <w:color w:val="0070C0"/>
              </w:rPr>
            </w:pPr>
            <w:r w:rsidRPr="00971DED">
              <w:rPr>
                <w:rFonts w:eastAsia="Malgun Gothic"/>
                <w:color w:val="0070C0"/>
              </w:rPr>
              <w:t xml:space="preserve">The purpose of this TR is </w:t>
            </w:r>
            <w:r w:rsidR="00971DED" w:rsidRPr="00971DED">
              <w:rPr>
                <w:rFonts w:eastAsia="Malgun Gothic"/>
                <w:color w:val="0070C0"/>
              </w:rPr>
              <w:t>document the findings related to the objectives of the study item</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ac"/>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Malgun Gothic"/>
              </w:rPr>
            </w:pPr>
          </w:p>
          <w:p w:rsidR="003915AD" w:rsidRDefault="00C8707B" w:rsidP="003915AD">
            <w:r w:rsidRPr="00971DED">
              <w:rPr>
                <w:b/>
                <w:bCs/>
              </w:rPr>
              <w:lastRenderedPageBreak/>
              <w:t>Evaluation sections:</w:t>
            </w:r>
            <w:r w:rsidRPr="00971DED">
              <w:t xml:space="preserve"> We suggest deleting sections 8, 9 and 10 and making section 7 just “XR </w:t>
            </w:r>
            <w:r>
              <w:t>Evaluation for NR”. We can add sub-structure and possibly have a split of 7.1,…7.4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0A0B38">
        <w:tc>
          <w:tcPr>
            <w:tcW w:w="1246" w:type="dxa"/>
          </w:tcPr>
          <w:p w:rsidR="003915AD" w:rsidRDefault="00BD7691" w:rsidP="003915AD">
            <w:r>
              <w:lastRenderedPageBreak/>
              <w:t>Apple</w:t>
            </w:r>
          </w:p>
        </w:tc>
        <w:tc>
          <w:tcPr>
            <w:tcW w:w="8385"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Since no study has been conducted in RAN1 yet on XR-- even the evaluation assumptions are still to start, it is premature to identify the capacity and power tradeoff under Section 8.2, so we suggest to remove Section 8.2. For the same reason, we also suggest to remove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Capacity and Power Tradeoff</w:t>
            </w:r>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0A0B38">
        <w:tc>
          <w:tcPr>
            <w:tcW w:w="1246" w:type="dxa"/>
          </w:tcPr>
          <w:p w:rsidR="003915AD" w:rsidRDefault="007F3BB2" w:rsidP="003915AD">
            <w:r>
              <w:lastRenderedPageBreak/>
              <w:t>CATT</w:t>
            </w:r>
          </w:p>
        </w:tc>
        <w:tc>
          <w:tcPr>
            <w:tcW w:w="8385" w:type="dxa"/>
          </w:tcPr>
          <w:p w:rsidR="007F3BB2" w:rsidRDefault="007F3BB2" w:rsidP="007F3BB2">
            <w:pPr>
              <w:pStyle w:val="10"/>
            </w:pPr>
            <w:r>
              <w:t xml:space="preserve">Our view is that the evaluation methodologies could be in one section </w:t>
            </w:r>
            <w:r w:rsidR="002370A4">
              <w:t>including the following</w:t>
            </w:r>
          </w:p>
          <w:p w:rsidR="007F3BB2" w:rsidRDefault="007F3BB2" w:rsidP="007F3BB2">
            <w:pPr>
              <w:pStyle w:val="10"/>
              <w:numPr>
                <w:ilvl w:val="0"/>
                <w:numId w:val="12"/>
              </w:numPr>
            </w:pPr>
            <w:r>
              <w:t>Deployment scenarios</w:t>
            </w:r>
          </w:p>
          <w:p w:rsidR="007F3BB2" w:rsidRDefault="007F3BB2" w:rsidP="007F3BB2">
            <w:pPr>
              <w:pStyle w:val="10"/>
              <w:numPr>
                <w:ilvl w:val="0"/>
                <w:numId w:val="12"/>
              </w:numPr>
            </w:pPr>
            <w:r>
              <w:t>Link and system level Simulation assumptions</w:t>
            </w:r>
          </w:p>
          <w:p w:rsidR="007F3BB2" w:rsidRDefault="007F3BB2" w:rsidP="007F3BB2">
            <w:pPr>
              <w:pStyle w:val="10"/>
              <w:numPr>
                <w:ilvl w:val="0"/>
                <w:numId w:val="12"/>
              </w:numPr>
            </w:pPr>
            <w:r>
              <w:t>Performance matrix – KPI</w:t>
            </w:r>
          </w:p>
          <w:p w:rsidR="007F3BB2" w:rsidRDefault="007F3BB2" w:rsidP="007F3BB2">
            <w:pPr>
              <w:pStyle w:val="10"/>
              <w:numPr>
                <w:ilvl w:val="1"/>
                <w:numId w:val="12"/>
              </w:numPr>
            </w:pPr>
            <w:r>
              <w:t>System Capacity and coverage</w:t>
            </w:r>
          </w:p>
          <w:p w:rsidR="007F3BB2" w:rsidRDefault="007F3BB2" w:rsidP="007F3BB2">
            <w:pPr>
              <w:pStyle w:val="10"/>
              <w:numPr>
                <w:ilvl w:val="1"/>
                <w:numId w:val="12"/>
              </w:numPr>
            </w:pPr>
            <w:r>
              <w:t>Power consumption</w:t>
            </w:r>
          </w:p>
          <w:p w:rsidR="007F3BB2" w:rsidRDefault="007F3BB2" w:rsidP="007F3BB2">
            <w:pPr>
              <w:pStyle w:val="10"/>
              <w:numPr>
                <w:ilvl w:val="1"/>
                <w:numId w:val="12"/>
              </w:numPr>
            </w:pPr>
            <w:r>
              <w:t>UE mobility</w:t>
            </w:r>
          </w:p>
          <w:p w:rsidR="002370A4" w:rsidRDefault="007F3BB2" w:rsidP="007F3BB2">
            <w:pPr>
              <w:pStyle w:val="10"/>
              <w:numPr>
                <w:ilvl w:val="0"/>
                <w:numId w:val="12"/>
              </w:numPr>
            </w:pPr>
            <w:r>
              <w:t>Traffic models for XR applications</w:t>
            </w:r>
          </w:p>
          <w:p w:rsidR="007F3BB2" w:rsidRDefault="002370A4" w:rsidP="002370A4">
            <w:pPr>
              <w:pStyle w:val="10"/>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7F3BB2" w:rsidRDefault="007F3BB2" w:rsidP="007F3BB2">
            <w:pPr>
              <w:pStyle w:val="10"/>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lastRenderedPageBreak/>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1"/>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10"/>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81"/>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81"/>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0A0B38">
        <w:tc>
          <w:tcPr>
            <w:tcW w:w="1246" w:type="dxa"/>
          </w:tcPr>
          <w:p w:rsidR="003915AD" w:rsidRDefault="00BF0EA9" w:rsidP="003915AD">
            <w:pPr>
              <w:rPr>
                <w:lang w:eastAsia="zh-CN"/>
              </w:rPr>
            </w:pPr>
            <w:r>
              <w:rPr>
                <w:rFonts w:hint="eastAsia"/>
                <w:lang w:eastAsia="zh-CN"/>
              </w:rPr>
              <w:lastRenderedPageBreak/>
              <w:t>ZTE,Sanechips</w:t>
            </w:r>
          </w:p>
        </w:tc>
        <w:tc>
          <w:tcPr>
            <w:tcW w:w="8385"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Capacity and Power Tradeoff</w:t>
            </w:r>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(Editor’s note: UE staggering means that traffic arrivals at gNB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lastRenderedPageBreak/>
              <w:t>*** Unchanged Omitted***</w:t>
            </w:r>
          </w:p>
          <w:p w:rsidR="00BF0EA9" w:rsidRPr="00723190" w:rsidRDefault="00BF0EA9" w:rsidP="00BF0EA9">
            <w:pPr>
              <w:rPr>
                <w:lang w:eastAsia="zh-CN"/>
              </w:rPr>
            </w:pPr>
            <w:r>
              <w:rPr>
                <w:rFonts w:hint="eastAsia"/>
                <w:lang w:eastAsia="zh-CN"/>
              </w:rPr>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alignment'.</w:t>
            </w:r>
          </w:p>
          <w:p w:rsidR="003915AD" w:rsidRDefault="00BF0EA9" w:rsidP="00BF0EA9">
            <w:r>
              <w:rPr>
                <w:rFonts w:hint="eastAsia"/>
                <w:lang w:eastAsia="zh-CN"/>
              </w:rPr>
              <w:t xml:space="preserve">Alternatively, Nokia's proposal is also acceptable. For now, it seems sufficient to list a section entitled by 'XR evaluations'. Further elaborations within the section could be done per 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0A0B38">
        <w:tc>
          <w:tcPr>
            <w:tcW w:w="1246" w:type="dxa"/>
          </w:tcPr>
          <w:p w:rsidR="003915AD" w:rsidRDefault="00ED6516" w:rsidP="003915AD">
            <w:r w:rsidRPr="00ED6516">
              <w:rPr>
                <w:sz w:val="18"/>
                <w:szCs w:val="18"/>
              </w:rPr>
              <w:lastRenderedPageBreak/>
              <w:t>FUTUREWEI</w:t>
            </w:r>
          </w:p>
        </w:tc>
        <w:tc>
          <w:tcPr>
            <w:tcW w:w="8385" w:type="dxa"/>
          </w:tcPr>
          <w:p w:rsidR="003915AD" w:rsidRDefault="00ED6516" w:rsidP="003915AD">
            <w:r>
              <w:t>There should be an overall section for evaluation methodology and assumption that are common for all evaluation work. Specifics for evaluation of different performance aspects if needed can then follow.</w:t>
            </w:r>
          </w:p>
          <w:p w:rsidR="00ED6516" w:rsidRDefault="00ED6516" w:rsidP="003915AD">
            <w:r>
              <w:t>We need to reach agreements on the specific aspects for performance evaluation before adding section on for those and how they may be captured in the TR. Therefore, we agree with Nokia’s suggestion.</w:t>
            </w:r>
          </w:p>
          <w:p w:rsidR="00ED6516" w:rsidRDefault="00ED6516" w:rsidP="003915AD">
            <w:r>
              <w:t>In addition, there seems no urgency for us to decide the TR skeleton at this meeting.</w:t>
            </w:r>
          </w:p>
        </w:tc>
      </w:tr>
      <w:tr w:rsidR="003915AD" w:rsidTr="000A0B38">
        <w:tc>
          <w:tcPr>
            <w:tcW w:w="1246" w:type="dxa"/>
          </w:tcPr>
          <w:p w:rsidR="003915AD" w:rsidRPr="003333FE" w:rsidRDefault="003333FE" w:rsidP="003915AD">
            <w:r w:rsidRPr="003333FE">
              <w:t>Ericsson</w:t>
            </w:r>
          </w:p>
        </w:tc>
        <w:tc>
          <w:tcPr>
            <w:tcW w:w="8385" w:type="dxa"/>
          </w:tcPr>
          <w:p w:rsidR="003333FE" w:rsidRPr="003333FE" w:rsidRDefault="003333FE" w:rsidP="003333FE">
            <w:pPr>
              <w:pStyle w:val="ac"/>
              <w:numPr>
                <w:ilvl w:val="0"/>
                <w:numId w:val="13"/>
              </w:numPr>
              <w:spacing w:line="252" w:lineRule="auto"/>
              <w:rPr>
                <w:rFonts w:ascii="Times New Roman" w:hAnsi="Times New Roman" w:cs="Times New Roman"/>
                <w:szCs w:val="22"/>
                <w:lang w:val="en-US"/>
              </w:rPr>
            </w:pPr>
            <w:r w:rsidRPr="003333FE">
              <w:rPr>
                <w:rFonts w:ascii="Times New Roman" w:hAnsi="Times New Roman" w:cs="Times New Roman"/>
                <w:szCs w:val="22"/>
              </w:rPr>
              <w:t>In Section 1, the following sentences seem to extend the scope of the SID. Similar to Nokia’s suggestion, it would be better to move SID scope to Sec 1, based on the agreed wording in the SID.</w:t>
            </w:r>
          </w:p>
          <w:p w:rsidR="003333FE" w:rsidRPr="003333FE" w:rsidRDefault="003333FE" w:rsidP="003333FE">
            <w:pPr>
              <w:pStyle w:val="ac"/>
              <w:spacing w:line="240" w:lineRule="auto"/>
              <w:ind w:left="360"/>
              <w:rPr>
                <w:rFonts w:ascii="Times New Roman" w:hAnsi="Times New Roman" w:cs="Times New Roman"/>
                <w:szCs w:val="22"/>
                <w:lang w:eastAsia="zh-CN"/>
              </w:rPr>
            </w:pPr>
          </w:p>
          <w:p w:rsidR="003333FE" w:rsidRPr="003333FE" w:rsidRDefault="003333FE" w:rsidP="003333FE">
            <w:pPr>
              <w:pStyle w:val="ac"/>
              <w:spacing w:line="240" w:lineRule="auto"/>
              <w:ind w:left="852"/>
              <w:rPr>
                <w:rFonts w:ascii="Times New Roman" w:hAnsi="Times New Roman" w:cs="Times New Roman"/>
                <w:i/>
                <w:szCs w:val="22"/>
                <w:lang w:eastAsia="zh-CN"/>
              </w:rPr>
            </w:pPr>
            <w:r w:rsidRPr="003333FE">
              <w:rPr>
                <w:rFonts w:ascii="Times New Roman" w:hAnsi="Times New Roman" w:cs="Times New Roman"/>
                <w:bCs/>
                <w:i/>
                <w:iCs/>
                <w:szCs w:val="22"/>
                <w:lang w:eastAsia="zh-CN"/>
              </w:rPr>
              <w:t xml:space="preserve">to document the identified problems/challenges in supporting XR applications of interest in various </w:t>
            </w:r>
            <w:r w:rsidRPr="003333FE">
              <w:rPr>
                <w:rFonts w:ascii="Times New Roman" w:hAnsi="Times New Roman" w:cs="Times New Roman"/>
                <w:i/>
                <w:iCs/>
                <w:szCs w:val="22"/>
                <w:lang w:eastAsia="ko-KR"/>
              </w:rPr>
              <w:t xml:space="preserve">scenarios. </w:t>
            </w:r>
          </w:p>
          <w:p w:rsidR="003333FE" w:rsidRPr="003333FE" w:rsidRDefault="003333FE" w:rsidP="003333FE">
            <w:pPr>
              <w:ind w:left="492"/>
              <w:rPr>
                <w:i/>
                <w:iCs/>
                <w:sz w:val="22"/>
                <w:szCs w:val="22"/>
                <w:lang w:eastAsia="zh-CN"/>
              </w:rPr>
            </w:pPr>
            <w:r w:rsidRPr="003333FE">
              <w:rPr>
                <w:i/>
                <w:iCs/>
                <w:sz w:val="22"/>
                <w:szCs w:val="22"/>
              </w:rPr>
              <w:t>This activity involves the Radio Access work area of the 3GPP studies and has potential impacts both on the Mobile Equipment and Access Network of the 3GPP systems.</w:t>
            </w:r>
          </w:p>
          <w:p w:rsidR="003333FE" w:rsidRPr="003333FE" w:rsidRDefault="003333FE" w:rsidP="003333FE">
            <w:pPr>
              <w:pStyle w:val="ac"/>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It is not necessary at this moment to have many sections and subsections of categorization. Similar to Nokia’s proposal, Section 7 could be titled ‘XR evaluation for NR’ and drop Sec 8,9,10. Subsection can be added later in Sec 7 if there are sufficient contributions to further categorize results.</w:t>
            </w:r>
          </w:p>
          <w:p w:rsidR="003915AD" w:rsidRPr="003333FE" w:rsidRDefault="003333FE" w:rsidP="003915AD">
            <w:pPr>
              <w:pStyle w:val="ac"/>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In Sections A.1 and A.2, empty tables appear not useful. Later, when RAN1 agree on exact parameters, the tables could be added straightforwardly. For now, the empty tables can be removed.</w:t>
            </w:r>
          </w:p>
        </w:tc>
      </w:tr>
      <w:tr w:rsidR="003915AD" w:rsidTr="000A0B38">
        <w:tc>
          <w:tcPr>
            <w:tcW w:w="1246" w:type="dxa"/>
          </w:tcPr>
          <w:p w:rsidR="003915AD" w:rsidRDefault="0076574C" w:rsidP="003915AD">
            <w:r w:rsidRPr="0076574C">
              <w:rPr>
                <w:rFonts w:hint="eastAsia"/>
              </w:rPr>
              <w:t>LG</w:t>
            </w:r>
          </w:p>
        </w:tc>
        <w:tc>
          <w:tcPr>
            <w:tcW w:w="8385" w:type="dxa"/>
          </w:tcPr>
          <w:p w:rsidR="003915AD" w:rsidRDefault="0076574C" w:rsidP="003915AD">
            <w:pPr>
              <w:rPr>
                <w:rFonts w:eastAsia="Malgun Gothic"/>
                <w:lang w:eastAsia="ko-KR"/>
              </w:rPr>
            </w:pPr>
            <w:r>
              <w:rPr>
                <w:rFonts w:eastAsia="Malgun Gothic" w:hint="eastAsia"/>
                <w:lang w:eastAsia="ko-KR"/>
              </w:rPr>
              <w:t>Similar with comments from other companies, it seems better to keep rough structure for evaluation section rather than detailed subsections</w:t>
            </w:r>
            <w:r>
              <w:rPr>
                <w:rFonts w:eastAsia="Malgun Gothic"/>
                <w:lang w:eastAsia="ko-KR"/>
              </w:rPr>
              <w:t xml:space="preserve"> at this stage</w:t>
            </w:r>
            <w:r>
              <w:rPr>
                <w:rFonts w:eastAsia="Malgun Gothic" w:hint="eastAsia"/>
                <w:lang w:eastAsia="ko-KR"/>
              </w:rPr>
              <w:t xml:space="preserve">. </w:t>
            </w:r>
            <w:r>
              <w:rPr>
                <w:rFonts w:eastAsia="Malgun Gothic"/>
                <w:lang w:eastAsia="ko-KR"/>
              </w:rPr>
              <w:t>We are open to discuss either having single section for evaluation as Nokia suggested or having sections for each evaluation aspects but with removing detailed subsections as Apple commented.</w:t>
            </w:r>
          </w:p>
          <w:p w:rsidR="0076574C" w:rsidRDefault="0076574C" w:rsidP="0076574C">
            <w:pPr>
              <w:rPr>
                <w:rFonts w:eastAsia="Malgun Gothic"/>
                <w:lang w:eastAsia="ko-KR"/>
              </w:rPr>
            </w:pPr>
            <w:r>
              <w:rPr>
                <w:rFonts w:eastAsia="Malgun Gothic" w:hint="eastAsia"/>
                <w:lang w:eastAsia="ko-KR"/>
              </w:rPr>
              <w:t xml:space="preserve">On the other hand, </w:t>
            </w:r>
            <w:r w:rsidR="00CE61EE">
              <w:rPr>
                <w:rFonts w:eastAsia="Malgun Gothic"/>
                <w:lang w:eastAsia="ko-KR"/>
              </w:rPr>
              <w:t>it seems unclear at this stage</w:t>
            </w:r>
            <w:r>
              <w:rPr>
                <w:rFonts w:eastAsia="Malgun Gothic" w:hint="eastAsia"/>
                <w:lang w:eastAsia="ko-KR"/>
              </w:rPr>
              <w:t xml:space="preserve"> whether/how RAN1 perform evaluation </w:t>
            </w:r>
            <w:r>
              <w:rPr>
                <w:rFonts w:eastAsia="Malgun Gothic"/>
                <w:lang w:eastAsia="ko-KR"/>
              </w:rPr>
              <w:t xml:space="preserve">of mobility aspect </w:t>
            </w:r>
            <w:r w:rsidR="00CE61EE">
              <w:rPr>
                <w:rFonts w:eastAsia="Malgun Gothic"/>
                <w:lang w:eastAsia="ko-KR"/>
              </w:rPr>
              <w:t>during the SI</w:t>
            </w:r>
            <w:r>
              <w:rPr>
                <w:rFonts w:eastAsia="Malgun Gothic"/>
                <w:lang w:eastAsia="ko-KR"/>
              </w:rPr>
              <w:t>. We may remove that aspect for the moment or discussion is necessary what we assume RAN1 to do in the SI.</w:t>
            </w:r>
          </w:p>
          <w:p w:rsidR="0076574C" w:rsidRPr="0076574C" w:rsidRDefault="0076574C" w:rsidP="0076574C">
            <w:pPr>
              <w:rPr>
                <w:rFonts w:eastAsia="Malgun Gothic"/>
                <w:lang w:eastAsia="ko-KR"/>
              </w:rPr>
            </w:pPr>
            <w:r>
              <w:rPr>
                <w:rFonts w:eastAsia="Malgun Gothic"/>
                <w:lang w:eastAsia="ko-KR"/>
              </w:rPr>
              <w:t>Regarding detailed evaluation assumptions, we may need a section or a sub-section to cover all the aspects in addition to the annex.</w:t>
            </w:r>
          </w:p>
        </w:tc>
      </w:tr>
      <w:tr w:rsidR="000A0B38" w:rsidTr="000A0B38">
        <w:tc>
          <w:tcPr>
            <w:tcW w:w="1246" w:type="dxa"/>
          </w:tcPr>
          <w:p w:rsidR="000A0B38" w:rsidRPr="00BE4CFE" w:rsidRDefault="000A0B38" w:rsidP="000A0B38">
            <w:pPr>
              <w:rPr>
                <w:rFonts w:eastAsia="Yu Mincho"/>
                <w:lang w:eastAsia="ja-JP"/>
              </w:rPr>
            </w:pPr>
            <w:r>
              <w:rPr>
                <w:rFonts w:eastAsia="Yu Mincho" w:hint="eastAsia"/>
                <w:lang w:eastAsia="ja-JP"/>
              </w:rPr>
              <w:lastRenderedPageBreak/>
              <w:t>D</w:t>
            </w:r>
            <w:r>
              <w:rPr>
                <w:rFonts w:eastAsia="Yu Mincho"/>
                <w:lang w:eastAsia="ja-JP"/>
              </w:rPr>
              <w:t>OCOMO</w:t>
            </w:r>
          </w:p>
        </w:tc>
        <w:tc>
          <w:tcPr>
            <w:tcW w:w="8385" w:type="dxa"/>
          </w:tcPr>
          <w:p w:rsidR="000A0B38" w:rsidRPr="00BE4CFE" w:rsidRDefault="000A0B38" w:rsidP="000A0B38">
            <w:pPr>
              <w:rPr>
                <w:rFonts w:eastAsia="Yu Mincho"/>
                <w:lang w:eastAsia="ja-JP"/>
              </w:rPr>
            </w:pPr>
            <w:r>
              <w:rPr>
                <w:rFonts w:eastAsia="Yu Mincho" w:hint="eastAsia"/>
                <w:lang w:eastAsia="ja-JP"/>
              </w:rPr>
              <w:t xml:space="preserve">We support the suggestions from Nokia to </w:t>
            </w:r>
            <w:r>
              <w:rPr>
                <w:rFonts w:eastAsia="Yu Mincho"/>
                <w:lang w:eastAsia="ja-JP"/>
              </w:rPr>
              <w:t>“</w:t>
            </w:r>
            <w:r w:rsidRPr="00BE4CFE">
              <w:rPr>
                <w:rFonts w:eastAsia="Yu Mincho"/>
                <w:lang w:eastAsia="ja-JP"/>
              </w:rPr>
              <w:t>Introduction and Scope sections</w:t>
            </w:r>
            <w:r>
              <w:rPr>
                <w:rFonts w:eastAsia="Yu Mincho"/>
                <w:lang w:eastAsia="ja-JP"/>
              </w:rPr>
              <w:t>” and “Evaluation sections.” Especially for evaluations, one section for evaluation is fine for now, and depending on the progress, we can add sub-sections for capacity, coverage, and so on.</w:t>
            </w:r>
          </w:p>
        </w:tc>
      </w:tr>
      <w:tr w:rsidR="00DE0EEB" w:rsidTr="000A0B38">
        <w:tc>
          <w:tcPr>
            <w:tcW w:w="1246" w:type="dxa"/>
          </w:tcPr>
          <w:p w:rsidR="00DE0EEB" w:rsidRDefault="00571892" w:rsidP="008B65C9">
            <w:r>
              <w:t>Intel</w:t>
            </w:r>
          </w:p>
        </w:tc>
        <w:tc>
          <w:tcPr>
            <w:tcW w:w="8385" w:type="dxa"/>
          </w:tcPr>
          <w:p w:rsidR="00DE0EEB" w:rsidRPr="00571892" w:rsidRDefault="00571892" w:rsidP="008B65C9">
            <w:r w:rsidRPr="00571892">
              <w:t>Quite similar comments as other companies</w:t>
            </w:r>
          </w:p>
          <w:p w:rsidR="00571892" w:rsidRPr="00571892" w:rsidRDefault="00571892" w:rsidP="00571892">
            <w:pPr>
              <w:pStyle w:val="ac"/>
              <w:numPr>
                <w:ilvl w:val="0"/>
                <w:numId w:val="14"/>
              </w:numPr>
              <w:rPr>
                <w:rFonts w:ascii="Times New Roman" w:hAnsi="Times New Roman" w:cs="Times New Roman"/>
                <w:sz w:val="20"/>
                <w:szCs w:val="20"/>
              </w:rPr>
            </w:pPr>
            <w:r w:rsidRPr="00571892">
              <w:rPr>
                <w:rFonts w:ascii="Times New Roman" w:hAnsi="Times New Roman" w:cs="Times New Roman"/>
                <w:sz w:val="20"/>
                <w:szCs w:val="20"/>
              </w:rPr>
              <w:t xml:space="preserve">The objectives from the SID </w:t>
            </w:r>
            <w:r>
              <w:rPr>
                <w:rFonts w:ascii="Times New Roman" w:hAnsi="Times New Roman" w:cs="Times New Roman"/>
                <w:sz w:val="20"/>
                <w:szCs w:val="20"/>
              </w:rPr>
              <w:t>are</w:t>
            </w:r>
            <w:r w:rsidRPr="00571892">
              <w:rPr>
                <w:rFonts w:ascii="Times New Roman" w:hAnsi="Times New Roman" w:cs="Times New Roman"/>
                <w:sz w:val="20"/>
                <w:szCs w:val="20"/>
              </w:rPr>
              <w:t xml:space="preserve"> sufficient to describe the scope of TR</w:t>
            </w:r>
          </w:p>
          <w:p w:rsidR="00571892" w:rsidRPr="00571892" w:rsidRDefault="00571892" w:rsidP="00571892">
            <w:pPr>
              <w:pStyle w:val="ac"/>
              <w:numPr>
                <w:ilvl w:val="0"/>
                <w:numId w:val="14"/>
              </w:numPr>
              <w:rPr>
                <w:rFonts w:ascii="Times New Roman" w:hAnsi="Times New Roman" w:cs="Times New Roman"/>
                <w:sz w:val="20"/>
                <w:szCs w:val="20"/>
              </w:rPr>
            </w:pPr>
            <w:r w:rsidRPr="00571892">
              <w:rPr>
                <w:rFonts w:ascii="Times New Roman" w:hAnsi="Times New Roman" w:cs="Times New Roman"/>
                <w:sz w:val="20"/>
                <w:szCs w:val="20"/>
              </w:rPr>
              <w:t xml:space="preserve">An evaluation section can include </w:t>
            </w:r>
            <w:r>
              <w:rPr>
                <w:rFonts w:ascii="Times New Roman" w:hAnsi="Times New Roman" w:cs="Times New Roman"/>
                <w:sz w:val="20"/>
                <w:szCs w:val="20"/>
              </w:rPr>
              <w:t xml:space="preserve">both </w:t>
            </w:r>
            <w:r w:rsidRPr="00571892">
              <w:rPr>
                <w:rFonts w:ascii="Times New Roman" w:hAnsi="Times New Roman" w:cs="Times New Roman"/>
                <w:sz w:val="20"/>
                <w:szCs w:val="20"/>
              </w:rPr>
              <w:t>EVM and results</w:t>
            </w:r>
          </w:p>
          <w:p w:rsidR="00571892" w:rsidRDefault="00571892" w:rsidP="00571892">
            <w:pPr>
              <w:pStyle w:val="ac"/>
              <w:numPr>
                <w:ilvl w:val="0"/>
                <w:numId w:val="14"/>
              </w:numPr>
            </w:pPr>
            <w:r w:rsidRPr="00571892">
              <w:rPr>
                <w:rFonts w:ascii="Times New Roman" w:hAnsi="Times New Roman" w:cs="Times New Roman"/>
                <w:sz w:val="20"/>
                <w:szCs w:val="20"/>
              </w:rPr>
              <w:t>we think deployment scenarios pertient to this SID can be part of EVM</w:t>
            </w:r>
          </w:p>
        </w:tc>
      </w:tr>
      <w:tr w:rsidR="00DE0EEB" w:rsidTr="000A0B38">
        <w:tc>
          <w:tcPr>
            <w:tcW w:w="1246" w:type="dxa"/>
          </w:tcPr>
          <w:p w:rsidR="00DE0EEB" w:rsidRDefault="00684569" w:rsidP="008B65C9">
            <w:r>
              <w:rPr>
                <w:rFonts w:hint="eastAsia"/>
                <w:lang w:eastAsia="zh-CN"/>
              </w:rPr>
              <w:t>Xiaomi</w:t>
            </w:r>
          </w:p>
        </w:tc>
        <w:tc>
          <w:tcPr>
            <w:tcW w:w="8385" w:type="dxa"/>
          </w:tcPr>
          <w:p w:rsidR="00DE0EEB" w:rsidRDefault="00684569" w:rsidP="00550F98">
            <w:r>
              <w:rPr>
                <w:rFonts w:hint="eastAsia"/>
                <w:lang w:eastAsia="zh-CN"/>
              </w:rPr>
              <w:t>We</w:t>
            </w:r>
            <w:r>
              <w:t xml:space="preserve"> </w:t>
            </w:r>
            <w:r w:rsidR="00550F98">
              <w:t>prefer</w:t>
            </w:r>
            <w:r>
              <w:t xml:space="preserve"> to a single “evaluation methodology” section </w:t>
            </w:r>
            <w:r w:rsidR="00A16956">
              <w:t xml:space="preserve">so common evaluation assumptions can be captured. For each evaluation </w:t>
            </w:r>
            <w:r w:rsidR="00391D82">
              <w:t>aspect</w:t>
            </w:r>
            <w:r w:rsidR="00391D82">
              <w:rPr>
                <w:rFonts w:hint="eastAsia"/>
                <w:lang w:eastAsia="zh-CN"/>
              </w:rPr>
              <w:t>, i.e.</w:t>
            </w:r>
            <w:r w:rsidR="00391D82">
              <w:rPr>
                <w:lang w:eastAsia="zh-CN"/>
              </w:rPr>
              <w:t xml:space="preserve"> capacity, power, </w:t>
            </w:r>
            <w:r w:rsidR="00C95E40">
              <w:rPr>
                <w:lang w:eastAsia="zh-CN"/>
              </w:rPr>
              <w:t>coverage and</w:t>
            </w:r>
            <w:r w:rsidR="00391D82">
              <w:rPr>
                <w:lang w:eastAsia="zh-CN"/>
              </w:rPr>
              <w:t xml:space="preserve"> mobility</w:t>
            </w:r>
            <w:r w:rsidR="00A16956">
              <w:t xml:space="preserve">, rough structure including KPI, assumptions, results, and observations would be enough at the current stage. </w:t>
            </w:r>
          </w:p>
        </w:tc>
      </w:tr>
      <w:tr w:rsidR="008579AF" w:rsidTr="000A0B38">
        <w:tc>
          <w:tcPr>
            <w:tcW w:w="1246" w:type="dxa"/>
          </w:tcPr>
          <w:p w:rsidR="008579AF" w:rsidRDefault="008579AF" w:rsidP="008579AF">
            <w:r w:rsidRPr="00053832">
              <w:t>Huawei, HiSilicon</w:t>
            </w:r>
          </w:p>
        </w:tc>
        <w:tc>
          <w:tcPr>
            <w:tcW w:w="8385" w:type="dxa"/>
          </w:tcPr>
          <w:p w:rsidR="008579AF" w:rsidRDefault="008579AF" w:rsidP="008579AF">
            <w:pPr>
              <w:rPr>
                <w:lang w:eastAsia="zh-CN"/>
              </w:rPr>
            </w:pPr>
            <w:r>
              <w:rPr>
                <w:rFonts w:hint="eastAsia"/>
                <w:lang w:eastAsia="zh-CN"/>
              </w:rPr>
              <w:t>O</w:t>
            </w:r>
            <w:r>
              <w:rPr>
                <w:lang w:eastAsia="zh-CN"/>
              </w:rPr>
              <w:t xml:space="preserve">n “Introduction” and “Scope”: </w:t>
            </w:r>
            <w:r>
              <w:t>At least the red part</w:t>
            </w:r>
            <w:r w:rsidRPr="00083837">
              <w:t xml:space="preserve"> should </w:t>
            </w:r>
            <w:r>
              <w:t xml:space="preserve">be </w:t>
            </w:r>
            <w:r w:rsidRPr="00083837">
              <w:t>remove</w:t>
            </w:r>
            <w:r>
              <w:t xml:space="preserve">d: </w:t>
            </w:r>
            <w:r w:rsidRPr="00083837">
              <w:t>“</w:t>
            </w:r>
            <w:r>
              <w:t xml:space="preserve">This activity involves the Radio Access work area of the 3GPP </w:t>
            </w:r>
            <w:r>
              <w:rPr>
                <w:strike/>
                <w:color w:val="FF0000"/>
              </w:rPr>
              <w:t>studies and has potential impacts both on the Mobile Equipment and Access Network of the 3GPP systems</w:t>
            </w:r>
            <w:r w:rsidRPr="00083837">
              <w:t>”</w:t>
            </w:r>
            <w:r>
              <w:t>. A</w:t>
            </w:r>
            <w:r w:rsidRPr="00083837">
              <w:t>s an SI has no impacts – they belong to a WI. The whole sentence is then likely not needed.</w:t>
            </w:r>
            <w:r>
              <w:t xml:space="preserve"> </w:t>
            </w:r>
            <w:r>
              <w:rPr>
                <w:lang w:eastAsia="zh-CN"/>
              </w:rPr>
              <w:t xml:space="preserve">In general, we share similar view with other companies that using the contents in SID is more accurate. And “Introduction” </w:t>
            </w:r>
            <w:r w:rsidRPr="001C7242">
              <w:rPr>
                <w:lang w:eastAsia="zh-CN"/>
              </w:rPr>
              <w:t xml:space="preserve">can </w:t>
            </w:r>
            <w:r>
              <w:rPr>
                <w:lang w:eastAsia="zh-CN"/>
              </w:rPr>
              <w:t xml:space="preserve">also </w:t>
            </w:r>
            <w:r w:rsidRPr="001C7242">
              <w:rPr>
                <w:lang w:eastAsia="zh-CN"/>
              </w:rPr>
              <w:t>be left blank now and written uncontroversially later</w:t>
            </w:r>
            <w:r>
              <w:rPr>
                <w:lang w:eastAsia="zh-CN"/>
              </w:rPr>
              <w:t>.</w:t>
            </w:r>
          </w:p>
          <w:p w:rsidR="008579AF" w:rsidRDefault="008579AF" w:rsidP="008579AF">
            <w:pPr>
              <w:rPr>
                <w:lang w:eastAsia="zh-CN"/>
              </w:rPr>
            </w:pPr>
            <w:r>
              <w:rPr>
                <w:lang w:eastAsia="zh-CN"/>
              </w:rPr>
              <w:t xml:space="preserve">At this stage, we suggest to have a rough structure rather than detailed sections. So we share similar view with Nokia that </w:t>
            </w:r>
            <w:r w:rsidRPr="00753E15">
              <w:rPr>
                <w:lang w:eastAsia="zh-CN"/>
              </w:rPr>
              <w:t>Section 7 could be titled</w:t>
            </w:r>
            <w:r>
              <w:rPr>
                <w:lang w:eastAsia="zh-CN"/>
              </w:rPr>
              <w:t xml:space="preserve"> as</w:t>
            </w:r>
            <w:r w:rsidRPr="00753E15">
              <w:rPr>
                <w:lang w:eastAsia="zh-CN"/>
              </w:rPr>
              <w:t xml:space="preserve"> ‘XR evaluation for NR’ and </w:t>
            </w:r>
            <w:r>
              <w:rPr>
                <w:lang w:eastAsia="zh-CN"/>
              </w:rPr>
              <w:t>remove</w:t>
            </w:r>
            <w:r w:rsidRPr="00753E15">
              <w:rPr>
                <w:lang w:eastAsia="zh-CN"/>
              </w:rPr>
              <w:t xml:space="preserve"> Sec</w:t>
            </w:r>
            <w:r>
              <w:rPr>
                <w:lang w:eastAsia="zh-CN"/>
              </w:rPr>
              <w:t>tion</w:t>
            </w:r>
            <w:r w:rsidRPr="00753E15">
              <w:rPr>
                <w:lang w:eastAsia="zh-CN"/>
              </w:rPr>
              <w:t xml:space="preserve"> 8,9,10.</w:t>
            </w:r>
            <w:r>
              <w:rPr>
                <w:lang w:eastAsia="zh-CN"/>
              </w:rPr>
              <w:t xml:space="preserve"> </w:t>
            </w:r>
          </w:p>
          <w:p w:rsidR="008579AF" w:rsidRDefault="008579AF" w:rsidP="008579AF">
            <w:pPr>
              <w:keepNext/>
              <w:keepLines/>
              <w:widowControl w:val="0"/>
              <w:tabs>
                <w:tab w:val="right" w:leader="dot" w:pos="9639"/>
              </w:tabs>
              <w:spacing w:before="120" w:after="0"/>
              <w:ind w:left="567" w:right="425" w:hanging="567"/>
              <w:rPr>
                <w:lang w:eastAsia="zh-CN"/>
              </w:rPr>
            </w:pPr>
            <w:r>
              <w:rPr>
                <w:lang w:eastAsia="zh-CN"/>
              </w:rPr>
              <w:t>Some other comments:</w:t>
            </w:r>
          </w:p>
          <w:p w:rsidR="008579AF" w:rsidRDefault="008579AF" w:rsidP="008579AF">
            <w:pPr>
              <w:pStyle w:val="ac"/>
              <w:numPr>
                <w:ilvl w:val="0"/>
                <w:numId w:val="15"/>
              </w:numPr>
              <w:rPr>
                <w:rFonts w:ascii="Times New Roman" w:hAnsi="Times New Roman" w:cs="Times New Roman"/>
                <w:sz w:val="20"/>
                <w:szCs w:val="20"/>
              </w:rPr>
            </w:pPr>
            <w:r w:rsidRPr="005F4C74">
              <w:rPr>
                <w:rFonts w:ascii="Times New Roman" w:hAnsi="Times New Roman" w:cs="Times New Roman"/>
                <w:sz w:val="20"/>
                <w:szCs w:val="20"/>
              </w:rPr>
              <w:t>Date on cover sheet and change history annex should be 2020-11.</w:t>
            </w:r>
          </w:p>
          <w:p w:rsidR="008579AF" w:rsidRDefault="008579AF" w:rsidP="008579AF">
            <w:pPr>
              <w:pStyle w:val="ac"/>
              <w:numPr>
                <w:ilvl w:val="0"/>
                <w:numId w:val="15"/>
              </w:numPr>
              <w:rPr>
                <w:rFonts w:ascii="Times New Roman" w:hAnsi="Times New Roman" w:cs="Times New Roman"/>
                <w:sz w:val="20"/>
                <w:szCs w:val="20"/>
              </w:rPr>
            </w:pPr>
            <w:r w:rsidRPr="00FC5091">
              <w:rPr>
                <w:rFonts w:ascii="Times New Roman" w:hAnsi="Times New Roman" w:cs="Times New Roman"/>
                <w:sz w:val="20"/>
                <w:szCs w:val="20"/>
              </w:rPr>
              <w:t>Section 3.3. abbreviations includes various not in the TR yet, and some that are also in 21.905.</w:t>
            </w:r>
          </w:p>
          <w:p w:rsidR="008579AF" w:rsidRDefault="008579AF" w:rsidP="008579AF">
            <w:pPr>
              <w:pStyle w:val="ac"/>
              <w:numPr>
                <w:ilvl w:val="0"/>
                <w:numId w:val="15"/>
              </w:numPr>
              <w:rPr>
                <w:rFonts w:ascii="Times New Roman" w:hAnsi="Times New Roman" w:cs="Times New Roman"/>
                <w:sz w:val="20"/>
                <w:szCs w:val="20"/>
              </w:rPr>
            </w:pPr>
            <w:r w:rsidRPr="00FD0CAB">
              <w:rPr>
                <w:rFonts w:ascii="Times New Roman" w:hAnsi="Times New Roman" w:cs="Times New Roman"/>
                <w:sz w:val="20"/>
                <w:szCs w:val="20"/>
              </w:rPr>
              <w:t>Section 4 – why is “System Architecture” included? This is a RAN1-only SI, so no architectural scope in SID.</w:t>
            </w:r>
          </w:p>
          <w:p w:rsidR="008579AF" w:rsidRPr="00F21623" w:rsidRDefault="008579AF" w:rsidP="008579AF">
            <w:pPr>
              <w:pStyle w:val="ac"/>
              <w:numPr>
                <w:ilvl w:val="0"/>
                <w:numId w:val="15"/>
              </w:numPr>
              <w:rPr>
                <w:rFonts w:ascii="Times New Roman" w:hAnsi="Times New Roman" w:cs="Times New Roman"/>
                <w:sz w:val="20"/>
                <w:szCs w:val="20"/>
              </w:rPr>
            </w:pPr>
            <w:r w:rsidRPr="0000739B">
              <w:rPr>
                <w:rFonts w:ascii="Times New Roman" w:hAnsi="Times New Roman" w:cs="Times New Roman"/>
                <w:sz w:val="20"/>
                <w:szCs w:val="20"/>
              </w:rPr>
              <w:t>Annex &lt;B&gt; change history should be kept as Annex &lt;X&gt; to ensure it remains the last of the Annexes and does not have its &lt;NAME&gt; changed as the TR evolves.</w:t>
            </w:r>
          </w:p>
        </w:tc>
      </w:tr>
      <w:tr w:rsidR="008579AF" w:rsidTr="000A0B38">
        <w:tc>
          <w:tcPr>
            <w:tcW w:w="1246" w:type="dxa"/>
          </w:tcPr>
          <w:p w:rsidR="008579AF" w:rsidRDefault="000D63F6" w:rsidP="008579AF">
            <w:r>
              <w:t>MTK</w:t>
            </w:r>
          </w:p>
        </w:tc>
        <w:tc>
          <w:tcPr>
            <w:tcW w:w="8385" w:type="dxa"/>
          </w:tcPr>
          <w:p w:rsidR="008579AF" w:rsidRDefault="000D63F6" w:rsidP="008579AF">
            <w:r>
              <w:t>We share similar view with Nokia, Apple, and other companies that current skeleton can be kept simple, so Sections like “</w:t>
            </w:r>
            <w:r>
              <w:t>Capacity and Power Tradeoff</w:t>
            </w:r>
            <w:r>
              <w:t>”, “</w:t>
            </w:r>
            <w:r>
              <w:t xml:space="preserve">Impact of DL and UL Alignment </w:t>
            </w:r>
            <w:r>
              <w:t xml:space="preserve">…”, can be added later when RAN1 achieved a conclusion. An </w:t>
            </w:r>
            <w:r>
              <w:t xml:space="preserve">“evaluation methodology” section </w:t>
            </w:r>
            <w:r>
              <w:t xml:space="preserve">to address </w:t>
            </w:r>
            <w:r>
              <w:t>common evaluation assumptions</w:t>
            </w:r>
            <w:r>
              <w:t xml:space="preserve"> (including SLS parameters) can be enough for now. There can be further detailed evaluation assumptions to vary between different enhancement targets (ex. Capacity, power, …), and those assumptions can be included as a subsection for each enhancement target after RAN1 finalized the corresponding assumptions later.</w:t>
            </w:r>
            <w:bookmarkStart w:id="13" w:name="_GoBack"/>
            <w:bookmarkEnd w:id="13"/>
          </w:p>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904" w:rsidRDefault="00BB0904">
      <w:r>
        <w:separator/>
      </w:r>
    </w:p>
  </w:endnote>
  <w:endnote w:type="continuationSeparator" w:id="0">
    <w:p w:rsidR="00BB0904" w:rsidRDefault="00BB0904">
      <w:r>
        <w:continuationSeparator/>
      </w:r>
    </w:p>
  </w:endnote>
  <w:endnote w:type="continuationNotice" w:id="1">
    <w:p w:rsidR="00BB0904" w:rsidRDefault="00BB0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904" w:rsidRDefault="00BB0904">
      <w:r>
        <w:separator/>
      </w:r>
    </w:p>
  </w:footnote>
  <w:footnote w:type="continuationSeparator" w:id="0">
    <w:p w:rsidR="00BB0904" w:rsidRDefault="00BB0904">
      <w:r>
        <w:continuationSeparator/>
      </w:r>
    </w:p>
  </w:footnote>
  <w:footnote w:type="continuationNotice" w:id="1">
    <w:p w:rsidR="00BB0904" w:rsidRDefault="00BB090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3C6B8A"/>
    <w:multiLevelType w:val="hybridMultilevel"/>
    <w:tmpl w:val="8A789F12"/>
    <w:lvl w:ilvl="0" w:tplc="B21C5A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C4FF7"/>
    <w:multiLevelType w:val="hybridMultilevel"/>
    <w:tmpl w:val="D5165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F1CF8"/>
    <w:multiLevelType w:val="hybridMultilevel"/>
    <w:tmpl w:val="0D0612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0"/>
  </w:num>
  <w:num w:numId="5">
    <w:abstractNumId w:val="5"/>
  </w:num>
  <w:num w:numId="6">
    <w:abstractNumId w:val="12"/>
  </w:num>
  <w:num w:numId="7">
    <w:abstractNumId w:val="11"/>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9"/>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B38"/>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63F6"/>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3FE"/>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D82"/>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0F98"/>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92"/>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569"/>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574C"/>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705"/>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9AF"/>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1EF"/>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3E1F"/>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956"/>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904"/>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07FF"/>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40"/>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77229"/>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6C4"/>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5E40"/>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9D"/>
    <w:rsid w:val="00CE16FD"/>
    <w:rsid w:val="00CE1E0F"/>
    <w:rsid w:val="00CE2321"/>
    <w:rsid w:val="00CE2C93"/>
    <w:rsid w:val="00CE2DE9"/>
    <w:rsid w:val="00CE33D1"/>
    <w:rsid w:val="00CE45B1"/>
    <w:rsid w:val="00CE460D"/>
    <w:rsid w:val="00CE4B6A"/>
    <w:rsid w:val="00CE56A3"/>
    <w:rsid w:val="00CE61EE"/>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461"/>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6516"/>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64BE"/>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6CF"/>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1AC7"/>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6BA"/>
    <w:pPr>
      <w:spacing w:after="180"/>
    </w:pPr>
    <w:rPr>
      <w:lang w:val="en-GB" w:eastAsia="en-US"/>
    </w:rPr>
  </w:style>
  <w:style w:type="paragraph" w:styleId="1">
    <w:name w:val="heading 1"/>
    <w:next w:val="a"/>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FD56BA"/>
    <w:pPr>
      <w:pBdr>
        <w:top w:val="none" w:sz="0" w:space="0" w:color="auto"/>
      </w:pBdr>
      <w:spacing w:before="180"/>
      <w:outlineLvl w:val="1"/>
    </w:pPr>
    <w:rPr>
      <w:sz w:val="32"/>
    </w:rPr>
  </w:style>
  <w:style w:type="paragraph" w:styleId="3">
    <w:name w:val="heading 3"/>
    <w:basedOn w:val="2"/>
    <w:next w:val="a"/>
    <w:link w:val="30"/>
    <w:qFormat/>
    <w:rsid w:val="00FD56BA"/>
    <w:pPr>
      <w:spacing w:before="120"/>
      <w:outlineLvl w:val="2"/>
    </w:pPr>
    <w:rPr>
      <w:sz w:val="28"/>
    </w:rPr>
  </w:style>
  <w:style w:type="paragraph" w:styleId="4">
    <w:name w:val="heading 4"/>
    <w:basedOn w:val="3"/>
    <w:next w:val="a"/>
    <w:qFormat/>
    <w:rsid w:val="00FD56BA"/>
    <w:pPr>
      <w:ind w:left="1418" w:hanging="1418"/>
      <w:outlineLvl w:val="3"/>
    </w:pPr>
    <w:rPr>
      <w:sz w:val="24"/>
    </w:rPr>
  </w:style>
  <w:style w:type="paragraph" w:styleId="5">
    <w:name w:val="heading 5"/>
    <w:basedOn w:val="4"/>
    <w:next w:val="a"/>
    <w:qFormat/>
    <w:rsid w:val="00FD56BA"/>
    <w:pPr>
      <w:ind w:left="1701" w:hanging="1701"/>
      <w:outlineLvl w:val="4"/>
    </w:pPr>
    <w:rPr>
      <w:sz w:val="22"/>
    </w:rPr>
  </w:style>
  <w:style w:type="paragraph" w:styleId="6">
    <w:name w:val="heading 6"/>
    <w:basedOn w:val="H6"/>
    <w:next w:val="a"/>
    <w:qFormat/>
    <w:rsid w:val="00FD56BA"/>
    <w:pPr>
      <w:outlineLvl w:val="5"/>
    </w:pPr>
  </w:style>
  <w:style w:type="paragraph" w:styleId="7">
    <w:name w:val="heading 7"/>
    <w:basedOn w:val="H6"/>
    <w:next w:val="a"/>
    <w:qFormat/>
    <w:rsid w:val="00FD56BA"/>
    <w:pPr>
      <w:outlineLvl w:val="6"/>
    </w:pPr>
  </w:style>
  <w:style w:type="paragraph" w:styleId="8">
    <w:name w:val="heading 8"/>
    <w:basedOn w:val="1"/>
    <w:next w:val="a"/>
    <w:link w:val="80"/>
    <w:qFormat/>
    <w:rsid w:val="00FD56BA"/>
    <w:pPr>
      <w:ind w:left="0" w:firstLine="0"/>
      <w:outlineLvl w:val="7"/>
    </w:pPr>
  </w:style>
  <w:style w:type="paragraph" w:styleId="9">
    <w:name w:val="heading 9"/>
    <w:basedOn w:val="8"/>
    <w:next w:val="a"/>
    <w:qFormat/>
    <w:rsid w:val="00FD56B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D56BA"/>
    <w:pPr>
      <w:ind w:left="1985" w:hanging="1985"/>
      <w:outlineLvl w:val="9"/>
    </w:pPr>
    <w:rPr>
      <w:sz w:val="20"/>
    </w:rPr>
  </w:style>
  <w:style w:type="paragraph" w:styleId="90">
    <w:name w:val="toc 9"/>
    <w:basedOn w:val="81"/>
    <w:uiPriority w:val="39"/>
    <w:rsid w:val="00FD56BA"/>
    <w:pPr>
      <w:ind w:left="1418" w:hanging="1418"/>
    </w:pPr>
  </w:style>
  <w:style w:type="paragraph" w:styleId="81">
    <w:name w:val="toc 8"/>
    <w:basedOn w:val="10"/>
    <w:uiPriority w:val="39"/>
    <w:rsid w:val="00FD56BA"/>
    <w:pPr>
      <w:spacing w:before="180"/>
      <w:ind w:left="2693" w:hanging="2693"/>
    </w:pPr>
    <w:rPr>
      <w:b/>
    </w:rPr>
  </w:style>
  <w:style w:type="paragraph" w:styleId="10">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FD56BA"/>
    <w:pPr>
      <w:keepLines/>
      <w:tabs>
        <w:tab w:val="center" w:pos="4536"/>
        <w:tab w:val="right" w:pos="9072"/>
      </w:tabs>
    </w:pPr>
    <w:rPr>
      <w:noProof/>
    </w:rPr>
  </w:style>
  <w:style w:type="character" w:customStyle="1" w:styleId="ZGSM">
    <w:name w:val="ZGSM"/>
    <w:rsid w:val="00FD56BA"/>
  </w:style>
  <w:style w:type="paragraph" w:styleId="a3">
    <w:name w:val="header"/>
    <w:link w:val="a4"/>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50">
    <w:name w:val="toc 5"/>
    <w:basedOn w:val="40"/>
    <w:semiHidden/>
    <w:rsid w:val="00FD56BA"/>
    <w:pPr>
      <w:ind w:left="1701" w:hanging="1701"/>
    </w:pPr>
  </w:style>
  <w:style w:type="paragraph" w:styleId="40">
    <w:name w:val="toc 4"/>
    <w:basedOn w:val="31"/>
    <w:semiHidden/>
    <w:rsid w:val="00FD56BA"/>
    <w:pPr>
      <w:ind w:left="1418" w:hanging="1418"/>
    </w:pPr>
  </w:style>
  <w:style w:type="paragraph" w:styleId="31">
    <w:name w:val="toc 3"/>
    <w:basedOn w:val="20"/>
    <w:uiPriority w:val="39"/>
    <w:rsid w:val="00FD56BA"/>
    <w:pPr>
      <w:ind w:left="1134" w:hanging="1134"/>
    </w:pPr>
  </w:style>
  <w:style w:type="paragraph" w:styleId="20">
    <w:name w:val="toc 2"/>
    <w:basedOn w:val="10"/>
    <w:uiPriority w:val="39"/>
    <w:rsid w:val="00FD56BA"/>
    <w:pPr>
      <w:keepNext w:val="0"/>
      <w:spacing w:before="0"/>
      <w:ind w:left="851" w:hanging="851"/>
    </w:pPr>
    <w:rPr>
      <w:sz w:val="20"/>
    </w:rPr>
  </w:style>
  <w:style w:type="paragraph" w:styleId="a5">
    <w:name w:val="footer"/>
    <w:basedOn w:val="a3"/>
    <w:rsid w:val="00FD56BA"/>
    <w:pPr>
      <w:jc w:val="center"/>
    </w:pPr>
    <w:rPr>
      <w:i/>
    </w:rPr>
  </w:style>
  <w:style w:type="paragraph" w:customStyle="1" w:styleId="TT">
    <w:name w:val="TT"/>
    <w:basedOn w:val="1"/>
    <w:next w:val="a"/>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a"/>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a"/>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a"/>
    <w:rsid w:val="00FD56BA"/>
    <w:pPr>
      <w:keepLines/>
      <w:ind w:left="1702" w:hanging="1418"/>
    </w:pPr>
  </w:style>
  <w:style w:type="paragraph" w:customStyle="1" w:styleId="FP">
    <w:name w:val="FP"/>
    <w:basedOn w:val="a"/>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a"/>
    <w:rsid w:val="00FD56BA"/>
    <w:pPr>
      <w:ind w:left="568" w:hanging="284"/>
    </w:pPr>
  </w:style>
  <w:style w:type="paragraph" w:styleId="60">
    <w:name w:val="toc 6"/>
    <w:basedOn w:val="50"/>
    <w:next w:val="a"/>
    <w:semiHidden/>
    <w:rsid w:val="00FD56BA"/>
    <w:pPr>
      <w:ind w:left="1985" w:hanging="1985"/>
    </w:pPr>
  </w:style>
  <w:style w:type="paragraph" w:styleId="70">
    <w:name w:val="toc 7"/>
    <w:basedOn w:val="60"/>
    <w:next w:val="a"/>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a"/>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FD56BA"/>
    <w:pPr>
      <w:ind w:left="851" w:hanging="284"/>
    </w:pPr>
  </w:style>
  <w:style w:type="paragraph" w:customStyle="1" w:styleId="B3">
    <w:name w:val="B3"/>
    <w:basedOn w:val="a"/>
    <w:rsid w:val="00FD56BA"/>
    <w:pPr>
      <w:ind w:left="1135" w:hanging="284"/>
    </w:pPr>
  </w:style>
  <w:style w:type="paragraph" w:customStyle="1" w:styleId="B4">
    <w:name w:val="B4"/>
    <w:basedOn w:val="a"/>
    <w:rsid w:val="00FD56BA"/>
    <w:pPr>
      <w:ind w:left="1418" w:hanging="284"/>
    </w:pPr>
  </w:style>
  <w:style w:type="paragraph" w:customStyle="1" w:styleId="B5">
    <w:name w:val="B5"/>
    <w:basedOn w:val="a"/>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a"/>
    <w:rsid w:val="00FD56B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註解方塊文字 字元"/>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標題 8 字元"/>
    <w:link w:val="8"/>
    <w:rsid w:val="0072763B"/>
    <w:rPr>
      <w:rFonts w:ascii="Arial" w:hAnsi="Arial"/>
      <w:sz w:val="36"/>
      <w:lang w:val="en-GB" w:eastAsia="en-US"/>
    </w:rPr>
  </w:style>
  <w:style w:type="character" w:customStyle="1" w:styleId="30">
    <w:name w:val="標題 3 字元"/>
    <w:link w:val="3"/>
    <w:rsid w:val="00940235"/>
    <w:rPr>
      <w:rFonts w:ascii="Arial" w:hAnsi="Arial"/>
      <w:sz w:val="28"/>
      <w:lang w:val="en-GB" w:eastAsia="en-US"/>
    </w:rPr>
  </w:style>
  <w:style w:type="character" w:customStyle="1" w:styleId="ab">
    <w:name w:val="清單段落 字元"/>
    <w:aliases w:val="- Bullets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목록단락 字元"/>
    <w:link w:val="ac"/>
    <w:uiPriority w:val="34"/>
    <w:qFormat/>
    <w:locked/>
    <w:rsid w:val="00A16ABD"/>
    <w:rPr>
      <w:rFonts w:ascii="Times" w:eastAsia="SimSun" w:hAnsi="Times" w:cs="Times"/>
      <w:sz w:val="22"/>
      <w:szCs w:val="24"/>
      <w:lang w:eastAsia="ja-JP"/>
    </w:rPr>
  </w:style>
  <w:style w:type="paragraph" w:styleId="ac">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註解文字 字元"/>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註解主旨 字元"/>
    <w:link w:val="af0"/>
    <w:rsid w:val="00501E6E"/>
    <w:rPr>
      <w:b/>
      <w:bCs/>
      <w:lang w:val="en-GB" w:eastAsia="en-US"/>
    </w:rPr>
  </w:style>
  <w:style w:type="character" w:customStyle="1" w:styleId="a4">
    <w:name w:val="頁首 字元"/>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本文 字元"/>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qFormat/>
    <w:rsid w:val="00772A61"/>
    <w:pPr>
      <w:spacing w:before="100" w:beforeAutospacing="1" w:after="100" w:afterAutospacing="1"/>
    </w:pPr>
    <w:rPr>
      <w:sz w:val="24"/>
      <w:szCs w:val="24"/>
      <w:lang w:eastAsia="en-GB"/>
    </w:rPr>
  </w:style>
  <w:style w:type="paragraph" w:styleId="af4">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5">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f6"/>
    <w:semiHidden/>
    <w:locked/>
    <w:rsid w:val="00976D7B"/>
    <w:rPr>
      <w:rFonts w:asciiTheme="minorHAnsi" w:eastAsiaTheme="minorHAnsi" w:hAnsiTheme="minorHAnsi" w:cstheme="minorBidi"/>
      <w:b/>
      <w:sz w:val="22"/>
      <w:szCs w:val="22"/>
      <w:lang w:val="en-US"/>
    </w:rPr>
  </w:style>
  <w:style w:type="paragraph" w:styleId="af6">
    <w:name w:val="caption"/>
    <w:aliases w:val="cap,cap1,cap2,cap3,cap4,cap5,cap6,cap7,cap8,cap9,cap10,cap11,cap21,cap31,cap41,cap51,cap61,cap71,cap81,cap91,cap101,cap12,cap22,cap32,cap42,cap52,cap62,cap72,cap82,cap92,cap102,cap13,cap23,cap33,cap43,cap53,cap63,cap73,cap83,cap93,cap103,cap14"/>
    <w:basedOn w:val="a"/>
    <w:next w:val="a"/>
    <w:link w:val="af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af7">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37680094">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029C599A-A747-4C68-B175-82831254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6</Pages>
  <Words>2286</Words>
  <Characters>13036</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15292</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 Hsieh (謝其軒)</cp:lastModifiedBy>
  <cp:revision>3</cp:revision>
  <cp:lastPrinted>2020-05-14T12:07:00Z</cp:lastPrinted>
  <dcterms:created xsi:type="dcterms:W3CDTF">2020-11-05T09:14:00Z</dcterms:created>
  <dcterms:modified xsi:type="dcterms:W3CDTF">2020-11-05T09:51:00Z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CWMdb2933bcd8b24c27927abb69ca5dd61e">
    <vt:lpwstr>CWMKKEfBQ/tETACkgygapBrGSwUcXLSY06Qh65lkq88jDq3+e9j3lchZ9ZGtS9jWSNmtW/8JBpqq1Rixl9qX/A4zw==</vt:lpwstr>
  </property>
  <property fmtid="{D5CDD505-2E9C-101B-9397-08002B2CF9AE}" pid="4" name="_2015_ms_pID_725343">
    <vt:lpwstr>(2)2WGDAZ5wkG9C0jbD4kJ77hkOLExcYsofWWLomdd54P8gc5lNrDyLESxh0mRIyXQrDp65m/70
dJjT7zGgW5InJLdi6keHnFxjXOWTb1bcFj2zDxv6+VzZ24+1zGWMZtbYHpe3ekZHmETdktzB
ciXlBryI5PJsN/9OOjVM185Bq1jcNCN2IYJVUCdTJ53bkN+rPOSp+vY4Ye5rKSgbVDsFqIMH
aYPbGn1JE9dShq2M1B</vt:lpwstr>
  </property>
  <property fmtid="{D5CDD505-2E9C-101B-9397-08002B2CF9AE}" pid="5" name="_2015_ms_pID_7253431">
    <vt:lpwstr>67FdMANZ0T22AOEerNyWwzo3B1W32ChysxGysmH8qo6Na8ChgMmuSs
SFTc9SnvvMEzhGnosBbEXHPGZydivnP6rp881dIP19ehJeRqLfmVnrmEtr5nUw6jZa4+DFlK
uSxBc5If3RiGoRmXss2S+Zhs6VIPV027xFFAppNWzfUM+CjB2qajv7mDHcCL5dQ4vFUzR7kE
XuONhn+D/QWY9o+1</vt:lpwstr>
  </property>
</Properties>
</file>