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404BA"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lang w:eastAsia="ko-KR"/>
              </w:rPr>
            </w:pPr>
            <w:r>
              <w:rPr>
                <w:rFonts w:eastAsia="Malgun Gothic"/>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ListParagraph"/>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ListParagraph"/>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ListParagraph"/>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another DCI(s) after the PCell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lang w:eastAsia="ko-KR"/>
              </w:rPr>
            </w:pPr>
            <w:r>
              <w:rPr>
                <w:rFonts w:eastAsia="Malgun Gothic"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uawei, HiSilicon</w:t>
            </w:r>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SCell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@Ericsson, In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gNB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ZTE, Not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SCell activation. </w:t>
            </w:r>
          </w:p>
          <w:p w14:paraId="0C463E74" w14:textId="2CA43663" w:rsidR="00550B44" w:rsidRDefault="00631F4B" w:rsidP="00631F4B">
            <w:pPr>
              <w:pStyle w:val="ListParagraph"/>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r>
              <w:rPr>
                <w:iCs/>
                <w:lang w:eastAsia="zh-CN"/>
              </w:rPr>
              <w:t>Generally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w:t>
            </w:r>
            <w:r w:rsidRPr="006422BC">
              <w:rPr>
                <w:i/>
                <w:color w:val="00B0F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maybe different MAC-CEs in single PDSCH.  And the wording is a bit </w:t>
            </w:r>
            <w:r>
              <w:rPr>
                <w:iCs/>
                <w:lang w:eastAsia="zh-CN"/>
              </w:rPr>
              <w:lastRenderedPageBreak/>
              <w:t xml:space="preserve">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t>“single triggering command does not preclude one or more MAC-CE commands being transmitted in a single PDSCH“</w:t>
            </w:r>
          </w:p>
        </w:tc>
      </w:tr>
    </w:tbl>
    <w:p w14:paraId="443AC034" w14:textId="77777777"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lang w:eastAsia="ko-KR"/>
              </w:rPr>
            </w:pPr>
            <w:r>
              <w:rPr>
                <w:rFonts w:eastAsia="Malgun Gothic" w:hint="eastAsia"/>
                <w:lang w:eastAsia="ko-KR"/>
              </w:rPr>
              <w:lastRenderedPageBreak/>
              <w:t>Samsung</w:t>
            </w:r>
          </w:p>
        </w:tc>
        <w:tc>
          <w:tcPr>
            <w:tcW w:w="7194" w:type="dxa"/>
          </w:tcPr>
          <w:p w14:paraId="7481E42B" w14:textId="064368EB" w:rsidR="00916B4A" w:rsidRPr="00872F72" w:rsidRDefault="00872F72" w:rsidP="00916B4A">
            <w:pPr>
              <w:spacing w:beforeLines="50" w:before="120"/>
              <w:rPr>
                <w:rFonts w:eastAsia="Malgun Gothic"/>
                <w:lang w:eastAsia="ko-KR"/>
              </w:rPr>
            </w:pPr>
            <w:r>
              <w:rPr>
                <w:rFonts w:eastAsia="Malgun Gothic"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gNB transmit temporary RS as if UE can always receive the MAC CE without retransmission or gNB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ListParagraph"/>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Either: Futurewei, CATT</w:t>
            </w:r>
          </w:p>
          <w:p w14:paraId="367F3A78" w14:textId="77777777" w:rsidR="003866FD" w:rsidRDefault="003866FD" w:rsidP="003866FD">
            <w:pPr>
              <w:spacing w:beforeLines="50" w:before="120"/>
              <w:ind w:left="79"/>
              <w:rPr>
                <w:iCs/>
                <w:lang w:eastAsia="zh-CN"/>
              </w:rPr>
            </w:pPr>
            <w:r>
              <w:rPr>
                <w:rFonts w:hint="eastAsia"/>
                <w:iCs/>
                <w:lang w:eastAsia="zh-CN"/>
              </w:rPr>
              <w:t>C</w:t>
            </w:r>
            <w:r>
              <w:rPr>
                <w:iCs/>
                <w:lang w:eastAsia="zh-CN"/>
              </w:rPr>
              <w:t xml:space="preserve">oncerns: </w:t>
            </w:r>
          </w:p>
          <w:p w14:paraId="3634DA05" w14:textId="2D6BF92C" w:rsidR="003866FD" w:rsidRPr="004B2DF8" w:rsidRDefault="003866FD" w:rsidP="003866FD">
            <w:pPr>
              <w:pStyle w:val="ListParagraph"/>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ListParagraph"/>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5pt" o:ole="">
            <v:imagedata r:id="rId12" o:title=""/>
          </v:shape>
          <o:OLEObject Type="Embed" ProgID="Equation.3" ShapeID="_x0000_i1025" DrawAspect="Content" ObjectID="_1666131964" r:id="rId13"/>
        </w:object>
      </w:r>
      <w:r>
        <w:t xml:space="preserve">, </w:t>
      </w:r>
      <w:r>
        <w:rPr>
          <w:rFonts w:eastAsiaTheme="minorEastAsia"/>
          <w:position w:val="-10"/>
          <w:lang w:val="x-none"/>
        </w:rPr>
        <w:object w:dxaOrig="705" w:dyaOrig="330" w14:anchorId="38E9224E">
          <v:shape id="_x0000_i1026" type="#_x0000_t75" style="width:36pt;height:14.5pt" o:ole="">
            <v:imagedata r:id="rId14" o:title=""/>
          </v:shape>
          <o:OLEObject Type="Embed" ProgID="Equation.3" ShapeID="_x0000_i1026" DrawAspect="Content" ObjectID="_1666131965" r:id="rId15"/>
        </w:object>
      </w:r>
      <w:r>
        <w:t>, or</w:t>
      </w:r>
      <w:r>
        <w:rPr>
          <w:rFonts w:eastAsiaTheme="minorEastAsia"/>
          <w:position w:val="-10"/>
          <w:lang w:val="x-none"/>
        </w:rPr>
        <w:object w:dxaOrig="825" w:dyaOrig="330" w14:anchorId="62D5EE37">
          <v:shape id="_x0000_i1027" type="#_x0000_t75" style="width:43pt;height:14.5pt" o:ole="">
            <v:imagedata r:id="rId16" o:title=""/>
          </v:shape>
          <o:OLEObject Type="Embed" ProgID="Equation.3" ShapeID="_x0000_i1027" DrawAspect="Content" ObjectID="_1666131966"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lastRenderedPageBreak/>
        <w:t>-</w:t>
      </w:r>
      <w:r>
        <w:rPr>
          <w:sz w:val="22"/>
          <w:szCs w:val="22"/>
        </w:rPr>
        <w:tab/>
      </w:r>
      <w:r>
        <w:rPr>
          <w:rFonts w:eastAsiaTheme="minorEastAsia"/>
          <w:position w:val="-10"/>
          <w:sz w:val="22"/>
          <w:szCs w:val="22"/>
          <w:lang w:val="x-none"/>
        </w:rPr>
        <w:object w:dxaOrig="705" w:dyaOrig="330" w14:anchorId="442092B1">
          <v:shape id="_x0000_i1028" type="#_x0000_t75" style="width:36pt;height:14.5pt" o:ole="">
            <v:imagedata r:id="rId18" o:title=""/>
          </v:shape>
          <o:OLEObject Type="Embed" ProgID="Equation.3" ShapeID="_x0000_i1028" DrawAspect="Content" ObjectID="_1666131967"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pt;height:14.5pt" o:ole="">
            <v:imagedata r:id="rId20" o:title=""/>
          </v:shape>
          <o:OLEObject Type="Embed" ProgID="Equation.3" ShapeID="_x0000_i1029" DrawAspect="Content" ObjectID="_1666131968"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6pt;height:14.5pt" o:ole="">
            <v:imagedata r:id="rId22" o:title=""/>
          </v:shape>
          <o:OLEObject Type="Embed" ProgID="Equation.3" ShapeID="_x0000_i1030" DrawAspect="Content" ObjectID="_1666131969"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6pt;height:14.5pt" o:ole="">
            <v:imagedata r:id="rId24" o:title=""/>
          </v:shape>
          <o:OLEObject Type="Embed" ProgID="Equation.3" ShapeID="_x0000_i1031" DrawAspect="Content" ObjectID="_1666131970"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pt;height:14.5pt" o:ole="">
            <v:imagedata r:id="rId26" o:title=""/>
          </v:shape>
          <o:OLEObject Type="Embed" ProgID="Equation.3" ShapeID="_x0000_i1032" DrawAspect="Content" ObjectID="_1666131971"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pt;height:14.5pt" o:ole="">
            <v:imagedata r:id="rId28" o:title=""/>
          </v:shape>
          <o:OLEObject Type="Embed" ProgID="Equation.3" ShapeID="_x0000_i1033" DrawAspect="Content" ObjectID="_1666131972"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pt;height:14.5pt" o:ole="">
            <v:imagedata r:id="rId30" o:title=""/>
          </v:shape>
          <o:OLEObject Type="Embed" ProgID="Equation.3" ShapeID="_x0000_i1034" DrawAspect="Content" ObjectID="_1666131973"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lang w:eastAsia="ko-KR"/>
              </w:rPr>
            </w:pPr>
            <w:r>
              <w:rPr>
                <w:rFonts w:eastAsia="Malgun Gothic" w:hint="eastAsia"/>
                <w:lang w:eastAsia="ko-KR"/>
              </w:rPr>
              <w:t xml:space="preserve">We agree with that feedback from RAN4 </w:t>
            </w:r>
            <w:r>
              <w:rPr>
                <w:rFonts w:eastAsia="Malgun Gothic"/>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lastRenderedPageBreak/>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lang w:eastAsia="ko-KR"/>
              </w:rPr>
            </w:pPr>
            <w:r>
              <w:rPr>
                <w:rFonts w:eastAsia="Malgun Gothic"/>
                <w:lang w:eastAsia="ko-KR"/>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lang w:eastAsia="ko-KR"/>
              </w:rPr>
            </w:pPr>
            <w:r>
              <w:rPr>
                <w:rFonts w:eastAsia="Malgun Gothic"/>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In current spec, A-TRS should be bounded with P-TRS. However, for Scell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Malgun Gothic"/>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ZTE, Not clear what different cases refer to except for different frequency 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6847FFBA" w14:textId="0ECB032F"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ListParagraph"/>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ListParagraph"/>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lastRenderedPageBreak/>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 xml:space="preserve">Based on the agreements reached in last RAN1 meeting, other reference signals are not precluded for temporary RS. It seems we even haven’t decided whether TRS is the only temporary RS yet. Then in this case, we are not sure Q3 here is </w:t>
            </w:r>
            <w:r>
              <w:rPr>
                <w:lang w:eastAsia="zh-CN"/>
              </w:rPr>
              <w:lastRenderedPageBreak/>
              <w:t>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lang w:eastAsia="ko-KR"/>
              </w:rPr>
            </w:pPr>
            <w:r>
              <w:rPr>
                <w:rFonts w:eastAsia="Malgun Gothic" w:hint="eastAsia"/>
                <w:lang w:eastAsia="ko-KR"/>
              </w:rPr>
              <w:t>We support Opt 3.1 as the ba</w:t>
            </w:r>
            <w:r>
              <w:rPr>
                <w:rFonts w:eastAsia="Malgun Gothic"/>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lang w:eastAsia="ko-KR"/>
              </w:rPr>
            </w:pPr>
            <w:r>
              <w:rPr>
                <w:rFonts w:eastAsia="Malgun Gothic"/>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ListParagraph"/>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ListParagraph"/>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We still have concern for this proposal and propose to have more discussion on 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Futurewei,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Scell is activated, </w:t>
            </w:r>
            <w:r w:rsidR="00F4451F">
              <w:rPr>
                <w:iCs/>
                <w:lang w:eastAsia="zh-CN"/>
              </w:rPr>
              <w:t xml:space="preserve">legacy </w:t>
            </w:r>
            <w:r>
              <w:rPr>
                <w:iCs/>
                <w:lang w:eastAsia="zh-CN"/>
              </w:rPr>
              <w:t xml:space="preserve">UE behavior </w:t>
            </w:r>
            <w:r w:rsidR="00F4451F">
              <w:rPr>
                <w:iCs/>
                <w:lang w:eastAsia="zh-CN"/>
              </w:rPr>
              <w:t xml:space="preserve">should be assumed and periodic-TRS is expected. The temporary A-TRS during activation can be </w:t>
            </w:r>
            <w:r w:rsidR="00F4451F">
              <w:rPr>
                <w:iCs/>
                <w:lang w:eastAsia="zh-CN"/>
              </w:rPr>
              <w:lastRenderedPageBreak/>
              <w:t>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lastRenderedPageBreak/>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lastRenderedPageBreak/>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lang w:eastAsia="ko-KR"/>
              </w:rPr>
            </w:pPr>
            <w:r>
              <w:rPr>
                <w:rFonts w:eastAsia="Malgun Gothic" w:hint="eastAsia"/>
                <w:lang w:eastAsia="ko-KR"/>
              </w:rPr>
              <w:t>Samsung</w:t>
            </w:r>
          </w:p>
        </w:tc>
        <w:tc>
          <w:tcPr>
            <w:tcW w:w="7194" w:type="dxa"/>
          </w:tcPr>
          <w:p w14:paraId="21069099" w14:textId="79ADEE14" w:rsidR="00916B4A" w:rsidRPr="00ED177D" w:rsidRDefault="00ED177D" w:rsidP="00916B4A">
            <w:pPr>
              <w:spacing w:beforeLines="50" w:before="120"/>
              <w:rPr>
                <w:rFonts w:eastAsia="Malgun Gothic"/>
                <w:lang w:eastAsia="ko-KR"/>
              </w:rPr>
            </w:pPr>
            <w:r>
              <w:rPr>
                <w:rFonts w:eastAsia="Malgun Gothic"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higher layer UE specific configuration of a </w:t>
            </w:r>
            <w:r>
              <w:rPr>
                <w:i/>
              </w:rPr>
              <w:t>NZP-CSI-RS-ResourceSet</w:t>
            </w:r>
            <w:r>
              <w:t xml:space="preserve"> configured with higher layer parameter </w:t>
            </w:r>
            <w:r>
              <w:rPr>
                <w:i/>
              </w:rPr>
              <w:t>trs-Info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w:t>
            </w:r>
            <w:r>
              <w:rPr>
                <w:rFonts w:eastAsia="MS Mincho"/>
                <w:iCs/>
                <w:lang w:eastAsia="ja-JP"/>
              </w:rPr>
              <w:lastRenderedPageBreak/>
              <w:t xml:space="preserve">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7A06A9A0" w14:textId="462943EF" w:rsidR="004159F7" w:rsidRPr="004159F7" w:rsidRDefault="004159F7" w:rsidP="004159F7">
            <w:pPr>
              <w:spacing w:beforeLines="50" w:before="120"/>
              <w:rPr>
                <w:rFonts w:eastAsia="Malgun Gothic"/>
                <w:iCs/>
                <w:lang w:eastAsia="ko-KR"/>
              </w:rPr>
            </w:pPr>
            <w:r>
              <w:rPr>
                <w:rFonts w:eastAsia="Malgun Gothic"/>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lastRenderedPageBreak/>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ListParagraph"/>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lastRenderedPageBreak/>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lang w:eastAsia="ko-KR"/>
              </w:rPr>
            </w:pPr>
            <w:r>
              <w:rPr>
                <w:rFonts w:eastAsia="Malgun Gothic" w:hint="eastAsia"/>
                <w:lang w:eastAsia="ko-KR"/>
              </w:rPr>
              <w:t>We should prioritize</w:t>
            </w:r>
            <w:r>
              <w:rPr>
                <w:rFonts w:eastAsia="Malgun Gothic"/>
                <w:lang w:eastAsia="ko-KR"/>
              </w:rPr>
              <w:t xml:space="preserve"> and finalize</w:t>
            </w:r>
            <w:r>
              <w:rPr>
                <w:rFonts w:eastAsia="Malgun Gothic"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lang w:eastAsia="ko-KR"/>
              </w:rPr>
            </w:pPr>
            <w:r w:rsidRPr="00C114B4">
              <w:rPr>
                <w:rFonts w:eastAsia="Malgun Gothic"/>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lang w:eastAsia="ko-KR"/>
              </w:rPr>
            </w:pPr>
            <w:r>
              <w:rPr>
                <w:rFonts w:eastAsia="Malgun Gothic"/>
                <w:lang w:eastAsia="ko-KR"/>
              </w:rPr>
              <w:t xml:space="preserve">If SCell activation is received in slot n, </w:t>
            </w:r>
            <w:r w:rsidR="00C114B4">
              <w:rPr>
                <w:rFonts w:eastAsia="Malgun Gothic"/>
                <w:lang w:eastAsia="ko-KR"/>
              </w:rPr>
              <w:t xml:space="preserve">It should be possible to trigger the A-TRS such that it can occur </w:t>
            </w:r>
            <w:r>
              <w:rPr>
                <w:rFonts w:eastAsia="Malgun Gothic"/>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Malgun Gothic"/>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 xml:space="preserve">companies are encouraged to </w:t>
            </w:r>
            <w:r w:rsidRPr="00AE63B2">
              <w:rPr>
                <w:rFonts w:eastAsiaTheme="minorEastAsia"/>
                <w:highlight w:val="yellow"/>
                <w:lang w:eastAsia="zh-CN"/>
              </w:rPr>
              <w:lastRenderedPageBreak/>
              <w:t>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lang w:eastAsia="ko-KR"/>
              </w:rPr>
            </w:pPr>
            <w:r>
              <w:rPr>
                <w:rFonts w:eastAsia="Malgun Gothic" w:hint="eastAsia"/>
                <w:iCs/>
                <w:lang w:eastAsia="ko-KR"/>
              </w:rPr>
              <w:lastRenderedPageBreak/>
              <w:t>Samsung</w:t>
            </w:r>
          </w:p>
        </w:tc>
        <w:tc>
          <w:tcPr>
            <w:tcW w:w="7194" w:type="dxa"/>
          </w:tcPr>
          <w:p w14:paraId="55FC6D8E" w14:textId="765BC84E" w:rsidR="00916B4A" w:rsidRPr="004159F7" w:rsidRDefault="004159F7" w:rsidP="00916B4A">
            <w:pPr>
              <w:spacing w:beforeLines="50" w:before="120"/>
              <w:rPr>
                <w:rFonts w:eastAsia="Malgun Gothic"/>
                <w:iCs/>
                <w:lang w:eastAsia="ko-KR"/>
              </w:rPr>
            </w:pPr>
            <w:r>
              <w:rPr>
                <w:rFonts w:eastAsia="Malgun Gothic"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 xml:space="preserve">We think what Qualcomm pointed out can be generalized to FR1 and captured </w:t>
            </w:r>
            <w:r>
              <w:rPr>
                <w:lang w:eastAsia="zh-CN"/>
              </w:rPr>
              <w:lastRenderedPageBreak/>
              <w:t>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lang w:eastAsia="ko-KR"/>
              </w:rPr>
            </w:pPr>
            <w:r>
              <w:rPr>
                <w:rFonts w:eastAsia="Malgun Gothic" w:hint="eastAsia"/>
                <w:lang w:eastAsia="ko-KR"/>
              </w:rPr>
              <w:t>Samsung</w:t>
            </w:r>
          </w:p>
        </w:tc>
        <w:tc>
          <w:tcPr>
            <w:tcW w:w="7194" w:type="dxa"/>
          </w:tcPr>
          <w:p w14:paraId="7E145BCB" w14:textId="01B40E64"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Malgun Gothic"/>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Malgun Gothic"/>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lang w:eastAsia="ko-KR"/>
              </w:rPr>
            </w:pPr>
            <w:r>
              <w:rPr>
                <w:rFonts w:eastAsia="Malgun Gothic"/>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lang w:eastAsia="ko-KR"/>
              </w:rPr>
            </w:pPr>
            <w:r>
              <w:rPr>
                <w:rFonts w:eastAsia="Malgun Gothic"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Malgun Gothic"/>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Malgun Gothic"/>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lang w:eastAsia="ko-KR"/>
              </w:rPr>
            </w:pPr>
            <w:r>
              <w:rPr>
                <w:rFonts w:eastAsia="Malgun Gothic"/>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Malgun Gothic"/>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Malgun Gothic"/>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Malgun Gothic"/>
                <w:lang w:eastAsia="ko-KR"/>
              </w:rPr>
              <w:lastRenderedPageBreak/>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Malgun Gothic"/>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lang w:eastAsia="ko-KR"/>
              </w:rPr>
            </w:pPr>
            <w:r>
              <w:rPr>
                <w:rFonts w:eastAsia="Malgun Gothic"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Pr>
          <w:p w14:paraId="23D8281C" w14:textId="3A6B0C0E" w:rsidR="00916B4A" w:rsidRPr="00123E90" w:rsidRDefault="00123E90" w:rsidP="00916B4A">
            <w:pPr>
              <w:spacing w:beforeLines="50" w:before="120"/>
              <w:rPr>
                <w:rFonts w:eastAsia="Malgun Gothic"/>
                <w:lang w:eastAsia="ko-KR"/>
              </w:rPr>
            </w:pPr>
            <w:r>
              <w:rPr>
                <w:rFonts w:eastAsia="Malgun Gothic"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Malgun Gothic"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Heading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lang w:eastAsia="ko-KR"/>
              </w:rPr>
            </w:pPr>
            <w:r>
              <w:rPr>
                <w:rFonts w:eastAsia="Malgun Gothic"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lang w:eastAsia="ko-KR"/>
              </w:rPr>
            </w:pPr>
            <w:r>
              <w:rPr>
                <w:rFonts w:eastAsia="Malgun Gothic"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w:t>
            </w:r>
            <w:r>
              <w:rPr>
                <w:rFonts w:eastAsiaTheme="minorEastAsia"/>
                <w:lang w:eastAsia="zh-CN"/>
              </w:rPr>
              <w:lastRenderedPageBreak/>
              <w:t xml:space="preserve">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ListParagraph"/>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ListParagraph"/>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ListParagraph"/>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r w:rsidRPr="00C25E64">
              <w:rPr>
                <w:rFonts w:ascii="Times New Roman" w:hAnsi="Times New Roman"/>
                <w:i/>
                <w:strike/>
                <w:color w:val="FF0000"/>
                <w:sz w:val="22"/>
                <w:szCs w:val="22"/>
                <w:lang w:eastAsia="zh-CN"/>
              </w:rPr>
              <w:t>s 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ListParagraph"/>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If not sufficient, any requirement or suggestion per frequency range on RS structure, e.g. time-domain and frequency-domain properties, number of TRS burstslots;</w:t>
            </w:r>
          </w:p>
          <w:p w14:paraId="300E061C"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ListParagraph"/>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ListParagraph"/>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ListParagraph"/>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ListParagraph"/>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223B881F" w14:textId="50BFF439"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ListParagraph"/>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ListParagraph"/>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lastRenderedPageBreak/>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ListParagraph"/>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the </w:t>
            </w:r>
            <w:bookmarkStart w:id="8" w:name="_GoBack"/>
            <w:bookmarkEnd w:id="8"/>
            <w:r w:rsidRPr="00BA0104">
              <w:rPr>
                <w:rFonts w:ascii="Times New Roman" w:hAnsi="Times New Roman"/>
                <w:i/>
                <w:color w:val="0070C0"/>
                <w:sz w:val="22"/>
                <w:szCs w:val="22"/>
                <w:lang w:eastAsia="zh-CN"/>
              </w:rPr>
              <w:t xml:space="preserve">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bl>
    <w:p w14:paraId="25E0EF06" w14:textId="77777777"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lastRenderedPageBreak/>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9" w:name="_Ref124589665"/>
      <w:bookmarkStart w:id="10" w:name="_Ref71620620"/>
      <w:bookmarkStart w:id="11" w:name="_Ref124671424"/>
      <w:r w:rsidRPr="001C671D">
        <w:t>References</w:t>
      </w:r>
    </w:p>
    <w:bookmarkEnd w:id="0"/>
    <w:bookmarkEnd w:id="9"/>
    <w:bookmarkEnd w:id="10"/>
    <w:bookmarkEnd w:id="11"/>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2"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3"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4B0ECE"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4B0ECE" w:rsidP="00B906E1">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lastRenderedPageBreak/>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95EDE" w14:textId="77777777" w:rsidR="00557868" w:rsidRDefault="00557868">
      <w:r>
        <w:separator/>
      </w:r>
    </w:p>
  </w:endnote>
  <w:endnote w:type="continuationSeparator" w:id="0">
    <w:p w14:paraId="6538A7BB" w14:textId="77777777" w:rsidR="00557868" w:rsidRDefault="0055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Semilight"/>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AB27" w14:textId="77777777" w:rsidR="00557868" w:rsidRDefault="00557868">
      <w:r>
        <w:separator/>
      </w:r>
    </w:p>
  </w:footnote>
  <w:footnote w:type="continuationSeparator" w:id="0">
    <w:p w14:paraId="03C85E2C" w14:textId="77777777" w:rsidR="00557868" w:rsidRDefault="00557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3D6"/>
    <w:rsid w:val="009A6A16"/>
    <w:rsid w:val="009A6A53"/>
    <w:rsid w:val="009A6A6B"/>
    <w:rsid w:val="009A6BA7"/>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73EC3C1"/>
  <w15:docId w15:val="{C785FD7A-91F5-4D3A-9375-A4FEDD70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BE6"/>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9CE9F22F-AE49-480B-8E76-0F7819BE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32</Pages>
  <Words>11134</Words>
  <Characters>60726</Characters>
  <Application>Microsoft Office Word</Application>
  <DocSecurity>0</DocSecurity>
  <Lines>506</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71717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Schober, Karol (Nokia - FI/Espoo)</cp:lastModifiedBy>
  <cp:revision>20</cp:revision>
  <cp:lastPrinted>2007-06-18T22:08:00Z</cp:lastPrinted>
  <dcterms:created xsi:type="dcterms:W3CDTF">2020-11-05T15:41:00Z</dcterms:created>
  <dcterms:modified xsi:type="dcterms:W3CDTF">2020-11-05T23:38:00Z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1604577911</vt:lpwstr>
  </property>
</Properties>
</file>