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8404BA"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4"/>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4"/>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4"/>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4"/>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4"/>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4"/>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4"/>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4"/>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4"/>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4"/>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4"/>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4"/>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r w:rsidR="00116767">
              <w:rPr>
                <w:rFonts w:eastAsia="MS Mincho"/>
                <w:iCs/>
                <w:sz w:val="21"/>
                <w:szCs w:val="21"/>
                <w:lang w:eastAsia="ja-JP"/>
              </w:rPr>
              <w:t>In particular, following questions need to be answered.</w:t>
            </w:r>
          </w:p>
          <w:p w14:paraId="1E9E2BDD" w14:textId="3C73A585" w:rsidR="00F52AB0" w:rsidRPr="001E57CF" w:rsidRDefault="00F52AB0" w:rsidP="00F52AB0">
            <w:pPr>
              <w:pStyle w:val="af4"/>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4"/>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is sufficient,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af4"/>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af4"/>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af4"/>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af4"/>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We think Issue-5 (functionality) should be finalized first. After that, we can send an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Except questions proposed by Qualcomm, to be safe,  we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af4"/>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af4"/>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6"/>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4"/>
        <w:ind w:left="420" w:firstLine="0"/>
        <w:rPr>
          <w:rFonts w:ascii="Times New Roman" w:hAnsi="Times New Roman"/>
          <w:sz w:val="22"/>
          <w:szCs w:val="22"/>
          <w:lang w:eastAsia="zh-CN"/>
        </w:rPr>
      </w:pPr>
    </w:p>
    <w:p w14:paraId="5535E61A" w14:textId="358BB51D"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4"/>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SCell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another DCI(s) after the PCell interruption time due to the RF retuning of the activated SCell</w:t>
            </w:r>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MAC CE (triggering for both SCell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SCell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We are fine with Opt 1.1a and Opt 1.2a.</w:t>
            </w:r>
          </w:p>
          <w:p w14:paraId="3100326C" w14:textId="77777777" w:rsidR="00916B4A" w:rsidRDefault="00916B4A" w:rsidP="00916B4A">
            <w:pPr>
              <w:spacing w:beforeLines="50" w:before="120"/>
              <w:rPr>
                <w:lang w:eastAsia="zh-CN"/>
              </w:rPr>
            </w:pPr>
            <w:r>
              <w:rPr>
                <w:lang w:eastAsia="zh-CN"/>
              </w:rPr>
              <w:t>For Opt 1.1a, we think there could also be two possibilities:</w:t>
            </w:r>
          </w:p>
          <w:p w14:paraId="6F9B26E3" w14:textId="77777777" w:rsidR="00916B4A" w:rsidRDefault="00916B4A" w:rsidP="00916B4A">
            <w:pPr>
              <w:spacing w:beforeLines="50" w:before="120"/>
              <w:rPr>
                <w:lang w:eastAsia="zh-CN"/>
              </w:rPr>
            </w:pPr>
            <w:r>
              <w:rPr>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r>
              <w:rPr>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We support Opt 1.2a. Yes, the triggering of temporary RS should be</w:t>
            </w:r>
            <w:r w:rsidRPr="00872F72">
              <w:rPr>
                <w:rFonts w:eastAsia="MS Mincho"/>
                <w:lang w:eastAsia="ja-JP"/>
              </w:rPr>
              <w:t xml:space="preserve"> integrated with SCell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uawei, HiSilicon</w:t>
            </w:r>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r w:rsidRPr="00941E01">
              <w:rPr>
                <w:rFonts w:eastAsiaTheme="minorEastAsia"/>
                <w:lang w:eastAsia="zh-CN"/>
              </w:rPr>
              <w:t>Opt 1.1a and Opt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We support a joint triggering for SCell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77777777" w:rsidR="00683A96" w:rsidRDefault="00EA6902" w:rsidP="00BC68FE">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SCell activation, the trigger of temporary RS is integrated into the triggering command of SCell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SCell activation, the trigger of temporary RS is integrated </w:t>
            </w:r>
            <w:r w:rsidRPr="00AA15A4">
              <w:rPr>
                <w:i/>
                <w:color w:val="FF0000"/>
                <w:lang w:eastAsia="zh-CN"/>
              </w:rPr>
              <w:t xml:space="preserve">into single PDSCH or PDCCH activating Scell(s).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Just one minor comment, we prefer to further clarify “triggering command of SCell activation”, otherwise the reader may refer it to the current SCell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SCell activation, the trigger of temporary RS is integrated into the triggering command of SCell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rFonts w:hint="eastAsia"/>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rFonts w:hint="eastAsia"/>
                <w:iCs/>
                <w:lang w:eastAsia="zh-CN"/>
              </w:rPr>
            </w:pPr>
            <w:r>
              <w:rPr>
                <w:iCs/>
                <w:lang w:eastAsia="zh-CN"/>
              </w:rPr>
              <w:t>We are fine with the FL proposal or the ZTE modified version.</w:t>
            </w:r>
          </w:p>
        </w:tc>
      </w:tr>
    </w:tbl>
    <w:p w14:paraId="443AC034" w14:textId="77777777"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SCell, </w:t>
            </w:r>
            <w:r w:rsidR="008A7C6D">
              <w:rPr>
                <w:rFonts w:eastAsia="MS Mincho"/>
                <w:iCs/>
                <w:lang w:eastAsia="ja-JP"/>
              </w:rPr>
              <w:t xml:space="preserve">the </w:t>
            </w:r>
            <w:r w:rsidR="002E5983">
              <w:rPr>
                <w:rFonts w:eastAsia="MS Mincho"/>
                <w:iCs/>
                <w:lang w:eastAsia="ja-JP"/>
              </w:rPr>
              <w:t xml:space="preserve">SCell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SCell activation/de-activation </w:t>
            </w:r>
            <w:r>
              <w:rPr>
                <w:iCs/>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MAC CE is sufficient.</w:t>
            </w:r>
          </w:p>
          <w:p w14:paraId="50FF5EAB" w14:textId="11035EB9" w:rsidR="006100DA" w:rsidRPr="001C671D" w:rsidRDefault="006100DA" w:rsidP="006100DA">
            <w:pPr>
              <w:spacing w:beforeLines="50" w:before="120"/>
              <w:rPr>
                <w:iCs/>
                <w:lang w:eastAsia="zh-CN"/>
              </w:rPr>
            </w:pPr>
            <w:r>
              <w:rPr>
                <w:lang w:eastAsia="zh-CN"/>
              </w:rPr>
              <w:t xml:space="preserve">Opt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introduce</w:t>
            </w:r>
            <w:r>
              <w:rPr>
                <w:lang w:eastAsia="zh-CN"/>
              </w:rPr>
              <w:t>d</w:t>
            </w:r>
            <w:r w:rsidRPr="00625436">
              <w:rPr>
                <w:lang w:eastAsia="zh-CN"/>
              </w:rPr>
              <w:t xml:space="preserve">, or </w:t>
            </w:r>
            <w:r>
              <w:rPr>
                <w:lang w:eastAsia="zh-CN"/>
              </w:rPr>
              <w:t>requires large</w:t>
            </w:r>
            <w:r w:rsidRPr="00625436">
              <w:rPr>
                <w:lang w:eastAsia="zh-CN"/>
              </w:rPr>
              <w:t xml:space="preserve"> design efforts if a new DCI format is introduced. Given that the existing MAC CE based SCell activation works well, the complicity of </w:t>
            </w:r>
            <w:r>
              <w:rPr>
                <w:lang w:eastAsia="zh-CN"/>
              </w:rPr>
              <w:t xml:space="preserve">Opt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We prefer to keep the existing MAC CE based approach for SCell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gNB transmit temporary RS as if UE can always receive the MAC CE without retransmission or gNB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af4"/>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af4"/>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af4"/>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Either: Futurewei, CATT</w:t>
            </w:r>
          </w:p>
          <w:p w14:paraId="367F3A78" w14:textId="77777777" w:rsidR="003866FD" w:rsidRDefault="003866FD" w:rsidP="003866FD">
            <w:pPr>
              <w:spacing w:beforeLines="50" w:before="120"/>
              <w:ind w:left="79"/>
              <w:rPr>
                <w:iCs/>
                <w:lang w:eastAsia="zh-CN"/>
              </w:rPr>
            </w:pPr>
            <w:r>
              <w:rPr>
                <w:rFonts w:hint="eastAsia"/>
                <w:iCs/>
                <w:lang w:eastAsia="zh-CN"/>
              </w:rPr>
              <w:t>C</w:t>
            </w:r>
            <w:r>
              <w:rPr>
                <w:iCs/>
                <w:lang w:eastAsia="zh-CN"/>
              </w:rPr>
              <w:t xml:space="preserve">oncerns: </w:t>
            </w:r>
          </w:p>
          <w:p w14:paraId="3634DA05" w14:textId="2D6BF92C" w:rsidR="003866FD" w:rsidRPr="004B2DF8" w:rsidRDefault="003866FD" w:rsidP="003866FD">
            <w:pPr>
              <w:pStyle w:val="af4"/>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MAC-CE</w:t>
            </w:r>
            <w:r>
              <w:rPr>
                <w:rFonts w:ascii="Times New Roman" w:hAnsi="Times New Roman"/>
                <w:iCs/>
                <w:sz w:val="22"/>
                <w:szCs w:val="22"/>
                <w:lang w:eastAsia="zh-CN"/>
              </w:rPr>
              <w:t xml:space="preserve"> : QC</w:t>
            </w:r>
            <w:r w:rsidR="001D7E7A">
              <w:rPr>
                <w:rFonts w:ascii="Times New Roman" w:hAnsi="Times New Roman"/>
                <w:iCs/>
                <w:sz w:val="22"/>
                <w:szCs w:val="22"/>
                <w:lang w:eastAsia="zh-CN"/>
              </w:rPr>
              <w:t>, Intel</w:t>
            </w:r>
          </w:p>
          <w:p w14:paraId="07F6F721" w14:textId="3FCE1CC9" w:rsidR="003866FD" w:rsidRDefault="003866FD" w:rsidP="003866FD">
            <w:pPr>
              <w:pStyle w:val="af4"/>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af4"/>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seems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lastRenderedPageBreak/>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6.7pt" o:ole="">
            <v:imagedata r:id="rId12" o:title=""/>
          </v:shape>
          <o:OLEObject Type="Embed" ProgID="Equation.3" ShapeID="_x0000_i1025" DrawAspect="Content" ObjectID="_1666110987" r:id="rId13"/>
        </w:object>
      </w:r>
      <w:r>
        <w:t xml:space="preserve">, </w:t>
      </w:r>
      <w:r>
        <w:rPr>
          <w:rFonts w:eastAsiaTheme="minorEastAsia"/>
          <w:position w:val="-10"/>
          <w:lang w:val="x-none"/>
        </w:rPr>
        <w:object w:dxaOrig="705" w:dyaOrig="330" w14:anchorId="38E9224E">
          <v:shape id="_x0000_i1026" type="#_x0000_t75" style="width:34.45pt;height:16.7pt" o:ole="">
            <v:imagedata r:id="rId14" o:title=""/>
          </v:shape>
          <o:OLEObject Type="Embed" ProgID="Equation.3" ShapeID="_x0000_i1026" DrawAspect="Content" ObjectID="_1666110988" r:id="rId15"/>
        </w:object>
      </w:r>
      <w:r>
        <w:t>, or</w:t>
      </w:r>
      <w:r>
        <w:rPr>
          <w:rFonts w:eastAsiaTheme="minorEastAsia"/>
          <w:position w:val="-10"/>
          <w:lang w:val="x-none"/>
        </w:rPr>
        <w:object w:dxaOrig="825" w:dyaOrig="330" w14:anchorId="62D5EE37">
          <v:shape id="_x0000_i1027" type="#_x0000_t75" style="width:41.5pt;height:16.7pt" o:ole="">
            <v:imagedata r:id="rId16" o:title=""/>
          </v:shape>
          <o:OLEObject Type="Embed" ProgID="Equation.3" ShapeID="_x0000_i1027" DrawAspect="Content" ObjectID="_1666110989"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45pt;height:16.7pt" o:ole="">
            <v:imagedata r:id="rId18" o:title=""/>
          </v:shape>
          <o:OLEObject Type="Embed" ProgID="Equation.3" ShapeID="_x0000_i1028" DrawAspect="Content" ObjectID="_1666110990"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pt;height:16.7pt" o:ole="">
            <v:imagedata r:id="rId20" o:title=""/>
          </v:shape>
          <o:OLEObject Type="Embed" ProgID="Equation.3" ShapeID="_x0000_i1029" DrawAspect="Content" ObjectID="_1666110991"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45pt;height:16.7pt" o:ole="">
            <v:imagedata r:id="rId22" o:title=""/>
          </v:shape>
          <o:OLEObject Type="Embed" ProgID="Equation.3" ShapeID="_x0000_i1030" DrawAspect="Content" ObjectID="_1666110992"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45pt;height:16.7pt" o:ole="">
            <v:imagedata r:id="rId24" o:title=""/>
          </v:shape>
          <o:OLEObject Type="Embed" ProgID="Equation.3" ShapeID="_x0000_i1031" DrawAspect="Content" ObjectID="_1666110993"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55pt;height:16.7pt" o:ole="">
            <v:imagedata r:id="rId26" o:title=""/>
          </v:shape>
          <o:OLEObject Type="Embed" ProgID="Equation.3" ShapeID="_x0000_i1032" DrawAspect="Content" ObjectID="_1666110994"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55pt;height:16.7pt" o:ole="">
            <v:imagedata r:id="rId28" o:title=""/>
          </v:shape>
          <o:OLEObject Type="Embed" ProgID="Equation.3" ShapeID="_x0000_i1033" DrawAspect="Content" ObjectID="_1666110995"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55pt;height:16.7pt" o:ole="">
            <v:imagedata r:id="rId30" o:title=""/>
          </v:shape>
          <o:OLEObject Type="Embed" ProgID="Equation.3" ShapeID="_x0000_i1034" DrawAspect="Content" ObjectID="_1666110996"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e"/>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t>
            </w:r>
            <w:r w:rsidRPr="008A4011">
              <w:rPr>
                <w:iCs/>
                <w:lang w:eastAsia="zh-CN"/>
              </w:rPr>
              <w:t xml:space="preserve">another DCI(s) after the PCell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r w:rsidRPr="00292E45">
              <w:rPr>
                <w:iCs/>
                <w:lang w:eastAsia="zh-CN"/>
              </w:rPr>
              <w:t>aperiodicTriggeringOffset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In current spec, A-TRS should be bounded with P-TRS. However, for Scell 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76764056"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af4"/>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af4"/>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4"/>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QCLed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We support Opt 3.1 as the ba</w:t>
            </w:r>
            <w:r>
              <w:rPr>
                <w:rFonts w:eastAsia="Malgun Gothic"/>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Futurewei that A-TRS is QCLed with a P-TRS, so that P-TRS can get QCL assumption from the A-TRS 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af4"/>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r>
              <w:rPr>
                <w:rFonts w:ascii="Times New Roman" w:eastAsiaTheme="minorEastAsia" w:hAnsi="Times New Roman"/>
                <w:sz w:val="22"/>
                <w:szCs w:val="22"/>
                <w:lang w:eastAsia="zh-CN"/>
              </w:rPr>
              <w:t xml:space="preserve">SCell activation: </w:t>
            </w:r>
            <w:r w:rsidRPr="00E5026B">
              <w:rPr>
                <w:rFonts w:ascii="Times New Roman" w:eastAsiaTheme="minorEastAsia" w:hAnsi="Times New Roman"/>
                <w:sz w:val="22"/>
                <w:szCs w:val="22"/>
                <w:lang w:eastAsia="zh-CN"/>
              </w:rPr>
              <w:t>Futurewei</w:t>
            </w:r>
            <w:r>
              <w:rPr>
                <w:rFonts w:ascii="Times New Roman" w:eastAsiaTheme="minorEastAsia" w:hAnsi="Times New Roman"/>
                <w:sz w:val="22"/>
                <w:szCs w:val="22"/>
                <w:lang w:eastAsia="zh-CN"/>
              </w:rPr>
              <w:t>, Intel</w:t>
            </w:r>
          </w:p>
          <w:p w14:paraId="790B8AFD" w14:textId="77777777" w:rsidR="00F61619" w:rsidRDefault="00F61619" w:rsidP="00F61619">
            <w:pPr>
              <w:pStyle w:val="af4"/>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af4"/>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time/freq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af4"/>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af4"/>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05199F5D" w:rsidR="00E5026B" w:rsidRDefault="00E5026B" w:rsidP="00E5026B">
      <w:pPr>
        <w:rPr>
          <w:b/>
          <w:lang w:eastAsia="zh-CN"/>
        </w:rPr>
      </w:pPr>
      <w:r>
        <w:rPr>
          <w:b/>
          <w:i/>
          <w:highlight w:val="yellow"/>
          <w:lang w:eastAsia="zh-CN"/>
        </w:rPr>
        <w:lastRenderedPageBreak/>
        <w:t>Proposal 2</w:t>
      </w:r>
      <w:r w:rsidRPr="00683A96">
        <w:rPr>
          <w:b/>
          <w:i/>
          <w:highlight w:val="yellow"/>
          <w:lang w:eastAsia="zh-CN"/>
        </w:rPr>
        <w:t>-</w:t>
      </w:r>
      <w:r>
        <w:rPr>
          <w:b/>
          <w:i/>
          <w:highlight w:val="yellow"/>
          <w:lang w:eastAsia="zh-CN"/>
        </w:rPr>
        <w:t>2</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af4"/>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is expected to be QCLed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We still have concern for this proposal and propose to have more discussion on 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rFonts w:hint="eastAsia"/>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5"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5"/>
    <w:p w14:paraId="661CEB6F" w14:textId="25145065"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r>
              <w:rPr>
                <w:rFonts w:eastAsia="Malgun Gothic"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lastRenderedPageBreak/>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@Futurewei,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More discussions on Futurewei and ZTE’s comments are</w:t>
            </w:r>
            <w:r>
              <w:rPr>
                <w:iCs/>
                <w:highlight w:val="yellow"/>
                <w:lang w:eastAsia="zh-CN"/>
              </w:rPr>
              <w:t xml:space="preserve"> encouraged</w:t>
            </w:r>
            <w:r>
              <w:rPr>
                <w:iCs/>
                <w:lang w:eastAsia="zh-CN"/>
              </w:rPr>
              <w:t>.</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af4"/>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lastRenderedPageBreak/>
              <w:t>CSI-RS/SRS</w:t>
            </w:r>
            <w:r>
              <w:rPr>
                <w:iCs/>
                <w:lang w:eastAsia="zh-CN"/>
              </w:rPr>
              <w:t xml:space="preserve"> as potential RS for CSI measurement: Futurewei</w:t>
            </w: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4"/>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4"/>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4"/>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signalling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n+k+[d </w:t>
            </w:r>
            <w:r w:rsidRPr="00362109">
              <w:rPr>
                <w:i/>
                <w:lang w:eastAsia="zh-CN"/>
              </w:rPr>
              <w:t>ms</w:t>
            </w:r>
            <w:r>
              <w:rPr>
                <w:iCs/>
                <w:lang w:eastAsia="zh-CN"/>
              </w:rPr>
              <w:t xml:space="preserve">]. Where [d </w:t>
            </w:r>
            <w:r w:rsidRPr="00362109">
              <w:rPr>
                <w:i/>
                <w:lang w:eastAsia="zh-CN"/>
              </w:rPr>
              <w:t>ms</w:t>
            </w:r>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SCell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companies are encouraged to comment</w:t>
            </w:r>
            <w:r>
              <w:rPr>
                <w:rFonts w:eastAsiaTheme="minorEastAsia"/>
                <w:lang w:eastAsia="zh-CN"/>
              </w:rPr>
              <w:t xml:space="preserve"> on MTK and Futurewei’s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w:t>
      </w:r>
      <w:r w:rsidR="00DC3A29">
        <w:lastRenderedPageBreak/>
        <w:t xml:space="preserve">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4"/>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4"/>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SCell using the </w:t>
            </w:r>
            <w:r w:rsidRPr="00A80F48">
              <w:rPr>
                <w:iCs/>
                <w:lang w:eastAsia="zh-CN"/>
              </w:rPr>
              <w:t>firstActiveDownlinkBWP</w:t>
            </w:r>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r w:rsidRPr="00A80F48">
              <w:rPr>
                <w:iCs/>
                <w:lang w:eastAsia="zh-CN"/>
              </w:rPr>
              <w:t>firstActiveDownlinkBWP</w:t>
            </w:r>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firstActiveDownlink</w:t>
            </w:r>
            <w:r w:rsidRPr="00AD73FD">
              <w:rPr>
                <w:rFonts w:eastAsia="MS Mincho"/>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r>
              <w:rPr>
                <w:rFonts w:eastAsia="Malgun Gothic"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t see the necessity to restrict that only the TRS on the firstActiveDownlinkBWP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r w:rsidRPr="00A80F48">
              <w:rPr>
                <w:iCs/>
                <w:lang w:eastAsia="zh-CN"/>
              </w:rPr>
              <w:t>firstActiveDownlinkBWP</w:t>
            </w:r>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gNB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w:t>
            </w:r>
            <w:r>
              <w:rPr>
                <w:lang w:eastAsia="zh-CN"/>
              </w:rPr>
              <w:lastRenderedPageBreak/>
              <w:t xml:space="preserve">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lastRenderedPageBreak/>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r w:rsidRPr="001C671D">
              <w:rPr>
                <w:lang w:eastAsia="zh-CN"/>
              </w:rPr>
              <w:t>T</w:t>
            </w:r>
            <w:r w:rsidRPr="001C671D">
              <w:rPr>
                <w:vertAlign w:val="subscript"/>
                <w:lang w:eastAsia="zh-CN"/>
              </w:rPr>
              <w:t>CSI_reporting</w:t>
            </w:r>
            <w:r>
              <w:rPr>
                <w:iCs/>
                <w:lang w:eastAsia="zh-CN"/>
              </w:rPr>
              <w:t xml:space="preserve"> does not seem to be the dominant term compared to </w:t>
            </w:r>
            <w:r w:rsidRPr="001C671D">
              <w:rPr>
                <w:i/>
              </w:rPr>
              <w:t>T</w:t>
            </w:r>
            <w:r w:rsidRPr="001C671D">
              <w:rPr>
                <w:i/>
                <w:vertAlign w:val="subscript"/>
              </w:rPr>
              <w:t>activation_time</w:t>
            </w:r>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6" w:name="_Toc497414092"/>
      <w:bookmarkStart w:id="7" w:name="_Toc499307128"/>
      <w:r w:rsidRPr="001C671D">
        <w:rPr>
          <w:lang w:eastAsia="zh-CN"/>
        </w:rPr>
        <w:t>General</w:t>
      </w:r>
      <w:r w:rsidRPr="001C671D">
        <w:t xml:space="preserve"> </w:t>
      </w:r>
      <w:r w:rsidR="0002617E" w:rsidRPr="001C671D">
        <w:t>Issues</w:t>
      </w:r>
      <w:bookmarkEnd w:id="6"/>
      <w:bookmarkEnd w:id="7"/>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4"/>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lastRenderedPageBreak/>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gNB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T_activation and T_CSI_reporting,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lastRenderedPageBreak/>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af4"/>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lastRenderedPageBreak/>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TRS burst</w:t>
      </w:r>
      <w:r w:rsidR="002D08EE">
        <w:rPr>
          <w:rFonts w:ascii="Times New Roman" w:hAnsi="Times New Roman"/>
          <w:i/>
          <w:sz w:val="22"/>
          <w:szCs w:val="22"/>
          <w:lang w:eastAsia="zh-CN"/>
        </w:rPr>
        <w:t>slots;</w:t>
      </w:r>
    </w:p>
    <w:p w14:paraId="1E0C2260" w14:textId="7E5A7245" w:rsidR="009752F7" w:rsidRDefault="009752F7" w:rsidP="009752F7">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If not sufficient, any requirement or suggestion per frequency range on RS structure, e.g. time-domain and frequency-domain properties, number of TRS burstslots</w:t>
            </w:r>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that we would like to know 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af4"/>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 known/unknown scell</w:t>
            </w:r>
            <w:r>
              <w:rPr>
                <w:rFonts w:ascii="Times New Roman" w:hAnsi="Times New Roman"/>
                <w:i/>
                <w:sz w:val="22"/>
                <w:szCs w:val="22"/>
                <w:lang w:eastAsia="zh-CN"/>
              </w:rPr>
              <w:t xml:space="preserve">; </w:t>
            </w:r>
          </w:p>
          <w:p w14:paraId="5B74A7B2" w14:textId="77777777" w:rsidR="00742044" w:rsidRDefault="00742044" w:rsidP="00742044">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af4"/>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the same as Rel-15/16 TRS, i.e. </w:t>
            </w:r>
            <w:r>
              <w:rPr>
                <w:rFonts w:ascii="Times New Roman" w:hAnsi="Times New Roman"/>
                <w:i/>
                <w:sz w:val="22"/>
                <w:szCs w:val="22"/>
                <w:lang w:eastAsia="zh-CN"/>
              </w:rPr>
              <w:lastRenderedPageBreak/>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af4"/>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rFonts w:hint="eastAsia"/>
                <w:iCs/>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bookmarkStart w:id="8" w:name="_GoBack"/>
            <w:bookmarkEnd w:id="8"/>
          </w:p>
        </w:tc>
      </w:tr>
    </w:tbl>
    <w:p w14:paraId="25E0EF06" w14:textId="77777777" w:rsidR="002D08EE" w:rsidRPr="001C671D" w:rsidRDefault="002D08EE"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9" w:name="_Ref124589665"/>
      <w:bookmarkStart w:id="10" w:name="_Ref71620620"/>
      <w:bookmarkStart w:id="11" w:name="_Ref124671424"/>
      <w:r w:rsidRPr="001C671D">
        <w:t>References</w:t>
      </w:r>
    </w:p>
    <w:bookmarkEnd w:id="0"/>
    <w:bookmarkEnd w:id="9"/>
    <w:bookmarkEnd w:id="10"/>
    <w:bookmarkEnd w:id="11"/>
    <w:p w14:paraId="6347462B" w14:textId="3066C33E" w:rsidR="00BF7B8B" w:rsidRPr="00B906E1" w:rsidRDefault="00BF7B8B" w:rsidP="00BF7B8B">
      <w:pPr>
        <w:pStyle w:val="af4"/>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5"/>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D65508" w:rsidP="00BF7B8B">
      <w:pPr>
        <w:pStyle w:val="af4"/>
        <w:numPr>
          <w:ilvl w:val="0"/>
          <w:numId w:val="18"/>
        </w:numPr>
        <w:rPr>
          <w:rFonts w:ascii="Times New Roman" w:hAnsi="Times New Roman"/>
          <w:sz w:val="22"/>
          <w:szCs w:val="22"/>
          <w:lang w:eastAsia="x-none"/>
        </w:rPr>
      </w:pPr>
      <w:hyperlink r:id="rId32" w:history="1">
        <w:r w:rsidR="00BF7B8B" w:rsidRPr="00B906E1">
          <w:rPr>
            <w:rStyle w:val="a5"/>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D65508" w:rsidP="00BF7B8B">
      <w:pPr>
        <w:pStyle w:val="af4"/>
        <w:numPr>
          <w:ilvl w:val="0"/>
          <w:numId w:val="18"/>
        </w:numPr>
        <w:rPr>
          <w:rFonts w:ascii="Times New Roman" w:hAnsi="Times New Roman"/>
          <w:sz w:val="22"/>
          <w:szCs w:val="22"/>
          <w:lang w:eastAsia="x-none"/>
        </w:rPr>
      </w:pPr>
      <w:hyperlink r:id="rId33" w:history="1">
        <w:r w:rsidR="00BF7B8B" w:rsidRPr="00B906E1">
          <w:rPr>
            <w:rStyle w:val="a5"/>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D65508" w:rsidP="00BF7B8B">
      <w:pPr>
        <w:pStyle w:val="af4"/>
        <w:numPr>
          <w:ilvl w:val="0"/>
          <w:numId w:val="18"/>
        </w:numPr>
        <w:rPr>
          <w:rFonts w:ascii="Times New Roman" w:hAnsi="Times New Roman"/>
          <w:sz w:val="22"/>
          <w:szCs w:val="22"/>
          <w:lang w:eastAsia="x-none"/>
        </w:rPr>
      </w:pPr>
      <w:hyperlink r:id="rId34" w:history="1">
        <w:r w:rsidR="00BF7B8B" w:rsidRPr="00B906E1">
          <w:rPr>
            <w:rStyle w:val="a5"/>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D65508" w:rsidP="00BF7B8B">
      <w:pPr>
        <w:pStyle w:val="af4"/>
        <w:numPr>
          <w:ilvl w:val="0"/>
          <w:numId w:val="18"/>
        </w:numPr>
        <w:rPr>
          <w:rFonts w:ascii="Times New Roman" w:hAnsi="Times New Roman"/>
          <w:sz w:val="22"/>
          <w:szCs w:val="22"/>
          <w:lang w:eastAsia="x-none"/>
        </w:rPr>
      </w:pPr>
      <w:hyperlink r:id="rId35" w:history="1">
        <w:r w:rsidR="00BF7B8B" w:rsidRPr="00B906E1">
          <w:rPr>
            <w:rStyle w:val="a5"/>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D65508" w:rsidP="00BF7B8B">
      <w:pPr>
        <w:pStyle w:val="af4"/>
        <w:numPr>
          <w:ilvl w:val="0"/>
          <w:numId w:val="18"/>
        </w:numPr>
        <w:rPr>
          <w:rFonts w:ascii="Times New Roman" w:hAnsi="Times New Roman"/>
          <w:sz w:val="22"/>
          <w:szCs w:val="22"/>
          <w:lang w:eastAsia="x-none"/>
        </w:rPr>
      </w:pPr>
      <w:hyperlink r:id="rId36" w:history="1">
        <w:r w:rsidR="00BF7B8B" w:rsidRPr="00B906E1">
          <w:rPr>
            <w:rStyle w:val="a5"/>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D65508" w:rsidP="00BF7B8B">
      <w:pPr>
        <w:pStyle w:val="af4"/>
        <w:numPr>
          <w:ilvl w:val="0"/>
          <w:numId w:val="18"/>
        </w:numPr>
        <w:rPr>
          <w:rFonts w:ascii="Times New Roman" w:hAnsi="Times New Roman"/>
          <w:sz w:val="22"/>
          <w:szCs w:val="22"/>
          <w:lang w:eastAsia="x-none"/>
        </w:rPr>
      </w:pPr>
      <w:hyperlink r:id="rId37" w:history="1">
        <w:r w:rsidR="00BF7B8B" w:rsidRPr="00B906E1">
          <w:rPr>
            <w:rStyle w:val="a5"/>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D65508" w:rsidP="00BF7B8B">
      <w:pPr>
        <w:pStyle w:val="af4"/>
        <w:numPr>
          <w:ilvl w:val="0"/>
          <w:numId w:val="18"/>
        </w:numPr>
        <w:rPr>
          <w:rFonts w:ascii="Times New Roman" w:hAnsi="Times New Roman"/>
          <w:sz w:val="22"/>
          <w:szCs w:val="22"/>
          <w:lang w:eastAsia="x-none"/>
        </w:rPr>
      </w:pPr>
      <w:hyperlink r:id="rId38" w:history="1">
        <w:r w:rsidR="00BF7B8B" w:rsidRPr="00B906E1">
          <w:rPr>
            <w:rStyle w:val="a5"/>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D65508" w:rsidP="00BF7B8B">
      <w:pPr>
        <w:pStyle w:val="af4"/>
        <w:numPr>
          <w:ilvl w:val="0"/>
          <w:numId w:val="18"/>
        </w:numPr>
        <w:rPr>
          <w:rFonts w:ascii="Times New Roman" w:hAnsi="Times New Roman"/>
          <w:sz w:val="22"/>
          <w:szCs w:val="22"/>
          <w:lang w:eastAsia="x-none"/>
        </w:rPr>
      </w:pPr>
      <w:hyperlink r:id="rId39" w:history="1">
        <w:r w:rsidR="00BF7B8B" w:rsidRPr="00B906E1">
          <w:rPr>
            <w:rStyle w:val="a5"/>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D65508" w:rsidP="00BF7B8B">
      <w:pPr>
        <w:pStyle w:val="af4"/>
        <w:numPr>
          <w:ilvl w:val="0"/>
          <w:numId w:val="18"/>
        </w:numPr>
        <w:rPr>
          <w:rFonts w:ascii="Times New Roman" w:hAnsi="Times New Roman"/>
          <w:sz w:val="22"/>
          <w:szCs w:val="22"/>
          <w:lang w:eastAsia="x-none"/>
        </w:rPr>
      </w:pPr>
      <w:hyperlink r:id="rId40" w:history="1">
        <w:r w:rsidR="00BF7B8B" w:rsidRPr="00B906E1">
          <w:rPr>
            <w:rStyle w:val="a5"/>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D65508" w:rsidP="00BF7B8B">
      <w:pPr>
        <w:pStyle w:val="af4"/>
        <w:numPr>
          <w:ilvl w:val="0"/>
          <w:numId w:val="18"/>
        </w:numPr>
        <w:rPr>
          <w:rFonts w:ascii="Times New Roman" w:hAnsi="Times New Roman"/>
          <w:sz w:val="22"/>
          <w:szCs w:val="22"/>
          <w:lang w:eastAsia="x-none"/>
        </w:rPr>
      </w:pPr>
      <w:hyperlink r:id="rId41" w:history="1">
        <w:r w:rsidR="00BF7B8B" w:rsidRPr="00B906E1">
          <w:rPr>
            <w:rStyle w:val="a5"/>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D65508" w:rsidP="00BF7B8B">
      <w:pPr>
        <w:pStyle w:val="af4"/>
        <w:numPr>
          <w:ilvl w:val="0"/>
          <w:numId w:val="18"/>
        </w:numPr>
        <w:rPr>
          <w:rFonts w:ascii="Times New Roman" w:hAnsi="Times New Roman"/>
          <w:sz w:val="22"/>
          <w:szCs w:val="22"/>
          <w:lang w:eastAsia="x-none"/>
        </w:rPr>
      </w:pPr>
      <w:hyperlink r:id="rId42" w:history="1">
        <w:r w:rsidR="00BF7B8B" w:rsidRPr="00B906E1">
          <w:rPr>
            <w:rStyle w:val="a5"/>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D65508" w:rsidP="00BF7B8B">
      <w:pPr>
        <w:pStyle w:val="af4"/>
        <w:numPr>
          <w:ilvl w:val="0"/>
          <w:numId w:val="18"/>
        </w:numPr>
        <w:rPr>
          <w:rFonts w:ascii="Times New Roman" w:hAnsi="Times New Roman"/>
          <w:sz w:val="22"/>
          <w:szCs w:val="22"/>
          <w:lang w:eastAsia="x-none"/>
        </w:rPr>
      </w:pPr>
      <w:hyperlink r:id="rId43" w:history="1">
        <w:r w:rsidR="00BF7B8B" w:rsidRPr="00B906E1">
          <w:rPr>
            <w:rStyle w:val="a5"/>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D65508" w:rsidP="00BF7B8B">
      <w:pPr>
        <w:pStyle w:val="af4"/>
        <w:numPr>
          <w:ilvl w:val="0"/>
          <w:numId w:val="18"/>
        </w:numPr>
        <w:rPr>
          <w:rFonts w:ascii="Times New Roman" w:hAnsi="Times New Roman"/>
          <w:sz w:val="22"/>
          <w:szCs w:val="22"/>
          <w:lang w:eastAsia="x-none"/>
        </w:rPr>
      </w:pPr>
      <w:hyperlink r:id="rId44" w:history="1">
        <w:r w:rsidR="00BF7B8B" w:rsidRPr="00B906E1">
          <w:rPr>
            <w:rStyle w:val="a5"/>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D65508" w:rsidP="00BF7B8B">
      <w:pPr>
        <w:pStyle w:val="af4"/>
        <w:numPr>
          <w:ilvl w:val="0"/>
          <w:numId w:val="18"/>
        </w:numPr>
        <w:rPr>
          <w:rFonts w:ascii="Times New Roman" w:hAnsi="Times New Roman"/>
          <w:sz w:val="22"/>
          <w:szCs w:val="22"/>
          <w:lang w:eastAsia="x-none"/>
        </w:rPr>
      </w:pPr>
      <w:hyperlink r:id="rId45" w:history="1">
        <w:r w:rsidR="00BF7B8B" w:rsidRPr="00B906E1">
          <w:rPr>
            <w:rStyle w:val="a5"/>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D65508" w:rsidP="00BF7B8B">
      <w:pPr>
        <w:pStyle w:val="af4"/>
        <w:numPr>
          <w:ilvl w:val="0"/>
          <w:numId w:val="18"/>
        </w:numPr>
        <w:rPr>
          <w:rFonts w:ascii="Times New Roman" w:hAnsi="Times New Roman"/>
          <w:sz w:val="22"/>
          <w:szCs w:val="22"/>
          <w:lang w:eastAsia="x-none"/>
        </w:rPr>
      </w:pPr>
      <w:hyperlink r:id="rId46" w:history="1">
        <w:r w:rsidR="00BF7B8B" w:rsidRPr="00B906E1">
          <w:rPr>
            <w:rStyle w:val="a5"/>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D65508" w:rsidP="00B906E1">
      <w:pPr>
        <w:pStyle w:val="af4"/>
        <w:numPr>
          <w:ilvl w:val="0"/>
          <w:numId w:val="18"/>
        </w:numPr>
        <w:rPr>
          <w:rFonts w:ascii="Times New Roman" w:hAnsi="Times New Roman"/>
          <w:sz w:val="22"/>
          <w:szCs w:val="22"/>
          <w:lang w:eastAsia="x-none"/>
        </w:rPr>
      </w:pPr>
      <w:hyperlink r:id="rId47" w:history="1">
        <w:r w:rsidR="00BF7B8B" w:rsidRPr="00B906E1">
          <w:rPr>
            <w:rStyle w:val="a5"/>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5B75C" w14:textId="77777777" w:rsidR="00D4557D" w:rsidRDefault="00D4557D">
      <w:r>
        <w:separator/>
      </w:r>
    </w:p>
  </w:endnote>
  <w:endnote w:type="continuationSeparator" w:id="0">
    <w:p w14:paraId="5F9484E9" w14:textId="77777777" w:rsidR="00D4557D" w:rsidRDefault="00D4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9477E" w14:textId="77777777" w:rsidR="00D4557D" w:rsidRDefault="00D4557D">
      <w:r>
        <w:separator/>
      </w:r>
    </w:p>
  </w:footnote>
  <w:footnote w:type="continuationSeparator" w:id="0">
    <w:p w14:paraId="4445601E" w14:textId="77777777" w:rsidR="00D4557D" w:rsidRDefault="00D45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29"/>
    <w:lvlOverride w:ilvl="0">
      <w:startOverride w:val="1"/>
    </w:lvlOverride>
  </w:num>
  <w:num w:numId="5">
    <w:abstractNumId w:val="25"/>
  </w:num>
  <w:num w:numId="6">
    <w:abstractNumId w:val="28"/>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7"/>
  </w:num>
  <w:num w:numId="31">
    <w:abstractNumId w:val="5"/>
  </w:num>
  <w:num w:numId="32">
    <w:abstractNumId w:val="18"/>
  </w:num>
  <w:num w:numId="33">
    <w:abstractNumId w:val="23"/>
  </w:num>
  <w:num w:numId="34">
    <w:abstractNumId w:val="3"/>
  </w:num>
  <w:num w:numId="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88A"/>
    <w:rsid w:val="00187252"/>
    <w:rsid w:val="00190CD7"/>
    <w:rsid w:val="00191C91"/>
    <w:rsid w:val="00191E69"/>
    <w:rsid w:val="00192DD9"/>
    <w:rsid w:val="001937B3"/>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0CB"/>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7DA"/>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C785FD7A-91F5-4D3A-9375-A4FEDD70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26B"/>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字元"/>
    <w:basedOn w:val="a0"/>
    <w:link w:val="a3"/>
    <w:rsid w:val="00CF195E"/>
  </w:style>
  <w:style w:type="character" w:styleId="a5">
    <w:name w:val="Hyperlink"/>
    <w:basedOn w:val="a0"/>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頁首 字元"/>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頁尾 字元"/>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
    <w:basedOn w:val="a"/>
    <w:link w:val="af5"/>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5">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4"/>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標題 2 字元"/>
    <w:aliases w:val="DO NOT USE_h2 字元,h2 字元,h21 字元,2 字元,Header 2 字元,Header2 字元,22 字元,heading2 字元,H2 字元,2nd level 字元,UNDERRUBRIK 1-2 字元,H21 字元,H22 字元,H23 字元,H24 字元,H25 字元,R2 字元,E2 字元,†berschrift 2 字元,õberschrift 2 字元,Head2A 字元,Heading 2 Char 字元,H2 Char 字元,h2 Char 字元"/>
    <w:basedOn w:val="a0"/>
    <w:link w:val="2"/>
    <w:rsid w:val="003066F0"/>
    <w:rPr>
      <w:b/>
      <w:bCs/>
      <w:sz w:val="24"/>
      <w:szCs w:val="22"/>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註解文字 字元"/>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註解主旨 字元"/>
    <w:basedOn w:val="af9"/>
    <w:link w:val="afa"/>
    <w:semiHidden/>
    <w:rsid w:val="00507236"/>
    <w:rPr>
      <w:b/>
      <w:bCs/>
      <w:sz w:val="22"/>
      <w:szCs w:val="22"/>
    </w:rPr>
  </w:style>
  <w:style w:type="paragraph" w:styleId="Web">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0" Type="http://schemas.openxmlformats.org/officeDocument/2006/relationships/image" Target="media/image6.wmf"/><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D95FCD-2AF5-43D0-BE6A-C3E4089F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9287</Words>
  <Characters>52941</Characters>
  <Application>Microsoft Office Word</Application>
  <DocSecurity>0</DocSecurity>
  <Lines>441</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CH Hsieh (謝其軒)</cp:lastModifiedBy>
  <cp:revision>3</cp:revision>
  <cp:lastPrinted>2007-06-18T22:08:00Z</cp:lastPrinted>
  <dcterms:created xsi:type="dcterms:W3CDTF">2020-11-05T11:14:00Z</dcterms:created>
  <dcterms:modified xsi:type="dcterms:W3CDTF">2020-11-05T11:46:00Z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1604434791</vt:lpwstr>
  </property>
</Properties>
</file>