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Issue #3) Processing capability for Tx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3pt;height:180.85pt;mso-width-percent:0;mso-height-percent:0;mso-width-percent:0;mso-height-percent:0" o:ole="">
                  <v:imagedata r:id="rId21" o:title=""/>
                </v:shape>
                <o:OLEObject Type="Embed" ProgID="Visio.Drawing.11" ShapeID="_x0000_i1025" DrawAspect="Content" ObjectID="_1665304215"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 xml:space="preserve">A DAPS handover is intra-frequency if the </w:t>
            </w:r>
            <w:proofErr w:type="spellStart"/>
            <w:r w:rsidRPr="00A01642">
              <w:t>centre</w:t>
            </w:r>
            <w:proofErr w:type="spellEnd"/>
            <w:r w:rsidRPr="00A01642">
              <w:t xml:space="preserve"> frequency of the SSB of the source cell and the </w:t>
            </w:r>
            <w:proofErr w:type="spellStart"/>
            <w:r w:rsidRPr="00A01642">
              <w:t>centre</w:t>
            </w:r>
            <w:proofErr w:type="spellEnd"/>
            <w:r w:rsidRPr="00A01642">
              <w:t xml:space="preserv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2BCCB7D4" w:rsidR="00C43C91" w:rsidRDefault="00C43C91"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5D650CEF" w14:textId="6E862880" w:rsidR="00C43C91" w:rsidRDefault="00C43C91" w:rsidP="002A4DB3">
            <w:pPr>
              <w:overflowPunct/>
              <w:autoSpaceDE/>
              <w:adjustRightInd/>
              <w:spacing w:after="0"/>
              <w:rPr>
                <w:lang w:eastAsia="zh-CN"/>
              </w:rPr>
            </w:pP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Default="007C3EE9">
            <w:pPr>
              <w:overflowPunct/>
              <w:autoSpaceDE/>
              <w:adjustRightInd/>
              <w:spacing w:after="0"/>
              <w:rPr>
                <w:lang w:val="sv-SE" w:eastAsia="zh-CN"/>
              </w:rPr>
            </w:pPr>
            <w:r>
              <w:rPr>
                <w:lang w:val="sv-SE" w:eastAsia="zh-CN"/>
              </w:rPr>
              <w:t>The direction of CR is fine. However, the following should be updated:</w:t>
            </w:r>
          </w:p>
          <w:p w14:paraId="7C3B8B1E" w14:textId="77777777" w:rsidR="007556A2" w:rsidRDefault="007C3EE9">
            <w:pPr>
              <w:pStyle w:val="ListParagraph"/>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C3B8B1F" w14:textId="77777777" w:rsidR="007556A2" w:rsidRDefault="007C3EE9">
            <w:pPr>
              <w:pStyle w:val="ListParagraph"/>
              <w:numPr>
                <w:ilvl w:val="0"/>
                <w:numId w:val="8"/>
              </w:numPr>
              <w:rPr>
                <w:lang w:val="sv-SE" w:eastAsia="zh-CN"/>
              </w:rPr>
            </w:pPr>
            <w:r>
              <w:rPr>
                <w:lang w:val="sv-SE"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val="sv-SE"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val="sv-SE" w:eastAsia="zh-CN"/>
              </w:rPr>
              <w:t>”</w:t>
            </w:r>
          </w:p>
          <w:p w14:paraId="7C3B8B20" w14:textId="77777777" w:rsidR="007556A2" w:rsidRDefault="007C3EE9">
            <w:pPr>
              <w:rPr>
                <w:lang w:val="sv-SE" w:eastAsia="zh-CN"/>
              </w:rPr>
            </w:pPr>
            <w:r>
              <w:rPr>
                <w:lang w:val="sv-SE"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7C3B8B25" w14:textId="77777777" w:rsidR="007556A2" w:rsidRDefault="007C3EE9">
            <w:pPr>
              <w:overflowPunct/>
              <w:autoSpaceDE/>
              <w:adjustRightInd/>
              <w:spacing w:after="0"/>
              <w:rPr>
                <w:lang w:val="sv-SE" w:eastAsia="zh-CN"/>
              </w:rPr>
            </w:pPr>
            <w:r>
              <w:rPr>
                <w:lang w:val="sv-SE"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Default="007C3EE9">
            <w:pPr>
              <w:overflowPunct/>
              <w:autoSpaceDE/>
              <w:adjustRightInd/>
              <w:spacing w:after="0"/>
              <w:rPr>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Default="007C3EE9">
            <w:pPr>
              <w:overflowPunct/>
              <w:autoSpaceDE/>
              <w:adjustRightInd/>
              <w:spacing w:after="0"/>
              <w:rPr>
                <w:lang w:val="sv-SE"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77777777" w:rsidR="00C43C91" w:rsidRDefault="00C43C91" w:rsidP="002A4DB3">
            <w:pPr>
              <w:spacing w:after="0"/>
              <w:rPr>
                <w:lang w:val="sv-SE" w:eastAsia="zh-CN"/>
              </w:rPr>
            </w:pPr>
          </w:p>
        </w:tc>
        <w:tc>
          <w:tcPr>
            <w:tcW w:w="8624" w:type="dxa"/>
            <w:tcBorders>
              <w:top w:val="single" w:sz="4" w:space="0" w:color="auto"/>
              <w:left w:val="single" w:sz="4" w:space="0" w:color="auto"/>
              <w:bottom w:val="single" w:sz="4" w:space="0" w:color="auto"/>
              <w:right w:val="single" w:sz="4" w:space="0" w:color="auto"/>
            </w:tcBorders>
          </w:tcPr>
          <w:p w14:paraId="29D89167" w14:textId="77777777" w:rsidR="00C43C91" w:rsidRDefault="00C43C91" w:rsidP="002A4DB3">
            <w:pPr>
              <w:overflowPunct/>
              <w:autoSpaceDE/>
              <w:adjustRightInd/>
              <w:spacing w:after="0"/>
              <w:rPr>
                <w:lang w:eastAsia="zh-CN"/>
              </w:rPr>
            </w:pPr>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Default="007C3EE9">
            <w:pPr>
              <w:overflowPunct/>
              <w:autoSpaceDE/>
              <w:adjustRightInd/>
              <w:spacing w:after="0"/>
              <w:rPr>
                <w:lang w:val="sv-SE" w:eastAsia="zh-CN"/>
              </w:rPr>
            </w:pPr>
            <w:r>
              <w:rPr>
                <w:lang w:val="sv-SE"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Pr>
                <w:lang w:val="sv-SE" w:eastAsia="zh-CN"/>
              </w:rPr>
              <w:t xml:space="preserve">The goal for this TP is to address the </w:t>
            </w:r>
            <w:r w:rsidR="00966891">
              <w:rPr>
                <w:lang w:val="sv-SE" w:eastAsia="zh-CN"/>
              </w:rPr>
              <w:t>meaning</w:t>
            </w:r>
            <w:r>
              <w:rPr>
                <w:lang w:val="sv-SE" w:eastAsia="zh-CN"/>
              </w:rPr>
              <w:t xml:space="preserve"> of ”the corrsponding processing capability” when source and target cell</w:t>
            </w:r>
            <w:r w:rsidR="00966891">
              <w:rPr>
                <w:lang w:val="sv-SE" w:eastAsia="zh-CN"/>
              </w:rPr>
              <w:t>s</w:t>
            </w:r>
            <w:r>
              <w:rPr>
                <w:lang w:val="sv-SE"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Default="000D1E6F" w:rsidP="00DB2752">
            <w:pPr>
              <w:overflowPunct/>
              <w:autoSpaceDE/>
              <w:adjustRightInd/>
              <w:spacing w:after="0"/>
              <w:rPr>
                <w:lang w:val="sv-SE" w:eastAsia="zh-CN"/>
              </w:rPr>
            </w:pPr>
          </w:p>
          <w:p w14:paraId="7C3B8B5D" w14:textId="77777777" w:rsidR="00CD537D" w:rsidRDefault="00A5356A" w:rsidP="00DB2752">
            <w:pPr>
              <w:overflowPunct/>
              <w:autoSpaceDE/>
              <w:adjustRightInd/>
              <w:spacing w:after="0"/>
              <w:rPr>
                <w:lang w:val="sv-SE" w:eastAsia="zh-CN"/>
              </w:rPr>
            </w:pPr>
            <w:r w:rsidRPr="000D1E6F">
              <w:rPr>
                <w:b/>
                <w:lang w:val="sv-SE" w:eastAsia="zh-CN"/>
              </w:rPr>
              <w:t>To HW</w:t>
            </w:r>
            <w:r w:rsidR="00DB2752" w:rsidRPr="000D1E6F">
              <w:rPr>
                <w:b/>
                <w:lang w:val="sv-SE" w:eastAsia="zh-CN"/>
              </w:rPr>
              <w:t xml:space="preserve"> and</w:t>
            </w:r>
            <w:r w:rsidRPr="000D1E6F">
              <w:rPr>
                <w:b/>
                <w:lang w:val="sv-SE" w:eastAsia="zh-CN"/>
              </w:rPr>
              <w:t xml:space="preserve"> Nokia</w:t>
            </w:r>
            <w:r>
              <w:rPr>
                <w:lang w:val="sv-SE" w:eastAsia="zh-CN"/>
              </w:rPr>
              <w:t xml:space="preserve">: In </w:t>
            </w:r>
            <w:r w:rsidR="00DB2752">
              <w:rPr>
                <w:lang w:val="sv-SE" w:eastAsia="zh-CN"/>
              </w:rPr>
              <w:t>38.</w:t>
            </w:r>
            <w:r>
              <w:rPr>
                <w:lang w:val="sv-SE" w:eastAsia="zh-CN"/>
              </w:rPr>
              <w:t>214,</w:t>
            </w:r>
            <w:r w:rsidR="00DB2752">
              <w:rPr>
                <w:lang w:val="sv-SE" w:eastAsia="zh-CN"/>
              </w:rPr>
              <w:t xml:space="preserve"> </w:t>
            </w:r>
            <w:r>
              <w:rPr>
                <w:lang w:val="sv-SE" w:eastAsia="zh-CN"/>
              </w:rPr>
              <w:t xml:space="preserve">the processing capability 1 or processing capability 2 </w:t>
            </w:r>
            <w:r w:rsidR="00DB2752">
              <w:rPr>
                <w:lang w:val="sv-SE" w:eastAsia="zh-CN"/>
              </w:rPr>
              <w:t>refer</w:t>
            </w:r>
            <w:r>
              <w:rPr>
                <w:lang w:val="sv-SE" w:eastAsia="zh-CN"/>
              </w:rPr>
              <w:t xml:space="preserve"> to different table for PUSCH preparation time. </w:t>
            </w:r>
            <w:r w:rsidR="000D1E6F" w:rsidRPr="000D1E6F">
              <w:rPr>
                <w:lang w:val="sv-SE"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Default="00DB2752" w:rsidP="00884B4C">
            <w:pPr>
              <w:overflowPunct/>
              <w:autoSpaceDE/>
              <w:adjustRightInd/>
              <w:spacing w:after="0"/>
              <w:rPr>
                <w:lang w:val="sv-SE" w:eastAsia="zh-CN"/>
              </w:rPr>
            </w:pPr>
            <w:r w:rsidRPr="000D1E6F">
              <w:rPr>
                <w:b/>
                <w:lang w:val="sv-SE" w:eastAsia="zh-CN"/>
              </w:rPr>
              <w:t>To Apple:</w:t>
            </w:r>
            <w:r>
              <w:rPr>
                <w:lang w:val="sv-SE" w:eastAsia="zh-CN"/>
              </w:rPr>
              <w:t xml:space="preserve"> Our understanding </w:t>
            </w:r>
            <w:r w:rsidR="004C0732">
              <w:rPr>
                <w:lang w:val="sv-SE" w:eastAsia="zh-CN"/>
              </w:rPr>
              <w:t xml:space="preserve">is that </w:t>
            </w:r>
            <w:r>
              <w:rPr>
                <w:lang w:val="sv-SE" w:eastAsia="zh-CN"/>
              </w:rPr>
              <w:t>”PUSCH preparation time”</w:t>
            </w:r>
            <w:r w:rsidR="004C0732">
              <w:rPr>
                <w:lang w:val="sv-SE" w:eastAsia="zh-CN"/>
              </w:rPr>
              <w:t xml:space="preserve"> includes both the DCI decoding time and </w:t>
            </w:r>
            <w:r w:rsidR="000D1E6F">
              <w:rPr>
                <w:lang w:val="sv-SE" w:eastAsia="zh-CN"/>
              </w:rPr>
              <w:t xml:space="preserve">PUSCH processing time, </w:t>
            </w:r>
            <w:r w:rsidR="000D1E6F" w:rsidRPr="000D1E6F">
              <w:rPr>
                <w:lang w:val="sv-SE" w:eastAsia="zh-CN"/>
              </w:rPr>
              <w:t xml:space="preserve">and the decoding of DCI here happens in target cell. Hence, we think using only source cell timing would be unfair. Even if we want to go with this route, the current statement is not enough as we mentioned above.  </w:t>
            </w:r>
          </w:p>
          <w:p w14:paraId="7C3B8B5F" w14:textId="77777777" w:rsidR="00DB2752" w:rsidRDefault="00DB2752" w:rsidP="00884B4C">
            <w:pPr>
              <w:overflowPunct/>
              <w:autoSpaceDE/>
              <w:adjustRightInd/>
              <w:spacing w:after="0"/>
              <w:rPr>
                <w:lang w:val="sv-SE"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Default="00362E1A" w:rsidP="00DB2752">
            <w:pPr>
              <w:overflowPunct/>
              <w:autoSpaceDE/>
              <w:adjustRightInd/>
              <w:spacing w:after="0"/>
              <w:rPr>
                <w:lang w:val="sv-SE" w:eastAsia="zh-CN"/>
              </w:rPr>
            </w:pPr>
            <w:r>
              <w:rPr>
                <w:lang w:val="sv-SE"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Pr>
                <w:lang w:val="sv-SE" w:eastAsia="zh-CN"/>
              </w:rPr>
              <w:t>So either we agree on TP#3-1 or clarify that PUSCH processing time should be based on the source cell. 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 xml:space="preserve">given that TP#3-1 already has 4 supporting companies, I would recommend </w:t>
      </w:r>
      <w:proofErr w:type="gramStart"/>
      <w:r w:rsidR="00BC3D3E" w:rsidRPr="00CA2B53">
        <w:rPr>
          <w:rFonts w:ascii="Times New Roman" w:hAnsi="Times New Roman"/>
          <w:i/>
          <w:iCs/>
          <w:sz w:val="22"/>
          <w:szCs w:val="22"/>
          <w:lang w:eastAsia="zh-CN"/>
        </w:rPr>
        <w:t>to agree</w:t>
      </w:r>
      <w:proofErr w:type="gramEnd"/>
      <w:r w:rsidR="00BC3D3E" w:rsidRPr="00CA2B53">
        <w:rPr>
          <w:rFonts w:ascii="Times New Roman" w:hAnsi="Times New Roman"/>
          <w:i/>
          <w:iCs/>
          <w:sz w:val="22"/>
          <w:szCs w:val="22"/>
          <w:lang w:eastAsia="zh-CN"/>
        </w:rPr>
        <w:t xml:space="preserv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77777777" w:rsidR="009E63C4" w:rsidRDefault="009E63C4" w:rsidP="002A4DB3">
            <w:pPr>
              <w:spacing w:after="0"/>
              <w:rPr>
                <w:lang w:val="sv-SE" w:eastAsia="zh-CN"/>
              </w:rPr>
            </w:pPr>
          </w:p>
        </w:tc>
        <w:tc>
          <w:tcPr>
            <w:tcW w:w="8534" w:type="dxa"/>
            <w:tcBorders>
              <w:top w:val="single" w:sz="4" w:space="0" w:color="auto"/>
              <w:left w:val="single" w:sz="4" w:space="0" w:color="auto"/>
              <w:bottom w:val="single" w:sz="4" w:space="0" w:color="auto"/>
              <w:right w:val="single" w:sz="4" w:space="0" w:color="auto"/>
            </w:tcBorders>
          </w:tcPr>
          <w:p w14:paraId="08365375" w14:textId="77777777" w:rsidR="009E63C4" w:rsidRDefault="009E63C4" w:rsidP="002A4DB3">
            <w:pPr>
              <w:overflowPunct/>
              <w:autoSpaceDE/>
              <w:adjustRightInd/>
              <w:spacing w:after="0"/>
              <w:rPr>
                <w:lang w:eastAsia="zh-CN"/>
              </w:rPr>
            </w:pP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bookmarkStart w:id="11" w:name="_GoBack" w:colFirst="0" w:colLast="2"/>
            <w:r w:rsidRPr="00CA2B53">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Default="00CA2B53">
            <w:pPr>
              <w:overflowPunct/>
              <w:autoSpaceDE/>
              <w:adjustRightInd/>
              <w:spacing w:after="0"/>
              <w:rPr>
                <w:lang w:val="sv-SE" w:eastAsia="zh-CN"/>
              </w:rPr>
            </w:pPr>
            <w:r>
              <w:rPr>
                <w:lang w:val="sv-SE" w:eastAsia="zh-CN"/>
              </w:rPr>
              <w:t xml:space="preserve">TP#3-2 seems to have </w:t>
            </w:r>
            <w:r w:rsidR="00D217A0">
              <w:rPr>
                <w:lang w:val="sv-SE" w:eastAsia="zh-CN"/>
              </w:rPr>
              <w:t>good support.</w:t>
            </w:r>
          </w:p>
        </w:tc>
      </w:tr>
      <w:bookmarkEnd w:id="11"/>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7777777" w:rsidR="00CA2B53" w:rsidRDefault="00CA2B53"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1962ACEB" w14:textId="77777777" w:rsidR="00CA2B53" w:rsidRDefault="00CA2B53" w:rsidP="002A4DB3">
            <w:pPr>
              <w:overflowPunct/>
              <w:autoSpaceDE/>
              <w:adjustRightInd/>
              <w:spacing w:after="0"/>
              <w:rPr>
                <w:lang w:eastAsia="zh-CN"/>
              </w:rPr>
            </w:pPr>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8BA9" w14:textId="77777777" w:rsidR="00291314" w:rsidRDefault="00291314">
      <w:pPr>
        <w:spacing w:after="0" w:line="240" w:lineRule="auto"/>
      </w:pPr>
      <w:r>
        <w:separator/>
      </w:r>
    </w:p>
  </w:endnote>
  <w:endnote w:type="continuationSeparator" w:id="0">
    <w:p w14:paraId="7C3B8BAA" w14:textId="77777777" w:rsidR="00291314" w:rsidRDefault="0029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5A501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01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8BA7" w14:textId="77777777" w:rsidR="00291314" w:rsidRDefault="00291314">
      <w:pPr>
        <w:spacing w:after="0" w:line="240" w:lineRule="auto"/>
      </w:pPr>
      <w:r>
        <w:separator/>
      </w:r>
    </w:p>
  </w:footnote>
  <w:footnote w:type="continuationSeparator" w:id="0">
    <w:p w14:paraId="7C3B8BA8" w14:textId="77777777" w:rsidR="00291314" w:rsidRDefault="0029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8C3A8787-1F0B-4BA0-80D1-66EECFF60378}">
  <ds:schemaRefs>
    <ds:schemaRef ds:uri="http://schemas.openxmlformats.org/officeDocument/2006/bibliography"/>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7D42D0FC-002A-48AA-A0C0-8CC19283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194</TotalTime>
  <Pages>10</Pages>
  <Words>3695</Words>
  <Characters>19061</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Lee, Daewon</cp:lastModifiedBy>
  <cp:revision>27</cp:revision>
  <cp:lastPrinted>2011-11-09T07:49:00Z</cp:lastPrinted>
  <dcterms:created xsi:type="dcterms:W3CDTF">2020-10-27T14:00:00Z</dcterms:created>
  <dcterms:modified xsi:type="dcterms:W3CDTF">2020-10-27T18:42:00Z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