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7.png" ContentType="image/png"/>
  <Override PartName="/word/media/image6.png" ContentType="image/png"/>
  <Override PartName="/word/media/image5.png" ContentType="image/png"/>
  <Override PartName="/word/media/image1.png" ContentType="image/png"/>
  <Override PartName="/word/media/image2.png" ContentType="image/png"/>
  <Override PartName="/word/media/image3.png" ContentType="image/png"/>
  <Override PartName="/word/media/image4.png" ContentType="image/png"/>
  <Override PartName="/word/document.xml" ContentType="application/vnd.openxmlformats-officedocument.wordprocessingml.document.main+xml"/>
  <Override PartName="/word/numbering.xml" ContentType="application/vnd.openxmlformats-officedocument.wordprocessingml.numbering+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3GPPHeader"/>
        <w:tabs>
          <w:tab w:val="left" w:pos="1701" w:leader="none"/>
          <w:tab w:val="right" w:pos="9360" w:leader="none"/>
          <w:tab w:val="right" w:pos="9639" w:leader="none"/>
        </w:tabs>
        <w:spacing w:before="0" w:after="60"/>
        <w:rPr>
          <w:highlight w:val="yellow"/>
          <w:lang w:val="de-DE"/>
        </w:rPr>
      </w:pPr>
      <w:r>
        <w:rPr>
          <w:lang w:val="de-DE"/>
        </w:rPr>
        <w:t>3GPP TSG-RAN WG1 #103-e</w:t>
        <w:tab/>
        <w:t>R1-200</w:t>
      </w:r>
      <w:r>
        <w:rPr>
          <w:lang w:val="de-DE"/>
        </w:rPr>
        <w:t>8885</w:t>
      </w:r>
    </w:p>
    <w:p>
      <w:pPr>
        <w:pStyle w:val="3GPPHeader"/>
        <w:tabs>
          <w:tab w:val="left" w:pos="1701" w:leader="none"/>
          <w:tab w:val="right" w:pos="9361" w:leader="none"/>
          <w:tab w:val="right" w:pos="9639" w:leader="none"/>
        </w:tabs>
        <w:spacing w:lineRule="auto" w:line="276" w:before="0" w:after="60"/>
        <w:ind w:left="1695" w:hanging="1695"/>
        <w:jc w:val="left"/>
        <w:rPr>
          <w:sz w:val="22"/>
          <w:szCs w:val="22"/>
        </w:rPr>
      </w:pPr>
      <w:r>
        <w:rPr/>
        <w:t>e-Meeting, October 26</w:t>
      </w:r>
      <w:r>
        <w:rPr>
          <w:vertAlign w:val="superscript"/>
        </w:rPr>
        <w:t>th</w:t>
      </w:r>
      <w:r>
        <w:rPr/>
        <w:t xml:space="preserve"> – November 13</w:t>
      </w:r>
      <w:r>
        <w:rPr>
          <w:vertAlign w:val="superscript"/>
        </w:rPr>
        <w:t>th</w:t>
      </w:r>
      <w:r>
        <w:rPr/>
        <w:t>, 2020</w:t>
        <w:tab/>
        <w:t>Revision of R1-2005313</w:t>
      </w:r>
    </w:p>
    <w:p>
      <w:pPr>
        <w:pStyle w:val="3GPPHeader"/>
        <w:spacing w:lineRule="auto" w:line="276" w:before="0" w:after="60"/>
        <w:ind w:left="1685" w:hanging="1685"/>
        <w:jc w:val="left"/>
        <w:rPr>
          <w:sz w:val="22"/>
          <w:szCs w:val="22"/>
        </w:rPr>
      </w:pPr>
      <w:bookmarkStart w:id="0" w:name="_GoBack"/>
      <w:bookmarkStart w:id="1" w:name="_GoBack"/>
      <w:bookmarkEnd w:id="1"/>
      <w:r>
        <w:rPr>
          <w:sz w:val="22"/>
          <w:szCs w:val="22"/>
        </w:rPr>
      </w:r>
    </w:p>
    <w:p>
      <w:pPr>
        <w:pStyle w:val="3GPPHeader"/>
        <w:spacing w:lineRule="auto" w:line="276" w:before="0" w:after="60"/>
        <w:ind w:left="1685" w:hanging="1685"/>
        <w:jc w:val="left"/>
        <w:rPr/>
      </w:pPr>
      <w:r>
        <w:rPr>
          <w:sz w:val="22"/>
          <w:szCs w:val="22"/>
        </w:rPr>
        <w:t>Title:</w:t>
        <w:tab/>
      </w:r>
      <w:bookmarkStart w:id="2" w:name="__DdeLink__3270_357931547"/>
      <w:bookmarkEnd w:id="2"/>
      <w:r>
        <w:rPr>
          <w:sz w:val="22"/>
          <w:szCs w:val="22"/>
        </w:rPr>
        <w:t>Study Cases and Parameters for System-Level Simulations in NTN WI</w:t>
      </w:r>
    </w:p>
    <w:p>
      <w:pPr>
        <w:pStyle w:val="3GPPHeader"/>
        <w:spacing w:lineRule="auto" w:line="276" w:before="0" w:after="60"/>
        <w:ind w:left="1686" w:hanging="1686"/>
        <w:rPr>
          <w:sz w:val="22"/>
          <w:szCs w:val="22"/>
          <w:lang w:val="en-US"/>
        </w:rPr>
      </w:pPr>
      <w:r>
        <w:rPr>
          <w:sz w:val="22"/>
          <w:szCs w:val="22"/>
          <w:lang w:val="en-US"/>
        </w:rPr>
        <w:t>Source:</w:t>
        <w:tab/>
        <w:t>Nomor Research GmbH, Thales</w:t>
      </w:r>
    </w:p>
    <w:p>
      <w:pPr>
        <w:pStyle w:val="Normal"/>
        <w:spacing w:lineRule="auto" w:line="276" w:before="0" w:after="60"/>
        <w:ind w:left="1685" w:hanging="1685"/>
        <w:rPr>
          <w:b/>
          <w:b/>
          <w:sz w:val="22"/>
          <w:szCs w:val="22"/>
        </w:rPr>
      </w:pPr>
      <w:r>
        <w:rPr>
          <w:b/>
          <w:sz w:val="22"/>
          <w:szCs w:val="22"/>
        </w:rPr>
        <w:t>Type:</w:t>
        <w:tab/>
        <w:t>Discussion</w:t>
      </w:r>
    </w:p>
    <w:p>
      <w:pPr>
        <w:pStyle w:val="3GPPHeader"/>
        <w:spacing w:lineRule="auto" w:line="276" w:before="0" w:after="60"/>
        <w:ind w:left="1685" w:hanging="1685"/>
        <w:rPr>
          <w:sz w:val="22"/>
          <w:szCs w:val="22"/>
        </w:rPr>
      </w:pPr>
      <w:r>
        <w:rPr>
          <w:sz w:val="22"/>
          <w:szCs w:val="22"/>
        </w:rPr>
        <w:t>Document for:</w:t>
        <w:tab/>
        <w:t>Decision</w:t>
      </w:r>
    </w:p>
    <w:p>
      <w:pPr>
        <w:pStyle w:val="3GPPHeader"/>
        <w:spacing w:lineRule="auto" w:line="276" w:before="0" w:after="60"/>
        <w:ind w:left="1685" w:hanging="1685"/>
        <w:rPr>
          <w:sz w:val="22"/>
          <w:szCs w:val="22"/>
        </w:rPr>
      </w:pPr>
      <w:r>
        <w:rPr>
          <w:sz w:val="22"/>
          <w:szCs w:val="22"/>
        </w:rPr>
        <w:t xml:space="preserve">Agenda Item: </w:t>
        <w:tab/>
        <w:t>8.4.4 Others</w:t>
      </w:r>
    </w:p>
    <w:p>
      <w:pPr>
        <w:pStyle w:val="3GPPHeader"/>
        <w:spacing w:lineRule="auto" w:line="276" w:before="0" w:after="60"/>
        <w:ind w:left="1685" w:hanging="1685"/>
        <w:rPr>
          <w:sz w:val="22"/>
          <w:szCs w:val="22"/>
        </w:rPr>
      </w:pPr>
      <w:r>
        <w:rPr>
          <w:sz w:val="22"/>
          <w:szCs w:val="22"/>
        </w:rPr>
        <w:t xml:space="preserve">Work Item: </w:t>
        <w:tab/>
        <w:t>NR_NTN_Solutions: Solutions for NR to support non-terrestrial networks (NTN)</w:t>
      </w:r>
    </w:p>
    <w:p>
      <w:pPr>
        <w:pStyle w:val="Heading1"/>
        <w:numPr>
          <w:ilvl w:val="0"/>
          <w:numId w:val="2"/>
        </w:numPr>
        <w:tabs>
          <w:tab w:val="left" w:pos="432" w:leader="none"/>
        </w:tabs>
        <w:rPr/>
      </w:pPr>
      <w:bookmarkStart w:id="3" w:name="_Ref16667598"/>
      <w:bookmarkEnd w:id="3"/>
      <w:r>
        <w:rPr/>
        <w:t>Introduction</w:t>
      </w:r>
    </w:p>
    <w:p>
      <w:pPr>
        <w:pStyle w:val="Doctext2"/>
        <w:ind w:left="0" w:hanging="0"/>
        <w:rPr/>
      </w:pPr>
      <w:r>
        <w:rPr>
          <w:iCs/>
          <w:sz w:val="22"/>
          <w:szCs w:val="22"/>
        </w:rPr>
        <w:t xml:space="preserve">At RAN#86 meeting in Sitges, Spain, a new WI “Solutions for NR to support non-terrestrial networks (NTN)” </w:t>
      </w:r>
      <w:r>
        <w:rPr>
          <w:iCs/>
          <w:sz w:val="22"/>
          <w:szCs w:val="22"/>
        </w:rPr>
        <w:fldChar w:fldCharType="begin"/>
      </w:r>
      <w:r>
        <w:instrText> REF _Ref32217818 \r \h </w:instrText>
      </w:r>
      <w:r>
        <w:fldChar w:fldCharType="separate"/>
      </w:r>
      <w:r>
        <w:t>[1]</w:t>
      </w:r>
      <w:r>
        <w:fldChar w:fldCharType="end"/>
      </w:r>
      <w:r>
        <w:rPr>
          <w:iCs/>
          <w:sz w:val="22"/>
          <w:szCs w:val="22"/>
        </w:rPr>
        <w:t xml:space="preserve"> was agreed with the aim to specify the enhancements identified for NR NTN.</w:t>
      </w:r>
      <w:r>
        <w:rPr>
          <w:sz w:val="22"/>
        </w:rPr>
        <w:t xml:space="preserve"> It has been updated in RAN#88 e-meeting </w:t>
      </w:r>
      <w:r>
        <w:rPr>
          <w:sz w:val="22"/>
        </w:rPr>
        <w:fldChar w:fldCharType="begin"/>
      </w:r>
      <w:r>
        <w:instrText> REF _Ref46240492 \r \h </w:instrText>
      </w:r>
      <w:r>
        <w:fldChar w:fldCharType="separate"/>
      </w:r>
      <w:r>
        <w:t>[3]</w:t>
      </w:r>
      <w:r>
        <w:fldChar w:fldCharType="end"/>
      </w:r>
      <w:r>
        <w:rPr>
          <w:sz w:val="22"/>
        </w:rPr>
        <w:t>.</w:t>
      </w:r>
    </w:p>
    <w:p>
      <w:pPr>
        <w:pStyle w:val="Doctext2"/>
        <w:ind w:left="0" w:hanging="0"/>
        <w:rPr>
          <w:sz w:val="22"/>
        </w:rPr>
      </w:pPr>
      <w:r>
        <w:rPr>
          <w:sz w:val="22"/>
        </w:rPr>
        <w:t>This document analyses the list of simulation study cases, used during the Study Item phase and tries to reduce the large set for system level simulations (SLS) during the Work Item phase. Furthermore, it discusses the propagation condition for GEO scenarios.</w:t>
      </w:r>
    </w:p>
    <w:p>
      <w:pPr>
        <w:pStyle w:val="Heading1"/>
        <w:numPr>
          <w:ilvl w:val="0"/>
          <w:numId w:val="2"/>
        </w:numPr>
        <w:tabs>
          <w:tab w:val="left" w:pos="432" w:leader="none"/>
        </w:tabs>
        <w:rPr/>
      </w:pPr>
      <w:r>
        <w:rPr/>
        <w:t>Study Cases for NTN System-Level Simulations</w:t>
      </w:r>
    </w:p>
    <w:p>
      <w:pPr>
        <w:pStyle w:val="Normal"/>
        <w:rPr/>
      </w:pPr>
      <w:r>
        <w:rPr>
          <w:rFonts w:eastAsia="PMingLiU"/>
          <w:sz w:val="22"/>
          <w:szCs w:val="22"/>
          <w:lang w:eastAsia="zh-TW"/>
        </w:rPr>
        <w:t xml:space="preserve">During Study Item phase a set of 30 study cases have been determined differentiating between satellite orbit, satellite parameter set, central beam elevation, type of terminal, frequency band and usage of frequency/polarization reuse, see </w:t>
      </w:r>
      <w:r>
        <w:rPr>
          <w:rFonts w:eastAsia="PMingLiU"/>
          <w:sz w:val="22"/>
          <w:szCs w:val="22"/>
          <w:lang w:eastAsia="zh-TW"/>
        </w:rPr>
        <w:fldChar w:fldCharType="begin"/>
      </w:r>
      <w:r>
        <w:instrText> REF _Ref32237024 \h </w:instrText>
      </w:r>
      <w:r>
        <w:fldChar w:fldCharType="separate"/>
      </w:r>
      <w:r>
        <w:t>Table 1</w:t>
      </w:r>
      <w:r>
        <w:fldChar w:fldCharType="end"/>
      </w:r>
      <w:r>
        <w:rPr>
          <w:rFonts w:eastAsia="PMingLiU"/>
          <w:sz w:val="22"/>
          <w:szCs w:val="22"/>
          <w:lang w:eastAsia="zh-TW"/>
        </w:rPr>
        <w:t xml:space="preserve"> or Table 6.1.1.1-9 of </w:t>
      </w:r>
      <w:r>
        <w:rPr>
          <w:rFonts w:eastAsia="PMingLiU"/>
          <w:sz w:val="22"/>
          <w:szCs w:val="22"/>
          <w:lang w:eastAsia="zh-TW"/>
        </w:rPr>
        <w:fldChar w:fldCharType="begin"/>
      </w:r>
      <w:r>
        <w:instrText> REF _Ref32236931 \r \h </w:instrText>
      </w:r>
      <w:r>
        <w:fldChar w:fldCharType="separate"/>
      </w:r>
      <w:r>
        <w:t>[2]</w:t>
      </w:r>
      <w:r>
        <w:fldChar w:fldCharType="end"/>
      </w:r>
      <w:r>
        <w:rPr>
          <w:rFonts w:eastAsia="PMingLiU"/>
          <w:sz w:val="22"/>
          <w:szCs w:val="22"/>
          <w:lang w:eastAsia="zh-TW"/>
        </w:rPr>
        <w:t xml:space="preserve">. Simulation parameters have been captured in section 6.1.1.1 of </w:t>
      </w:r>
      <w:r>
        <w:rPr>
          <w:rFonts w:eastAsia="PMingLiU"/>
          <w:sz w:val="22"/>
          <w:szCs w:val="22"/>
          <w:lang w:eastAsia="zh-TW"/>
        </w:rPr>
        <w:fldChar w:fldCharType="begin"/>
      </w:r>
      <w:r>
        <w:instrText> REF _Ref32236931 \r \h </w:instrText>
      </w:r>
      <w:r>
        <w:fldChar w:fldCharType="separate"/>
      </w:r>
      <w:r>
        <w:t>[2]</w:t>
      </w:r>
      <w:r>
        <w:fldChar w:fldCharType="end"/>
      </w:r>
      <w:r>
        <w:rPr>
          <w:rFonts w:eastAsia="PMingLiU"/>
          <w:sz w:val="22"/>
          <w:szCs w:val="22"/>
          <w:lang w:eastAsia="zh-TW"/>
        </w:rPr>
        <w:t xml:space="preserve">. The baseline of the metrics for performance is defined as “UE throughput (5%, 50%, 95%) at 20% and [50 or 60]% RU”, see Table 6.1.1.1-7 of </w:t>
      </w:r>
      <w:r>
        <w:rPr>
          <w:rFonts w:eastAsia="PMingLiU"/>
          <w:sz w:val="22"/>
          <w:szCs w:val="22"/>
          <w:lang w:eastAsia="zh-TW"/>
        </w:rPr>
        <w:fldChar w:fldCharType="begin"/>
      </w:r>
      <w:r>
        <w:instrText> REF _Ref32236931 \r \h </w:instrText>
      </w:r>
      <w:r>
        <w:fldChar w:fldCharType="separate"/>
      </w:r>
      <w:r>
        <w:t>[2]</w:t>
      </w:r>
      <w:r>
        <w:fldChar w:fldCharType="end"/>
      </w:r>
      <w:r>
        <w:rPr>
          <w:rFonts w:eastAsia="PMingLiU"/>
          <w:sz w:val="22"/>
          <w:szCs w:val="22"/>
          <w:lang w:eastAsia="zh-TW"/>
        </w:rPr>
        <w:t>.</w:t>
      </w:r>
    </w:p>
    <w:p>
      <w:pPr>
        <w:pStyle w:val="Normal"/>
        <w:rPr>
          <w:rFonts w:eastAsia="PMingLiU"/>
          <w:sz w:val="22"/>
          <w:szCs w:val="22"/>
          <w:lang w:eastAsia="zh-TW"/>
        </w:rPr>
      </w:pPr>
      <w:r>
        <w:rPr>
          <w:rFonts w:eastAsia="PMingLiU"/>
          <w:sz w:val="22"/>
          <w:szCs w:val="22"/>
          <w:lang w:eastAsia="zh-TW"/>
        </w:rPr>
        <w:t>In this contribution, we consider for LEO-1200, S-Band scenario with satellite parameter set “Set 1” (Study Case 14 and 15) the following resource usage settings:</w:t>
      </w:r>
    </w:p>
    <w:p>
      <w:pPr>
        <w:pStyle w:val="ListParagraph"/>
        <w:numPr>
          <w:ilvl w:val="0"/>
          <w:numId w:val="4"/>
        </w:numPr>
        <w:jc w:val="left"/>
        <w:rPr>
          <w:rFonts w:eastAsia="PMingLiU"/>
          <w:sz w:val="22"/>
          <w:szCs w:val="22"/>
          <w:lang w:eastAsia="zh-TW"/>
        </w:rPr>
      </w:pPr>
      <w:r>
        <w:rPr>
          <w:rFonts w:eastAsia="PMingLiU"/>
          <w:sz w:val="22"/>
          <w:szCs w:val="22"/>
          <w:lang w:eastAsia="zh-TW"/>
        </w:rPr>
        <w:t>20% resource utilization, Frequency/Polarization reuse factor = (1/1) (Option 1)</w:t>
      </w:r>
    </w:p>
    <w:p>
      <w:pPr>
        <w:pStyle w:val="ListParagraph"/>
        <w:numPr>
          <w:ilvl w:val="0"/>
          <w:numId w:val="4"/>
        </w:numPr>
        <w:jc w:val="left"/>
        <w:rPr>
          <w:rFonts w:eastAsia="PMingLiU"/>
          <w:sz w:val="22"/>
          <w:szCs w:val="22"/>
          <w:lang w:eastAsia="zh-TW"/>
        </w:rPr>
      </w:pPr>
      <w:r>
        <w:rPr>
          <w:rFonts w:eastAsia="PMingLiU"/>
          <w:sz w:val="22"/>
          <w:szCs w:val="22"/>
          <w:lang w:eastAsia="zh-TW"/>
        </w:rPr>
        <w:t>20% resource utilization, Frequency/Polarization reuse factor = (3/1) (Option 2)</w:t>
      </w:r>
    </w:p>
    <w:p>
      <w:pPr>
        <w:pStyle w:val="ListParagraph"/>
        <w:numPr>
          <w:ilvl w:val="0"/>
          <w:numId w:val="4"/>
        </w:numPr>
        <w:jc w:val="left"/>
        <w:rPr>
          <w:rFonts w:eastAsia="PMingLiU"/>
          <w:sz w:val="22"/>
          <w:szCs w:val="22"/>
          <w:lang w:eastAsia="zh-TW"/>
        </w:rPr>
      </w:pPr>
      <w:r>
        <w:rPr>
          <w:rFonts w:eastAsia="PMingLiU"/>
          <w:sz w:val="22"/>
          <w:szCs w:val="22"/>
          <w:lang w:eastAsia="zh-TW"/>
        </w:rPr>
        <w:t>100% resource utilization, Frequency/Polarization reuse factor = (1/1) (Option 1)</w:t>
      </w:r>
    </w:p>
    <w:p>
      <w:pPr>
        <w:pStyle w:val="ListParagraph"/>
        <w:numPr>
          <w:ilvl w:val="0"/>
          <w:numId w:val="4"/>
        </w:numPr>
        <w:jc w:val="left"/>
        <w:rPr>
          <w:rFonts w:eastAsia="PMingLiU"/>
          <w:sz w:val="22"/>
          <w:szCs w:val="22"/>
          <w:lang w:eastAsia="zh-TW"/>
        </w:rPr>
      </w:pPr>
      <w:r>
        <w:rPr>
          <w:rFonts w:eastAsia="PMingLiU"/>
          <w:sz w:val="22"/>
          <w:szCs w:val="22"/>
          <w:lang w:eastAsia="zh-TW"/>
        </w:rPr>
        <w:t>100% resource utilization, Frequency/Polarization reuse factor = (3/1) (Option 2)</w:t>
      </w:r>
    </w:p>
    <w:p>
      <w:pPr>
        <w:pStyle w:val="Normal"/>
        <w:rPr/>
      </w:pPr>
      <w:r>
        <w:rPr>
          <w:sz w:val="22"/>
          <w:lang w:eastAsia="ja-JP"/>
        </w:rPr>
        <w:t xml:space="preserve">Further parameter settings applied for the SLS are listed in </w:t>
      </w:r>
      <w:r>
        <w:rPr>
          <w:sz w:val="22"/>
          <w:lang w:eastAsia="ja-JP"/>
        </w:rPr>
        <w:fldChar w:fldCharType="begin"/>
      </w:r>
      <w:r>
        <w:instrText> REF _Ref32238808 \h </w:instrText>
      </w:r>
      <w:r>
        <w:fldChar w:fldCharType="separate"/>
      </w:r>
      <w:r>
        <w:t>Table 2</w:t>
      </w:r>
      <w:r>
        <w:fldChar w:fldCharType="end"/>
      </w:r>
      <w:r>
        <w:rPr>
          <w:sz w:val="22"/>
          <w:lang w:eastAsia="ja-JP"/>
        </w:rPr>
        <w:t>. It is worth to mention that in case of full frequency reuse (FFR, frequency reuse factor (FRF) equal to one), each beam uses a bandwidth of 30MHz, while in case of FRF=3, each beam uses a bandwidth of 10MHz as the bandwidth is divided into the three neighbouring beams to decrease interference.</w:t>
      </w:r>
    </w:p>
    <w:p>
      <w:pPr>
        <w:pStyle w:val="Normal"/>
        <w:rPr>
          <w:rFonts w:eastAsia="PMingLiU"/>
          <w:sz w:val="22"/>
          <w:szCs w:val="22"/>
          <w:lang w:eastAsia="zh-TW"/>
        </w:rPr>
      </w:pPr>
      <w:r>
        <w:rPr>
          <w:rFonts w:eastAsia="PMingLiU"/>
          <w:sz w:val="22"/>
          <w:szCs w:val="22"/>
          <w:lang w:eastAsia="zh-TW"/>
        </w:rPr>
      </w:r>
    </w:p>
    <w:p>
      <w:pPr>
        <w:pStyle w:val="Caption1"/>
        <w:keepNext/>
        <w:jc w:val="center"/>
        <w:rPr/>
      </w:pPr>
      <w:bookmarkStart w:id="4" w:name="_Ref32237017"/>
      <w:bookmarkStart w:id="5" w:name="_Ref32237024"/>
      <w:r>
        <w:rPr/>
        <w:t xml:space="preserve">Table </w:t>
      </w:r>
      <w:r>
        <w:rPr/>
        <w:fldChar w:fldCharType="begin"/>
      </w:r>
      <w:r>
        <w:instrText> SEQ Table \* ARABIC </w:instrText>
      </w:r>
      <w:r>
        <w:fldChar w:fldCharType="separate"/>
      </w:r>
      <w:r>
        <w:t>1</w:t>
      </w:r>
      <w:r>
        <w:fldChar w:fldCharType="end"/>
      </w:r>
      <w:bookmarkEnd w:id="5"/>
      <w:r>
        <w:rPr/>
        <w:t xml:space="preserve"> List of calibration study cases </w:t>
      </w:r>
      <w:bookmarkEnd w:id="4"/>
      <w:r>
        <w:rPr/>
        <w:fldChar w:fldCharType="begin"/>
      </w:r>
      <w:r>
        <w:instrText> REF _Ref32236931 \r \h </w:instrText>
      </w:r>
      <w:r>
        <w:fldChar w:fldCharType="separate"/>
      </w:r>
      <w:r>
        <w:t>[2]</w:t>
      </w:r>
      <w:r>
        <w:fldChar w:fldCharType="end"/>
      </w:r>
    </w:p>
    <w:tbl>
      <w:tblPr>
        <w:tblW w:w="9350" w:type="dxa"/>
        <w:jc w:val="lef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3" w:type="dxa"/>
          <w:bottom w:w="0" w:type="dxa"/>
          <w:right w:w="108" w:type="dxa"/>
        </w:tblCellMar>
        <w:tblLook w:val="04a0" w:noVBand="1" w:noHBand="0" w:lastColumn="0" w:firstColumn="1" w:lastRow="0" w:firstRow="1"/>
      </w:tblPr>
      <w:tblGrid>
        <w:gridCol w:w="798"/>
        <w:gridCol w:w="1411"/>
        <w:gridCol w:w="1451"/>
        <w:gridCol w:w="1493"/>
        <w:gridCol w:w="1492"/>
        <w:gridCol w:w="1227"/>
        <w:gridCol w:w="1477"/>
      </w:tblGrid>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H"/>
              <w:rPr/>
            </w:pPr>
            <w:r>
              <w:rPr/>
              <w:t>Case</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H"/>
              <w:rPr/>
            </w:pPr>
            <w:r>
              <w:rPr/>
              <w:t>Satellite orbit</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H"/>
              <w:rPr/>
            </w:pPr>
            <w:r>
              <w:rPr/>
              <w:t>Satellite parameter set</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H"/>
              <w:rPr/>
            </w:pPr>
            <w:r>
              <w:rPr/>
              <w:t>Central beam elevation</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H"/>
              <w:rPr/>
            </w:pPr>
            <w:r>
              <w:rPr/>
              <w:t>Terminal</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H"/>
              <w:rPr/>
            </w:pPr>
            <w:r>
              <w:rPr/>
              <w:t>Frequency 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H"/>
              <w:rPr/>
            </w:pPr>
            <w:r>
              <w:rPr/>
              <w:t>Frequency/ Polarization Reuse</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1</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3*</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3</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4*</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5*</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6</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7</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8*</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3</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9</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10</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11*</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12*</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13*</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3</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highlight w:val="yellow"/>
              </w:rPr>
            </w:pPr>
            <w:r>
              <w:rPr>
                <w:highlight w:val="yellow"/>
              </w:rPr>
              <w:t>14</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highlight w:val="yellow"/>
              </w:rPr>
            </w:pPr>
            <w:r>
              <w:rPr>
                <w:highlight w:val="yellow"/>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highlight w:val="yellow"/>
              </w:rPr>
            </w:pPr>
            <w:r>
              <w:rPr>
                <w:highlight w:val="yellow"/>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highlight w:val="yellow"/>
              </w:rPr>
            </w:pPr>
            <w:r>
              <w:rPr>
                <w:highlight w:val="yellow"/>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highlight w:val="yellow"/>
              </w:rPr>
            </w:pPr>
            <w:r>
              <w:rPr>
                <w:highlight w:val="yellow"/>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highlight w:val="yellow"/>
              </w:rPr>
            </w:pPr>
            <w:r>
              <w:rPr>
                <w:highlight w:val="yellow"/>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highlight w:val="yellow"/>
              </w:rPr>
            </w:pPr>
            <w:r>
              <w:rPr>
                <w:highlight w:val="yellow"/>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highlight w:val="yellow"/>
              </w:rPr>
            </w:pPr>
            <w:r>
              <w:rPr>
                <w:highlight w:val="yellow"/>
              </w:rPr>
              <w:t>15</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highlight w:val="yellow"/>
              </w:rPr>
            </w:pPr>
            <w:r>
              <w:rPr>
                <w:highlight w:val="yellow"/>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highlight w:val="yellow"/>
              </w:rPr>
            </w:pPr>
            <w:r>
              <w:rPr>
                <w:highlight w:val="yellow"/>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highlight w:val="yellow"/>
              </w:rPr>
            </w:pPr>
            <w:r>
              <w:rPr>
                <w:highlight w:val="yellow"/>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highlight w:val="yellow"/>
              </w:rPr>
            </w:pPr>
            <w:r>
              <w:rPr>
                <w:highlight w:val="yellow"/>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highlight w:val="yellow"/>
              </w:rPr>
            </w:pPr>
            <w:r>
              <w:rPr>
                <w:highlight w:val="yellow"/>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highlight w:val="yellow"/>
              </w:rPr>
            </w:pPr>
            <w:r>
              <w:rPr>
                <w:highlight w:val="yellow"/>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16**</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17**</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18**</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3</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19**</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20**</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21**</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22**</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23**</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3</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24**</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25**</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26**</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27**</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28**</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3</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29**</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1</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30**</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2</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9349"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N"/>
              <w:rPr/>
            </w:pPr>
            <w:r>
              <w:rPr/>
              <w:t>NOTE 1: no star = 1</w:t>
            </w:r>
            <w:r>
              <w:rPr>
                <w:vertAlign w:val="superscript"/>
              </w:rPr>
              <w:t>st</w:t>
            </w:r>
            <w:r>
              <w:rPr/>
              <w:t xml:space="preserve"> priority, * = second priority scenario, ** = third priority scenario</w:t>
            </w:r>
          </w:p>
          <w:p>
            <w:pPr>
              <w:pStyle w:val="TAN"/>
              <w:rPr/>
            </w:pPr>
            <w:r>
              <w:rPr/>
              <w:t>NOTE 2: Only 1</w:t>
            </w:r>
            <w:r>
              <w:rPr>
                <w:vertAlign w:val="superscript"/>
              </w:rPr>
              <w:t>st</w:t>
            </w:r>
            <w:r>
              <w:rPr/>
              <w:t xml:space="preserve"> priority cases will be considered for calibration phase 1</w:t>
            </w:r>
          </w:p>
        </w:tc>
      </w:tr>
    </w:tbl>
    <w:p>
      <w:pPr>
        <w:pStyle w:val="Normal"/>
        <w:rPr/>
      </w:pPr>
      <w:r>
        <w:rPr/>
      </w:r>
    </w:p>
    <w:p>
      <w:pPr>
        <w:pStyle w:val="Caption1"/>
        <w:keepNext/>
        <w:jc w:val="center"/>
        <w:rPr/>
      </w:pPr>
      <w:bookmarkStart w:id="6" w:name="_Ref32238808"/>
      <w:r>
        <w:rPr/>
        <w:t xml:space="preserve">Table </w:t>
      </w:r>
      <w:r>
        <w:rPr/>
        <w:fldChar w:fldCharType="begin"/>
      </w:r>
      <w:r>
        <w:instrText> SEQ Table \* ARABIC </w:instrText>
      </w:r>
      <w:r>
        <w:fldChar w:fldCharType="separate"/>
      </w:r>
      <w:r>
        <w:t>2</w:t>
      </w:r>
      <w:r>
        <w:fldChar w:fldCharType="end"/>
      </w:r>
      <w:bookmarkEnd w:id="6"/>
      <w:r>
        <w:rPr/>
        <w:t xml:space="preserve"> Parameter Settings for SLS</w:t>
      </w:r>
    </w:p>
    <w:tbl>
      <w:tblPr>
        <w:tblStyle w:val="Tabellenraster"/>
        <w:tblW w:w="6094" w:type="dxa"/>
        <w:jc w:val="center"/>
        <w:tblInd w:w="0" w:type="dxa"/>
        <w:tblCellMar>
          <w:top w:w="0" w:type="dxa"/>
          <w:left w:w="103" w:type="dxa"/>
          <w:bottom w:w="0" w:type="dxa"/>
          <w:right w:w="108" w:type="dxa"/>
        </w:tblCellMar>
        <w:tblLook w:val="04a0" w:noVBand="1" w:noHBand="0" w:lastColumn="0" w:firstColumn="1" w:lastRow="0" w:firstRow="1"/>
      </w:tblPr>
      <w:tblGrid>
        <w:gridCol w:w="3017"/>
        <w:gridCol w:w="3076"/>
      </w:tblGrid>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Scenario</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LEO-1200, S-band</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Duplexing</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FDD</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Transmission direction</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Downlink</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Numerology</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15kHz, 14 OFDM symbol slot</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System bandwidth</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30MHz</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Resource Utilization (RU)</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20%, 100%</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 of UEs per cell</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color w:val="00000A"/>
                <w:sz w:val="22"/>
                <w:lang w:eastAsia="zh-TW"/>
              </w:rPr>
              <w:t>15</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User deployment scenario</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Rural</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LoS probability</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Table 6.6.1-1 in TR 38.811</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Propagation delay (one way)</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16ms</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Scheduling</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Proportional Fair</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Handover margin (dB)</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3</w:t>
            </w:r>
          </w:p>
        </w:tc>
      </w:tr>
      <w:tr>
        <w:trPr>
          <w:trHeight w:val="373" w:hRule="atLeast"/>
        </w:trPr>
        <w:tc>
          <w:tcPr>
            <w:tcW w:w="3017"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UE attachment</w:t>
            </w:r>
          </w:p>
        </w:tc>
        <w:tc>
          <w:tcPr>
            <w:tcW w:w="3076" w:type="dxa"/>
            <w:tcBorders/>
            <w:shd w:fill="auto" w:val="clear"/>
            <w:tcMar>
              <w:left w:w="103" w:type="dxa"/>
            </w:tcMar>
            <w:vAlign w:val="center"/>
          </w:tcPr>
          <w:p>
            <w:pPr>
              <w:pStyle w:val="Normal"/>
              <w:spacing w:before="0" w:after="0"/>
              <w:jc w:val="left"/>
              <w:rPr>
                <w:rFonts w:eastAsia="PMingLiU"/>
                <w:sz w:val="22"/>
                <w:lang w:eastAsia="zh-TW"/>
              </w:rPr>
            </w:pPr>
            <w:r>
              <w:rPr>
                <w:rFonts w:eastAsia="PMingLiU"/>
                <w:sz w:val="22"/>
                <w:lang w:eastAsia="zh-TW"/>
              </w:rPr>
              <w:t>Based on RSRP</w:t>
            </w:r>
          </w:p>
        </w:tc>
      </w:tr>
    </w:tbl>
    <w:p>
      <w:pPr>
        <w:pStyle w:val="Normal"/>
        <w:rPr>
          <w:rFonts w:eastAsia="PMingLiU"/>
          <w:sz w:val="22"/>
          <w:szCs w:val="22"/>
          <w:lang w:eastAsia="zh-TW"/>
        </w:rPr>
      </w:pPr>
      <w:r>
        <w:rPr>
          <w:rFonts w:eastAsia="PMingLiU"/>
          <w:sz w:val="22"/>
          <w:szCs w:val="22"/>
          <w:lang w:eastAsia="zh-TW"/>
        </w:rPr>
      </w:r>
    </w:p>
    <w:p>
      <w:pPr>
        <w:pStyle w:val="Normal"/>
        <w:rPr>
          <w:rFonts w:eastAsia="PMingLiU"/>
          <w:sz w:val="22"/>
          <w:szCs w:val="22"/>
          <w:lang w:eastAsia="zh-TW"/>
        </w:rPr>
      </w:pPr>
      <w:r>
        <w:rPr>
          <w:rFonts w:eastAsia="PMingLiU"/>
          <w:sz w:val="22"/>
          <w:szCs w:val="22"/>
          <w:lang w:eastAsia="zh-TW"/>
        </w:rPr>
        <mc:AlternateContent>
          <mc:Choice Requires="wps">
            <w:drawing>
              <wp:anchor behindDoc="0" distT="0" distB="0" distL="114300" distR="114300" simplePos="0" locked="0" layoutInCell="1" allowOverlap="1" relativeHeight="3" wp14:anchorId="3A889AAB">
                <wp:simplePos x="0" y="0"/>
                <wp:positionH relativeFrom="column">
                  <wp:posOffset>457200</wp:posOffset>
                </wp:positionH>
                <wp:positionV relativeFrom="paragraph">
                  <wp:posOffset>243205</wp:posOffset>
                </wp:positionV>
                <wp:extent cx="5030470" cy="224790"/>
                <wp:effectExtent l="0" t="0" r="0" b="5080"/>
                <wp:wrapNone/>
                <wp:docPr id="1" name="Text Box 3"/>
                <a:graphic xmlns:a="http://schemas.openxmlformats.org/drawingml/2006/main">
                  <a:graphicData uri="http://schemas.microsoft.com/office/word/2010/wordprocessingShape">
                    <wps:wsp>
                      <wps:cNvSpPr/>
                      <wps:spPr>
                        <a:xfrm>
                          <a:off x="0" y="0"/>
                          <a:ext cx="5029920" cy="224280"/>
                        </a:xfrm>
                        <a:prstGeom prst="rect">
                          <a:avLst/>
                        </a:prstGeom>
                        <a:solidFill>
                          <a:srgbClr val="ffffff"/>
                        </a:solidFill>
                        <a:ln>
                          <a:noFill/>
                        </a:ln>
                      </wps:spPr>
                      <wps:style>
                        <a:lnRef idx="0"/>
                        <a:fillRef idx="0"/>
                        <a:effectRef idx="0"/>
                        <a:fontRef idx="minor"/>
                      </wps:style>
                      <wps:txbx>
                        <w:txbxContent>
                          <w:p>
                            <w:pPr>
                              <w:pStyle w:val="Caption1"/>
                              <w:spacing w:before="0" w:after="200"/>
                              <w:jc w:val="center"/>
                              <w:rPr/>
                            </w:pPr>
                            <w:r>
                              <w:rPr/>
                              <w:t xml:space="preserve">Figure </w:t>
                            </w:r>
                            <w:r>
                              <w:rPr/>
                              <w:fldChar w:fldCharType="begin"/>
                            </w:r>
                            <w:r>
                              <w:instrText> SEQ Figure \* ARABIC </w:instrText>
                            </w:r>
                            <w:r>
                              <w:fldChar w:fldCharType="separate"/>
                            </w:r>
                            <w:r>
                              <w:t>1</w:t>
                            </w:r>
                            <w:r>
                              <w:fldChar w:fldCharType="end"/>
                            </w:r>
                            <w:r>
                              <w:rPr/>
                              <w:t xml:space="preserve"> CDF of UE Throughput</w:t>
                            </w:r>
                          </w:p>
                        </w:txbxContent>
                      </wps:txbx>
                      <wps:bodyPr lIns="0" rIns="0" tIns="0" bIns="0">
                        <a:prstTxWarp prst="textNoShape"/>
                        <a:noAutofit/>
                      </wps:bodyPr>
                    </wps:wsp>
                  </a:graphicData>
                </a:graphic>
              </wp:anchor>
            </w:drawing>
          </mc:Choice>
          <mc:Fallback>
            <w:pict>
              <v:rect id="shape_0" ID="Text Box 3" fillcolor="white" stroked="f" style="position:absolute;margin-left:36pt;margin-top:19.15pt;width:396pt;height:17.6pt" wp14:anchorId="3A889AAB">
                <w10:wrap type="square"/>
                <v:fill o:detectmouseclick="t" type="solid" color2="black"/>
                <v:stroke color="#3465a4" joinstyle="round" endcap="flat"/>
                <v:textbox>
                  <w:txbxContent>
                    <w:p>
                      <w:pPr>
                        <w:pStyle w:val="Caption1"/>
                        <w:spacing w:before="0" w:after="200"/>
                        <w:jc w:val="center"/>
                        <w:rPr/>
                      </w:pPr>
                      <w:r>
                        <w:rPr/>
                        <w:t xml:space="preserve">Figure </w:t>
                      </w:r>
                      <w:r>
                        <w:rPr/>
                        <w:fldChar w:fldCharType="begin"/>
                      </w:r>
                      <w:r>
                        <w:instrText> SEQ Figure \* ARABIC </w:instrText>
                      </w:r>
                      <w:r>
                        <w:fldChar w:fldCharType="separate"/>
                      </w:r>
                      <w:r>
                        <w:t>1</w:t>
                      </w:r>
                      <w:r>
                        <w:fldChar w:fldCharType="end"/>
                      </w:r>
                      <w:r>
                        <w:rPr/>
                        <w:t xml:space="preserve"> CDF of UE Throughput</w:t>
                      </w:r>
                    </w:p>
                  </w:txbxContent>
                </v:textbox>
              </v:rect>
            </w:pict>
          </mc:Fallback>
        </mc:AlternateContent>
      </w:r>
    </w:p>
    <w:p>
      <w:pPr>
        <w:pStyle w:val="Normal"/>
        <w:ind w:left="2160" w:hanging="2160"/>
        <w:rPr>
          <w:rFonts w:eastAsia="PMingLiU"/>
          <w:sz w:val="22"/>
          <w:szCs w:val="22"/>
          <w:lang w:eastAsia="zh-TW"/>
        </w:rPr>
      </w:pPr>
      <w:r>
        <w:rPr>
          <w:rFonts w:eastAsia="PMingLiU"/>
          <w:sz w:val="22"/>
          <w:szCs w:val="22"/>
          <w:lang w:eastAsia="zh-TW"/>
        </w:rPr>
      </w:r>
    </w:p>
    <w:p>
      <w:pPr>
        <w:pStyle w:val="Normal"/>
        <w:rPr>
          <w:rFonts w:eastAsia="PMingLiU"/>
          <w:sz w:val="22"/>
          <w:szCs w:val="22"/>
          <w:lang w:eastAsia="zh-TW"/>
        </w:rPr>
      </w:pPr>
      <w:r>
        <w:rPr>
          <w:rFonts w:eastAsia="PMingLiU"/>
          <w:sz w:val="22"/>
          <w:szCs w:val="22"/>
          <w:lang w:eastAsia="zh-TW"/>
        </w:rPr>
        <w:drawing>
          <wp:anchor behindDoc="0" distT="0" distB="4445" distL="114300" distR="114300" simplePos="0" locked="0" layoutInCell="1" allowOverlap="1" relativeHeight="2">
            <wp:simplePos x="0" y="0"/>
            <wp:positionH relativeFrom="margin">
              <wp:align>center</wp:align>
            </wp:positionH>
            <wp:positionV relativeFrom="paragraph">
              <wp:posOffset>-1905</wp:posOffset>
            </wp:positionV>
            <wp:extent cx="5029200" cy="3767455"/>
            <wp:effectExtent l="0" t="0" r="0" b="0"/>
            <wp:wrapTopAndBottom/>
            <wp:docPr id="3" name="Picture 1" descr="C:\Users\TEMP.NOMOR-NET.000.001.002.003.004.005\AppData\Local\Microsoft\Windows\INetCache\Content.Word\TP_user_16HARQ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C:\Users\TEMP.NOMOR-NET.000.001.002.003.004.005\AppData\Local\Microsoft\Windows\INetCache\Content.Word\TP_user_16HARQ2.png"/>
                    <pic:cNvPicPr>
                      <a:picLocks noChangeAspect="1" noChangeArrowheads="1"/>
                    </pic:cNvPicPr>
                  </pic:nvPicPr>
                  <pic:blipFill>
                    <a:blip r:embed="rId2"/>
                    <a:stretch>
                      <a:fillRect/>
                    </a:stretch>
                  </pic:blipFill>
                  <pic:spPr bwMode="auto">
                    <a:xfrm>
                      <a:off x="0" y="0"/>
                      <a:ext cx="5029200" cy="3767455"/>
                    </a:xfrm>
                    <a:prstGeom prst="rect">
                      <a:avLst/>
                    </a:prstGeom>
                  </pic:spPr>
                </pic:pic>
              </a:graphicData>
            </a:graphic>
          </wp:anchor>
        </w:drawing>
      </w:r>
    </w:p>
    <w:p>
      <w:pPr>
        <w:pStyle w:val="Caption1"/>
        <w:keepNext/>
        <w:jc w:val="center"/>
        <w:rPr/>
      </w:pPr>
      <w:bookmarkStart w:id="7" w:name="_Ref32243616"/>
      <w:r>
        <w:rPr/>
        <w:t xml:space="preserve">Table </w:t>
      </w:r>
      <w:r>
        <w:rPr/>
        <w:fldChar w:fldCharType="begin"/>
      </w:r>
      <w:r>
        <w:instrText> SEQ Table \* ARABIC </w:instrText>
      </w:r>
      <w:r>
        <w:fldChar w:fldCharType="separate"/>
      </w:r>
      <w:r>
        <w:t>3</w:t>
      </w:r>
      <w:r>
        <w:fldChar w:fldCharType="end"/>
      </w:r>
      <w:bookmarkEnd w:id="7"/>
      <w:r>
        <w:rPr/>
        <w:t xml:space="preserve"> UE Throughput LEO-1200, S-band</w:t>
      </w:r>
    </w:p>
    <w:tbl>
      <w:tblPr>
        <w:tblStyle w:val="Tabellenraster"/>
        <w:tblW w:w="7426" w:type="dxa"/>
        <w:jc w:val="center"/>
        <w:tblInd w:w="0" w:type="dxa"/>
        <w:tblCellMar>
          <w:top w:w="0" w:type="dxa"/>
          <w:left w:w="103" w:type="dxa"/>
          <w:bottom w:w="0" w:type="dxa"/>
          <w:right w:w="108" w:type="dxa"/>
        </w:tblCellMar>
        <w:tblLook w:val="04a0" w:noVBand="1" w:noHBand="0" w:lastColumn="0" w:firstColumn="1" w:lastRow="0" w:firstRow="1"/>
      </w:tblPr>
      <w:tblGrid>
        <w:gridCol w:w="777"/>
        <w:gridCol w:w="644"/>
        <w:gridCol w:w="1919"/>
        <w:gridCol w:w="2042"/>
        <w:gridCol w:w="2044"/>
      </w:tblGrid>
      <w:tr>
        <w:trPr/>
        <w:tc>
          <w:tcPr>
            <w:tcW w:w="777"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RU</w:t>
            </w:r>
          </w:p>
        </w:tc>
        <w:tc>
          <w:tcPr>
            <w:tcW w:w="644"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FRF</w:t>
            </w:r>
          </w:p>
        </w:tc>
        <w:tc>
          <w:tcPr>
            <w:tcW w:w="1919" w:type="dxa"/>
            <w:tcBorders/>
            <w:shd w:fill="auto" w:val="clear"/>
            <w:tcMar>
              <w:left w:w="103" w:type="dxa"/>
            </w:tcMar>
          </w:tcPr>
          <w:p>
            <w:pPr>
              <w:pStyle w:val="Normal"/>
              <w:spacing w:before="0" w:after="0"/>
              <w:rPr>
                <w:rFonts w:eastAsia="PMingLiU"/>
                <w:sz w:val="22"/>
                <w:vertAlign w:val="subscript"/>
                <w:lang w:eastAsia="zh-TW"/>
              </w:rPr>
            </w:pPr>
            <w:r>
              <w:rPr>
                <w:rFonts w:eastAsia="PMingLiU"/>
                <w:sz w:val="22"/>
                <w:lang w:eastAsia="zh-TW"/>
              </w:rPr>
              <w:t>5% TP</w:t>
            </w:r>
            <w:r>
              <w:rPr>
                <w:rFonts w:eastAsia="PMingLiU"/>
                <w:sz w:val="22"/>
                <w:vertAlign w:val="subscript"/>
                <w:lang w:eastAsia="zh-TW"/>
              </w:rPr>
              <w:t>user</w:t>
            </w:r>
            <w:r>
              <w:rPr>
                <w:rFonts w:eastAsia="PMingLiU"/>
                <w:sz w:val="22"/>
                <w:lang w:eastAsia="zh-TW"/>
              </w:rPr>
              <w:t xml:space="preserve"> [Mbit/s]</w:t>
            </w:r>
          </w:p>
        </w:tc>
        <w:tc>
          <w:tcPr>
            <w:tcW w:w="2042" w:type="dxa"/>
            <w:tcBorders/>
            <w:shd w:fill="auto" w:val="clear"/>
            <w:tcMar>
              <w:left w:w="103" w:type="dxa"/>
            </w:tcMar>
          </w:tcPr>
          <w:p>
            <w:pPr>
              <w:pStyle w:val="Normal"/>
              <w:spacing w:before="0" w:after="0"/>
              <w:rPr>
                <w:rFonts w:eastAsia="PMingLiU"/>
                <w:sz w:val="22"/>
                <w:lang w:eastAsia="zh-TW"/>
              </w:rPr>
            </w:pPr>
            <w:r>
              <w:rPr>
                <w:rFonts w:eastAsia="PMingLiU"/>
                <w:sz w:val="22"/>
                <w:lang w:eastAsia="zh-TW"/>
              </w:rPr>
              <w:t>50% TP</w:t>
            </w:r>
            <w:r>
              <w:rPr>
                <w:rFonts w:eastAsia="PMingLiU"/>
                <w:sz w:val="22"/>
                <w:vertAlign w:val="subscript"/>
                <w:lang w:eastAsia="zh-TW"/>
              </w:rPr>
              <w:t>user</w:t>
            </w:r>
            <w:r>
              <w:rPr>
                <w:rFonts w:eastAsia="PMingLiU"/>
                <w:sz w:val="22"/>
                <w:lang w:eastAsia="zh-TW"/>
              </w:rPr>
              <w:t xml:space="preserve"> [Mbit/s]</w:t>
            </w:r>
          </w:p>
        </w:tc>
        <w:tc>
          <w:tcPr>
            <w:tcW w:w="2044" w:type="dxa"/>
            <w:tcBorders/>
            <w:shd w:fill="auto" w:val="clear"/>
            <w:tcMar>
              <w:left w:w="103" w:type="dxa"/>
            </w:tcMar>
          </w:tcPr>
          <w:p>
            <w:pPr>
              <w:pStyle w:val="Normal"/>
              <w:spacing w:before="0" w:after="0"/>
              <w:rPr>
                <w:rFonts w:eastAsia="PMingLiU"/>
                <w:sz w:val="22"/>
                <w:lang w:eastAsia="zh-TW"/>
              </w:rPr>
            </w:pPr>
            <w:r>
              <w:rPr>
                <w:rFonts w:eastAsia="PMingLiU"/>
                <w:sz w:val="22"/>
                <w:lang w:eastAsia="zh-TW"/>
              </w:rPr>
              <w:t>95% TP</w:t>
            </w:r>
            <w:r>
              <w:rPr>
                <w:rFonts w:eastAsia="PMingLiU"/>
                <w:sz w:val="22"/>
                <w:vertAlign w:val="subscript"/>
                <w:lang w:eastAsia="zh-TW"/>
              </w:rPr>
              <w:t>user</w:t>
            </w:r>
            <w:r>
              <w:rPr>
                <w:rFonts w:eastAsia="PMingLiU"/>
                <w:sz w:val="22"/>
                <w:lang w:eastAsia="zh-TW"/>
              </w:rPr>
              <w:t xml:space="preserve"> [Mbit/s]</w:t>
            </w:r>
          </w:p>
        </w:tc>
      </w:tr>
      <w:tr>
        <w:trPr/>
        <w:tc>
          <w:tcPr>
            <w:tcW w:w="777" w:type="dxa"/>
            <w:tcBorders/>
            <w:shd w:fill="auto" w:val="clear"/>
            <w:tcMar>
              <w:left w:w="103" w:type="dxa"/>
            </w:tcMar>
          </w:tcPr>
          <w:p>
            <w:pPr>
              <w:pStyle w:val="Normal"/>
              <w:spacing w:before="0" w:after="0"/>
              <w:jc w:val="right"/>
              <w:rPr>
                <w:rFonts w:eastAsia="PMingLiU"/>
                <w:sz w:val="22"/>
                <w:lang w:eastAsia="zh-TW"/>
              </w:rPr>
            </w:pPr>
            <w:r>
              <w:rPr>
                <w:rFonts w:eastAsia="PMingLiU"/>
                <w:sz w:val="22"/>
                <w:lang w:eastAsia="zh-TW"/>
              </w:rPr>
              <w:t>20%</w:t>
            </w:r>
          </w:p>
        </w:tc>
        <w:tc>
          <w:tcPr>
            <w:tcW w:w="644"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1</w:t>
            </w:r>
          </w:p>
        </w:tc>
        <w:tc>
          <w:tcPr>
            <w:tcW w:w="1919"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0.16</w:t>
            </w:r>
          </w:p>
        </w:tc>
        <w:tc>
          <w:tcPr>
            <w:tcW w:w="2042"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0.27</w:t>
            </w:r>
          </w:p>
        </w:tc>
        <w:tc>
          <w:tcPr>
            <w:tcW w:w="2044"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0.40</w:t>
            </w:r>
          </w:p>
        </w:tc>
      </w:tr>
      <w:tr>
        <w:trPr/>
        <w:tc>
          <w:tcPr>
            <w:tcW w:w="777" w:type="dxa"/>
            <w:tcBorders/>
            <w:shd w:fill="auto" w:val="clear"/>
            <w:tcMar>
              <w:left w:w="103" w:type="dxa"/>
            </w:tcMar>
          </w:tcPr>
          <w:p>
            <w:pPr>
              <w:pStyle w:val="Normal"/>
              <w:spacing w:before="0" w:after="0"/>
              <w:jc w:val="right"/>
              <w:rPr>
                <w:rFonts w:eastAsia="PMingLiU"/>
                <w:sz w:val="22"/>
                <w:lang w:eastAsia="zh-TW"/>
              </w:rPr>
            </w:pPr>
            <w:r>
              <w:rPr>
                <w:rFonts w:eastAsia="PMingLiU"/>
                <w:sz w:val="22"/>
                <w:lang w:eastAsia="zh-TW"/>
              </w:rPr>
              <w:t>20%</w:t>
            </w:r>
          </w:p>
        </w:tc>
        <w:tc>
          <w:tcPr>
            <w:tcW w:w="644"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3</w:t>
            </w:r>
          </w:p>
        </w:tc>
        <w:tc>
          <w:tcPr>
            <w:tcW w:w="1919"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0.18</w:t>
            </w:r>
          </w:p>
        </w:tc>
        <w:tc>
          <w:tcPr>
            <w:tcW w:w="2042"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0.26</w:t>
            </w:r>
          </w:p>
        </w:tc>
        <w:tc>
          <w:tcPr>
            <w:tcW w:w="2044"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0.29</w:t>
            </w:r>
          </w:p>
        </w:tc>
      </w:tr>
      <w:tr>
        <w:trPr/>
        <w:tc>
          <w:tcPr>
            <w:tcW w:w="777" w:type="dxa"/>
            <w:tcBorders/>
            <w:shd w:fill="auto" w:val="clear"/>
            <w:tcMar>
              <w:left w:w="103" w:type="dxa"/>
            </w:tcMar>
          </w:tcPr>
          <w:p>
            <w:pPr>
              <w:pStyle w:val="Normal"/>
              <w:spacing w:before="0" w:after="0"/>
              <w:jc w:val="right"/>
              <w:rPr>
                <w:rFonts w:eastAsia="PMingLiU"/>
                <w:sz w:val="22"/>
                <w:lang w:eastAsia="zh-TW"/>
              </w:rPr>
            </w:pPr>
            <w:r>
              <w:rPr>
                <w:rFonts w:eastAsia="PMingLiU"/>
                <w:sz w:val="22"/>
                <w:lang w:eastAsia="zh-TW"/>
              </w:rPr>
              <w:t>100%</w:t>
            </w:r>
          </w:p>
        </w:tc>
        <w:tc>
          <w:tcPr>
            <w:tcW w:w="644"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1</w:t>
            </w:r>
          </w:p>
        </w:tc>
        <w:tc>
          <w:tcPr>
            <w:tcW w:w="1919"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0.29</w:t>
            </w:r>
          </w:p>
        </w:tc>
        <w:tc>
          <w:tcPr>
            <w:tcW w:w="2042"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0.66</w:t>
            </w:r>
          </w:p>
        </w:tc>
        <w:tc>
          <w:tcPr>
            <w:tcW w:w="2044"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1.10</w:t>
            </w:r>
          </w:p>
        </w:tc>
      </w:tr>
      <w:tr>
        <w:trPr/>
        <w:tc>
          <w:tcPr>
            <w:tcW w:w="777" w:type="dxa"/>
            <w:tcBorders/>
            <w:shd w:fill="auto" w:val="clear"/>
            <w:tcMar>
              <w:left w:w="103" w:type="dxa"/>
            </w:tcMar>
          </w:tcPr>
          <w:p>
            <w:pPr>
              <w:pStyle w:val="Normal"/>
              <w:spacing w:before="0" w:after="0"/>
              <w:jc w:val="right"/>
              <w:rPr>
                <w:rFonts w:eastAsia="PMingLiU"/>
                <w:sz w:val="22"/>
                <w:lang w:eastAsia="zh-TW"/>
              </w:rPr>
            </w:pPr>
            <w:r>
              <w:rPr>
                <w:rFonts w:eastAsia="PMingLiU"/>
                <w:sz w:val="22"/>
                <w:lang w:eastAsia="zh-TW"/>
              </w:rPr>
              <w:t>100%</w:t>
            </w:r>
          </w:p>
        </w:tc>
        <w:tc>
          <w:tcPr>
            <w:tcW w:w="644"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3</w:t>
            </w:r>
          </w:p>
        </w:tc>
        <w:tc>
          <w:tcPr>
            <w:tcW w:w="1919"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0.35</w:t>
            </w:r>
          </w:p>
        </w:tc>
        <w:tc>
          <w:tcPr>
            <w:tcW w:w="2042"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0.76</w:t>
            </w:r>
          </w:p>
        </w:tc>
        <w:tc>
          <w:tcPr>
            <w:tcW w:w="2044" w:type="dxa"/>
            <w:tcBorders/>
            <w:shd w:fill="auto" w:val="clear"/>
            <w:tcMar>
              <w:left w:w="103" w:type="dxa"/>
            </w:tcMar>
          </w:tcPr>
          <w:p>
            <w:pPr>
              <w:pStyle w:val="Normal"/>
              <w:spacing w:before="0" w:after="0"/>
              <w:jc w:val="center"/>
              <w:rPr>
                <w:rFonts w:eastAsia="PMingLiU"/>
                <w:sz w:val="22"/>
                <w:lang w:eastAsia="zh-TW"/>
              </w:rPr>
            </w:pPr>
            <w:r>
              <w:rPr>
                <w:rFonts w:eastAsia="PMingLiU"/>
                <w:sz w:val="22"/>
                <w:lang w:eastAsia="zh-TW"/>
              </w:rPr>
              <w:t>0.88</w:t>
            </w:r>
          </w:p>
        </w:tc>
      </w:tr>
    </w:tbl>
    <w:p>
      <w:pPr>
        <w:pStyle w:val="Normal"/>
        <w:rPr>
          <w:rFonts w:eastAsia="PMingLiU"/>
          <w:sz w:val="22"/>
          <w:szCs w:val="22"/>
          <w:lang w:eastAsia="zh-TW"/>
        </w:rPr>
      </w:pPr>
      <w:r>
        <w:rPr>
          <w:rFonts w:eastAsia="PMingLiU"/>
          <w:sz w:val="22"/>
          <w:szCs w:val="22"/>
          <w:lang w:eastAsia="zh-TW"/>
        </w:rPr>
      </w:r>
    </w:p>
    <w:p>
      <w:pPr>
        <w:pStyle w:val="Normal"/>
        <w:rPr/>
      </w:pPr>
      <w:r>
        <w:rPr/>
        <w:fldChar w:fldCharType="begin"/>
      </w:r>
      <w:r>
        <w:instrText> REF _Ref32241103 \h </w:instrText>
      </w:r>
      <w:r>
        <w:fldChar w:fldCharType="separate"/>
      </w:r>
      <w:r>
        <w:t>Error: Reference source not found</w:t>
      </w:r>
      <w:r>
        <w:fldChar w:fldCharType="end"/>
      </w:r>
      <w:r>
        <w:rPr>
          <w:rFonts w:eastAsia="PMingLiU"/>
          <w:sz w:val="22"/>
          <w:szCs w:val="22"/>
          <w:lang w:eastAsia="zh-TW"/>
        </w:rPr>
        <w:t xml:space="preserve"> </w:t>
      </w:r>
      <w:r>
        <w:rPr>
          <w:rFonts w:eastAsia="PMingLiU"/>
          <w:sz w:val="22"/>
          <w:szCs w:val="22"/>
          <w:lang w:eastAsia="zh-TW"/>
        </w:rPr>
        <w:t xml:space="preserve">presents the SLS results and </w:t>
      </w:r>
      <w:r>
        <w:rPr>
          <w:rFonts w:eastAsia="PMingLiU"/>
          <w:sz w:val="22"/>
          <w:szCs w:val="22"/>
          <w:lang w:eastAsia="zh-TW"/>
        </w:rPr>
        <w:fldChar w:fldCharType="begin"/>
      </w:r>
      <w:r>
        <w:instrText> REF _Ref32243616 \h </w:instrText>
      </w:r>
      <w:r>
        <w:fldChar w:fldCharType="separate"/>
      </w:r>
      <w:r>
        <w:t>Table 3</w:t>
      </w:r>
      <w:r>
        <w:fldChar w:fldCharType="end"/>
      </w:r>
      <w:r>
        <w:rPr>
          <w:rFonts w:eastAsia="PMingLiU"/>
          <w:sz w:val="22"/>
          <w:szCs w:val="22"/>
          <w:lang w:eastAsia="zh-TW"/>
        </w:rPr>
        <w:t xml:space="preserve"> presents the 5%, 50% and 95%-tile of the UE throughput for the above discussed options of resource usage. The following observations can be made:</w:t>
      </w:r>
    </w:p>
    <w:p>
      <w:pPr>
        <w:pStyle w:val="Normal"/>
        <w:ind w:left="2160" w:hanging="2160"/>
        <w:rPr>
          <w:rFonts w:eastAsia="PMingLiU"/>
          <w:sz w:val="22"/>
          <w:szCs w:val="22"/>
          <w:lang w:eastAsia="zh-TW"/>
        </w:rPr>
      </w:pPr>
      <w:r>
        <w:rPr>
          <w:rFonts w:eastAsia="PMingLiU"/>
          <w:b/>
          <w:sz w:val="22"/>
          <w:szCs w:val="22"/>
          <w:lang w:eastAsia="zh-TW"/>
        </w:rPr>
        <w:t>Observation 1:</w:t>
      </w:r>
      <w:r>
        <w:rPr>
          <w:rFonts w:eastAsia="PMingLiU"/>
          <w:sz w:val="22"/>
          <w:szCs w:val="22"/>
          <w:lang w:eastAsia="zh-TW"/>
        </w:rPr>
        <w:t xml:space="preserve"> </w:t>
        <w:tab/>
        <w:t>Considering a LEO-1200 S-Band scenario, a higher UE throughput can be achieved using a 100% RU instead of a 20% RU.</w:t>
      </w:r>
    </w:p>
    <w:p>
      <w:pPr>
        <w:pStyle w:val="Normal"/>
        <w:ind w:left="2160" w:hanging="2160"/>
        <w:rPr>
          <w:rFonts w:eastAsia="PMingLiU"/>
          <w:sz w:val="22"/>
          <w:szCs w:val="22"/>
          <w:lang w:eastAsia="zh-TW"/>
        </w:rPr>
      </w:pPr>
      <w:r>
        <w:rPr>
          <w:rFonts w:eastAsia="PMingLiU"/>
          <w:b/>
          <w:sz w:val="22"/>
          <w:szCs w:val="22"/>
          <w:lang w:eastAsia="zh-TW"/>
        </w:rPr>
        <w:t>Observation 2:</w:t>
      </w:r>
      <w:r>
        <w:rPr>
          <w:rFonts w:eastAsia="PMingLiU"/>
          <w:sz w:val="22"/>
          <w:szCs w:val="22"/>
          <w:lang w:eastAsia="zh-TW"/>
        </w:rPr>
        <w:t xml:space="preserve"> </w:t>
        <w:tab/>
        <w:t>Considering a LEO-1200 S-Band scenario with 100% RU, the majority of the UEs show a higher throughput for the case with FRF=3 than for the case with FRF=1. Around 17% of the best users have better performance in case of FRF =1.</w:t>
      </w:r>
    </w:p>
    <w:p>
      <w:pPr>
        <w:pStyle w:val="Normal"/>
        <w:rPr>
          <w:rFonts w:eastAsia="PMingLiU"/>
          <w:sz w:val="22"/>
          <w:szCs w:val="22"/>
          <w:lang w:eastAsia="zh-TW"/>
        </w:rPr>
      </w:pPr>
      <w:r>
        <w:rPr>
          <w:rFonts w:eastAsia="PMingLiU"/>
          <w:sz w:val="22"/>
          <w:szCs w:val="22"/>
          <w:lang w:eastAsia="zh-TW"/>
        </w:rPr>
        <w:t>Although the used bandwidth per beam is 10MHz for FRF=3, while it is 30MHz for FRF=1, a higher UE throughput can be observed in case of FRF=3 except for the UEs with highest throughput for a RU of 100%. This results from the high interference limitation in single satellite systems where the interfering signal has the same path loss as the serving signal.</w:t>
      </w:r>
    </w:p>
    <w:p>
      <w:pPr>
        <w:pStyle w:val="Normal"/>
        <w:ind w:left="2160" w:hanging="2160"/>
        <w:rPr>
          <w:rFonts w:eastAsia="PMingLiU"/>
          <w:sz w:val="22"/>
          <w:szCs w:val="22"/>
          <w:lang w:eastAsia="zh-TW"/>
        </w:rPr>
      </w:pPr>
      <w:r>
        <w:rPr>
          <w:rFonts w:eastAsia="PMingLiU"/>
          <w:b/>
          <w:sz w:val="22"/>
          <w:szCs w:val="22"/>
          <w:lang w:eastAsia="zh-TW"/>
        </w:rPr>
        <w:t>Observation 3:</w:t>
      </w:r>
      <w:r>
        <w:rPr>
          <w:rFonts w:eastAsia="PMingLiU"/>
          <w:sz w:val="22"/>
          <w:szCs w:val="22"/>
          <w:lang w:eastAsia="zh-TW"/>
        </w:rPr>
        <w:tab/>
        <w:t>Considering a LEO-1200 S-Band scenario with 100% RU and a FRF=1, the difference between the worst and best UEs is significant (5%-tile: 0.29Mbit/s and 95%-tile: 1.10Mbit/s, which is a factor of 3.8).</w:t>
      </w:r>
    </w:p>
    <w:p>
      <w:pPr>
        <w:pStyle w:val="Normal"/>
        <w:rPr>
          <w:rFonts w:eastAsia="PMingLiU"/>
          <w:sz w:val="22"/>
          <w:szCs w:val="22"/>
          <w:lang w:eastAsia="zh-TW"/>
        </w:rPr>
      </w:pPr>
      <w:r>
        <w:rPr>
          <w:rFonts w:eastAsia="PMingLiU"/>
          <w:sz w:val="22"/>
          <w:szCs w:val="22"/>
          <w:lang w:eastAsia="zh-TW"/>
        </w:rPr>
        <w:t>The high difference in terms of UE throughput for the scenario with 100% RU and FRF=1 is again an indication on the interference limitation. Although a proportional fair scheduler is applied, the system cannot achieve a similar throughput for all UEs.</w:t>
      </w:r>
    </w:p>
    <w:p>
      <w:pPr>
        <w:pStyle w:val="Normal"/>
        <w:rPr>
          <w:rFonts w:eastAsia="PMingLiU"/>
          <w:sz w:val="22"/>
          <w:szCs w:val="22"/>
          <w:lang w:eastAsia="zh-TW"/>
        </w:rPr>
      </w:pPr>
      <w:r>
        <w:rPr>
          <w:rFonts w:eastAsia="PMingLiU"/>
          <w:sz w:val="22"/>
          <w:szCs w:val="22"/>
          <w:lang w:eastAsia="zh-TW"/>
        </w:rPr>
        <w:t>Based on the high interference level in case of FRF=1, from our perspective it is reasonable to evaluate scenarios with FRF=3 because other effects will be more visible and can be interpreted more reliable.</w:t>
      </w:r>
    </w:p>
    <w:p>
      <w:pPr>
        <w:pStyle w:val="Normal"/>
        <w:rPr>
          <w:rFonts w:eastAsia="PMingLiU"/>
          <w:sz w:val="22"/>
          <w:szCs w:val="22"/>
          <w:lang w:eastAsia="zh-TW"/>
        </w:rPr>
      </w:pPr>
      <w:r>
        <w:rPr>
          <w:rFonts w:eastAsia="PMingLiU"/>
          <w:sz w:val="22"/>
          <w:szCs w:val="22"/>
          <w:lang w:eastAsia="zh-TW"/>
        </w:rPr>
        <w:t>Applying FRF=3 means that the PRBs of the same frequency are only used in each third beam. By this, the interference level is already decreased, and simulating with a RU of 100% makes sense for such a configuration. Of course, this conclusion may only hold for loaded systems. In case certain beams are lowly loaded, other beams could benefit from using the full 30 MHz instead of a 10 MHz portion only. Due to the large coverage area of satellite beams, we think a fully loaded system is a reasonable assumption for performance evaluation. If a fully loaded system is not reasonable, we should question if full buffer traffic and equal user distribution are a valid assumption. Therefore, we propose to use a frequency reuse factor of 3 and a resource utilization of 100% for the SLSs performed during Work Item Phase.</w:t>
      </w:r>
    </w:p>
    <w:p>
      <w:pPr>
        <w:pStyle w:val="Normal"/>
        <w:ind w:left="1440" w:hanging="1440"/>
        <w:rPr>
          <w:rFonts w:eastAsia="PMingLiU"/>
          <w:sz w:val="22"/>
          <w:szCs w:val="22"/>
          <w:lang w:eastAsia="zh-TW"/>
        </w:rPr>
      </w:pPr>
      <w:r>
        <w:rPr>
          <w:rFonts w:eastAsia="PMingLiU"/>
          <w:b/>
          <w:sz w:val="22"/>
          <w:szCs w:val="22"/>
          <w:lang w:eastAsia="zh-TW"/>
        </w:rPr>
        <w:t>Proposal 1:</w:t>
      </w:r>
      <w:r>
        <w:rPr>
          <w:rFonts w:eastAsia="PMingLiU"/>
          <w:sz w:val="22"/>
          <w:szCs w:val="22"/>
          <w:lang w:eastAsia="zh-TW"/>
        </w:rPr>
        <w:t xml:space="preserve"> </w:t>
        <w:tab/>
        <w:t>Consider 100% RU and FRF=3 as prioritized scenario for SLS in this Work Item for LEO-1200 S-band scenario.</w:t>
      </w:r>
    </w:p>
    <w:p>
      <w:pPr>
        <w:pStyle w:val="Normal"/>
        <w:rPr>
          <w:rFonts w:eastAsia="PMingLiU"/>
          <w:sz w:val="22"/>
          <w:szCs w:val="22"/>
          <w:lang w:eastAsia="zh-TW"/>
        </w:rPr>
      </w:pPr>
      <w:r>
        <w:rPr>
          <w:rFonts w:eastAsia="PMingLiU"/>
          <w:sz w:val="22"/>
          <w:szCs w:val="22"/>
          <w:lang w:eastAsia="zh-TW"/>
        </w:rPr>
        <w:t>Without further simulation results, we propose the same configuration for all other satellite orbit scenarios.</w:t>
      </w:r>
    </w:p>
    <w:p>
      <w:pPr>
        <w:pStyle w:val="Normal"/>
        <w:ind w:left="1440" w:hanging="1440"/>
        <w:rPr>
          <w:rFonts w:eastAsia="PMingLiU"/>
          <w:sz w:val="22"/>
          <w:szCs w:val="22"/>
          <w:lang w:eastAsia="zh-TW"/>
        </w:rPr>
      </w:pPr>
      <w:r>
        <w:rPr>
          <w:rFonts w:eastAsia="PMingLiU"/>
          <w:b/>
          <w:sz w:val="22"/>
          <w:szCs w:val="22"/>
          <w:lang w:eastAsia="zh-TW"/>
        </w:rPr>
        <w:t>Proposal 2:</w:t>
      </w:r>
      <w:r>
        <w:rPr>
          <w:rFonts w:eastAsia="PMingLiU"/>
          <w:sz w:val="22"/>
          <w:szCs w:val="22"/>
          <w:lang w:eastAsia="zh-TW"/>
        </w:rPr>
        <w:tab/>
        <w:t>Consider following study cases for system level simulations during the Work Item.</w:t>
      </w:r>
    </w:p>
    <w:p>
      <w:pPr>
        <w:pStyle w:val="Caption1"/>
        <w:keepNext/>
        <w:jc w:val="center"/>
        <w:rPr/>
      </w:pPr>
      <w:r>
        <w:rPr/>
        <w:t xml:space="preserve">Table </w:t>
      </w:r>
      <w:r>
        <w:rPr/>
        <w:fldChar w:fldCharType="begin"/>
      </w:r>
      <w:r>
        <w:instrText> SEQ Table \* ARABIC </w:instrText>
      </w:r>
      <w:r>
        <w:fldChar w:fldCharType="separate"/>
      </w:r>
      <w:r>
        <w:t>4</w:t>
      </w:r>
      <w:r>
        <w:fldChar w:fldCharType="end"/>
      </w:r>
      <w:r>
        <w:rPr/>
        <w:t xml:space="preserve"> List of study cases for SLS in WI phase</w:t>
      </w:r>
    </w:p>
    <w:tbl>
      <w:tblPr>
        <w:tblW w:w="9350" w:type="dxa"/>
        <w:jc w:val="lef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3" w:type="dxa"/>
          <w:bottom w:w="0" w:type="dxa"/>
          <w:right w:w="108" w:type="dxa"/>
        </w:tblCellMar>
        <w:tblLook w:val="04a0" w:noVBand="1" w:noHBand="0" w:lastColumn="0" w:firstColumn="1" w:lastRow="0" w:firstRow="1"/>
      </w:tblPr>
      <w:tblGrid>
        <w:gridCol w:w="798"/>
        <w:gridCol w:w="1411"/>
        <w:gridCol w:w="1451"/>
        <w:gridCol w:w="1493"/>
        <w:gridCol w:w="1492"/>
        <w:gridCol w:w="1227"/>
        <w:gridCol w:w="1477"/>
      </w:tblGrid>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H"/>
              <w:rPr/>
            </w:pPr>
            <w:r>
              <w:rPr/>
              <w:t>Case</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H"/>
              <w:rPr/>
            </w:pPr>
            <w:r>
              <w:rPr/>
              <w:t>Satellite orbit</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H"/>
              <w:rPr/>
            </w:pPr>
            <w:r>
              <w:rPr/>
              <w:t>Satellite parameter set</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H"/>
              <w:rPr/>
            </w:pPr>
            <w:r>
              <w:rPr/>
              <w:t>Central beam elevation</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H"/>
              <w:rPr/>
            </w:pPr>
            <w:r>
              <w:rPr/>
              <w:t>Terminal</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H"/>
              <w:rPr/>
            </w:pPr>
            <w:r>
              <w:rPr/>
              <w:t>Frequency 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H"/>
              <w:rPr/>
            </w:pPr>
            <w:r>
              <w:rPr/>
              <w:t>Frequency/ Polarization Reuse</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1</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2*</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GEO</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45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3</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4</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LEO-600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5*</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VSAT</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Ka-band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7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6</w:t>
            </w:r>
          </w:p>
        </w:tc>
        <w:tc>
          <w:tcPr>
            <w:tcW w:w="141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C"/>
              <w:rPr/>
            </w:pPr>
            <w:r>
              <w:rPr/>
              <w:t>LEO-1200</w:t>
            </w:r>
          </w:p>
        </w:tc>
        <w:tc>
          <w:tcPr>
            <w:tcW w:w="14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Set 1</w:t>
            </w:r>
          </w:p>
        </w:tc>
        <w:tc>
          <w:tcPr>
            <w:tcW w:w="14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90 deg</w:t>
            </w:r>
          </w:p>
        </w:tc>
        <w:tc>
          <w:tcPr>
            <w:tcW w:w="1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Handheld</w:t>
            </w:r>
          </w:p>
        </w:tc>
        <w:tc>
          <w:tcPr>
            <w:tcW w:w="12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S-band</w:t>
            </w:r>
          </w:p>
        </w:tc>
        <w:tc>
          <w:tcPr>
            <w:tcW w:w="1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TAC"/>
              <w:rPr/>
            </w:pPr>
            <w:r>
              <w:rPr/>
              <w:t>Option 2</w:t>
            </w:r>
          </w:p>
        </w:tc>
      </w:tr>
      <w:tr>
        <w:trPr/>
        <w:tc>
          <w:tcPr>
            <w:tcW w:w="9349"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TAN"/>
              <w:rPr/>
            </w:pPr>
            <w:r>
              <w:rPr/>
              <w:t>NOTE 1: no star = 1</w:t>
            </w:r>
            <w:r>
              <w:rPr>
                <w:vertAlign w:val="superscript"/>
              </w:rPr>
              <w:t>st</w:t>
            </w:r>
            <w:r>
              <w:rPr/>
              <w:t xml:space="preserve"> priority, * = second priority scenario</w:t>
            </w:r>
          </w:p>
        </w:tc>
      </w:tr>
    </w:tbl>
    <w:p>
      <w:pPr>
        <w:pStyle w:val="Normal"/>
        <w:ind w:left="1440" w:hanging="1440"/>
        <w:rPr>
          <w:rFonts w:eastAsia="PMingLiU"/>
          <w:sz w:val="22"/>
          <w:szCs w:val="22"/>
          <w:lang w:eastAsia="zh-TW"/>
        </w:rPr>
      </w:pPr>
      <w:r>
        <w:rPr>
          <w:rFonts w:eastAsia="PMingLiU"/>
          <w:sz w:val="22"/>
          <w:szCs w:val="22"/>
          <w:lang w:eastAsia="zh-TW"/>
        </w:rPr>
      </w:r>
    </w:p>
    <w:p>
      <w:pPr>
        <w:pStyle w:val="Heading1"/>
        <w:numPr>
          <w:ilvl w:val="0"/>
          <w:numId w:val="2"/>
        </w:numPr>
        <w:tabs>
          <w:tab w:val="left" w:pos="432" w:leader="none"/>
        </w:tabs>
        <w:rPr/>
      </w:pPr>
      <w:r>
        <w:rPr/>
        <w:t xml:space="preserve">Propagation Condition </w:t>
      </w:r>
    </w:p>
    <w:p>
      <w:pPr>
        <w:pStyle w:val="Normal"/>
        <w:rPr/>
      </w:pPr>
      <w:r>
        <w:rPr>
          <w:sz w:val="22"/>
          <w:lang w:eastAsia="ja-JP"/>
        </w:rPr>
        <w:t xml:space="preserve">Table 6.6.1-1 of TR 38.811 </w:t>
      </w:r>
      <w:r>
        <w:rPr>
          <w:sz w:val="22"/>
          <w:lang w:eastAsia="ja-JP"/>
        </w:rPr>
        <w:fldChar w:fldCharType="begin"/>
      </w:r>
      <w:r>
        <w:instrText> REF _Ref39597108 \r \h </w:instrText>
      </w:r>
      <w:r>
        <w:fldChar w:fldCharType="separate"/>
      </w:r>
      <w:r>
        <w:t>[4]</w:t>
      </w:r>
      <w:r>
        <w:fldChar w:fldCharType="end"/>
      </w:r>
      <w:r>
        <w:rPr>
          <w:sz w:val="22"/>
          <w:lang w:eastAsia="ja-JP"/>
        </w:rPr>
        <w:t xml:space="preserve"> presents Line-Of-Sight (LOS) probabilities dependent on the UE environment (Dense urban, urban, suburban and rural) and the elevation angle. The table shows the larger the elevation angle the larger the LOS probability. </w:t>
      </w:r>
    </w:p>
    <w:tbl>
      <w:tblPr>
        <w:tblW w:w="6948" w:type="dxa"/>
        <w:jc w:val="center"/>
        <w:tblInd w:w="0" w:type="dxa"/>
        <w:tblBorders>
          <w:top w:val="single" w:sz="4" w:space="0" w:color="000001"/>
          <w:left w:val="single" w:sz="4" w:space="0" w:color="000001"/>
          <w:bottom w:val="single" w:sz="4" w:space="0" w:color="000001"/>
          <w:insideH w:val="single" w:sz="4" w:space="0" w:color="000001"/>
        </w:tblBorders>
        <w:tblCellMar>
          <w:top w:w="0" w:type="dxa"/>
          <w:left w:w="98" w:type="dxa"/>
          <w:bottom w:w="0" w:type="dxa"/>
          <w:right w:w="108" w:type="dxa"/>
        </w:tblCellMar>
        <w:tblLook w:val="0000" w:noVBand="0" w:noHBand="0" w:lastColumn="0" w:firstColumn="0" w:lastRow="0" w:firstRow="0"/>
      </w:tblPr>
      <w:tblGrid>
        <w:gridCol w:w="1361"/>
        <w:gridCol w:w="1700"/>
        <w:gridCol w:w="1701"/>
        <w:gridCol w:w="2185"/>
      </w:tblGrid>
      <w:tr>
        <w:trPr/>
        <w:tc>
          <w:tcPr>
            <w:tcW w:w="1361"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Elevation</w:t>
            </w:r>
          </w:p>
        </w:tc>
        <w:tc>
          <w:tcPr>
            <w:tcW w:w="1700" w:type="dxa"/>
            <w:tcBorders>
              <w:top w:val="single" w:sz="4" w:space="0" w:color="000001"/>
              <w:left w:val="single" w:sz="4" w:space="0" w:color="000001"/>
              <w:bottom w:val="single" w:sz="4" w:space="0" w:color="000001"/>
              <w:insideH w:val="single" w:sz="4" w:space="0" w:color="000001"/>
            </w:tcBorders>
            <w:shd w:fill="auto" w:val="clear"/>
            <w:tcMar>
              <w:left w:w="98" w:type="dxa"/>
            </w:tcMar>
          </w:tcPr>
          <w:p>
            <w:pPr>
              <w:pStyle w:val="TAC"/>
              <w:rPr/>
            </w:pPr>
            <w:r>
              <w:rPr/>
              <w:t>Dense urban scenario</w:t>
            </w:r>
          </w:p>
        </w:tc>
        <w:tc>
          <w:tcPr>
            <w:tcW w:w="1701" w:type="dxa"/>
            <w:tcBorders>
              <w:top w:val="single" w:sz="4" w:space="0" w:color="000001"/>
              <w:left w:val="single" w:sz="4" w:space="0" w:color="000001"/>
              <w:bottom w:val="single" w:sz="4" w:space="0" w:color="000001"/>
              <w:insideH w:val="single" w:sz="4" w:space="0" w:color="000001"/>
            </w:tcBorders>
            <w:shd w:fill="auto" w:val="clear"/>
            <w:tcMar>
              <w:left w:w="98" w:type="dxa"/>
            </w:tcMar>
          </w:tcPr>
          <w:p>
            <w:pPr>
              <w:pStyle w:val="TAC"/>
              <w:rPr/>
            </w:pPr>
            <w:r>
              <w:rPr/>
              <w:t>Urban scenario</w:t>
            </w:r>
          </w:p>
        </w:tc>
        <w:tc>
          <w:tcPr>
            <w:tcW w:w="2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TAC"/>
              <w:rPr/>
            </w:pPr>
            <w:r>
              <w:rPr/>
              <w:t>Suburban and Rural scenarios</w:t>
            </w:r>
          </w:p>
        </w:tc>
      </w:tr>
      <w:tr>
        <w:trPr/>
        <w:tc>
          <w:tcPr>
            <w:tcW w:w="1361"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10°</w:t>
            </w:r>
          </w:p>
        </w:tc>
        <w:tc>
          <w:tcPr>
            <w:tcW w:w="1700"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28.2%</w:t>
            </w:r>
          </w:p>
        </w:tc>
        <w:tc>
          <w:tcPr>
            <w:tcW w:w="1701" w:type="dxa"/>
            <w:tcBorders>
              <w:top w:val="single" w:sz="4" w:space="0" w:color="000001"/>
              <w:left w:val="single" w:sz="4" w:space="0" w:color="000001"/>
              <w:bottom w:val="single" w:sz="4" w:space="0" w:color="000001"/>
              <w:insideH w:val="single" w:sz="4" w:space="0" w:color="000001"/>
            </w:tcBorders>
            <w:shd w:fill="auto" w:val="clear"/>
            <w:tcMar>
              <w:left w:w="98" w:type="dxa"/>
            </w:tcMar>
          </w:tcPr>
          <w:p>
            <w:pPr>
              <w:pStyle w:val="TAC"/>
              <w:rPr/>
            </w:pPr>
            <w:r>
              <w:rPr/>
              <w:t>24.6%</w:t>
            </w:r>
          </w:p>
        </w:tc>
        <w:tc>
          <w:tcPr>
            <w:tcW w:w="2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TAC"/>
              <w:rPr/>
            </w:pPr>
            <w:r>
              <w:rPr/>
              <w:t>78.2%</w:t>
            </w:r>
          </w:p>
        </w:tc>
      </w:tr>
      <w:tr>
        <w:trPr/>
        <w:tc>
          <w:tcPr>
            <w:tcW w:w="1361"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20°</w:t>
            </w:r>
          </w:p>
        </w:tc>
        <w:tc>
          <w:tcPr>
            <w:tcW w:w="1700"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33.1%</w:t>
            </w:r>
          </w:p>
        </w:tc>
        <w:tc>
          <w:tcPr>
            <w:tcW w:w="1701" w:type="dxa"/>
            <w:tcBorders>
              <w:top w:val="single" w:sz="4" w:space="0" w:color="000001"/>
              <w:left w:val="single" w:sz="4" w:space="0" w:color="000001"/>
              <w:bottom w:val="single" w:sz="4" w:space="0" w:color="000001"/>
              <w:insideH w:val="single" w:sz="4" w:space="0" w:color="000001"/>
            </w:tcBorders>
            <w:shd w:fill="auto" w:val="clear"/>
            <w:tcMar>
              <w:left w:w="98" w:type="dxa"/>
            </w:tcMar>
          </w:tcPr>
          <w:p>
            <w:pPr>
              <w:pStyle w:val="TAC"/>
              <w:rPr/>
            </w:pPr>
            <w:r>
              <w:rPr/>
              <w:t>38.6%</w:t>
            </w:r>
          </w:p>
        </w:tc>
        <w:tc>
          <w:tcPr>
            <w:tcW w:w="2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TAC"/>
              <w:rPr/>
            </w:pPr>
            <w:r>
              <w:rPr/>
              <w:t>86.9%</w:t>
            </w:r>
          </w:p>
        </w:tc>
      </w:tr>
      <w:tr>
        <w:trPr/>
        <w:tc>
          <w:tcPr>
            <w:tcW w:w="1361"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30°</w:t>
            </w:r>
          </w:p>
        </w:tc>
        <w:tc>
          <w:tcPr>
            <w:tcW w:w="1700"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39.8%</w:t>
            </w:r>
          </w:p>
        </w:tc>
        <w:tc>
          <w:tcPr>
            <w:tcW w:w="1701" w:type="dxa"/>
            <w:tcBorders>
              <w:top w:val="single" w:sz="4" w:space="0" w:color="000001"/>
              <w:left w:val="single" w:sz="4" w:space="0" w:color="000001"/>
              <w:bottom w:val="single" w:sz="4" w:space="0" w:color="000001"/>
              <w:insideH w:val="single" w:sz="4" w:space="0" w:color="000001"/>
            </w:tcBorders>
            <w:shd w:fill="auto" w:val="clear"/>
            <w:tcMar>
              <w:left w:w="98" w:type="dxa"/>
            </w:tcMar>
          </w:tcPr>
          <w:p>
            <w:pPr>
              <w:pStyle w:val="TAC"/>
              <w:rPr/>
            </w:pPr>
            <w:r>
              <w:rPr/>
              <w:t>49.3%</w:t>
            </w:r>
          </w:p>
        </w:tc>
        <w:tc>
          <w:tcPr>
            <w:tcW w:w="2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TAC"/>
              <w:rPr/>
            </w:pPr>
            <w:r>
              <w:rPr/>
              <w:t>91.9%</w:t>
            </w:r>
          </w:p>
        </w:tc>
      </w:tr>
      <w:tr>
        <w:trPr/>
        <w:tc>
          <w:tcPr>
            <w:tcW w:w="1361"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40°</w:t>
            </w:r>
          </w:p>
        </w:tc>
        <w:tc>
          <w:tcPr>
            <w:tcW w:w="1700"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46.8%</w:t>
            </w:r>
          </w:p>
        </w:tc>
        <w:tc>
          <w:tcPr>
            <w:tcW w:w="1701" w:type="dxa"/>
            <w:tcBorders>
              <w:top w:val="single" w:sz="4" w:space="0" w:color="000001"/>
              <w:left w:val="single" w:sz="4" w:space="0" w:color="000001"/>
              <w:bottom w:val="single" w:sz="4" w:space="0" w:color="000001"/>
              <w:insideH w:val="single" w:sz="4" w:space="0" w:color="000001"/>
            </w:tcBorders>
            <w:shd w:fill="auto" w:val="clear"/>
            <w:tcMar>
              <w:left w:w="98" w:type="dxa"/>
            </w:tcMar>
          </w:tcPr>
          <w:p>
            <w:pPr>
              <w:pStyle w:val="TAC"/>
              <w:rPr/>
            </w:pPr>
            <w:r>
              <w:rPr/>
              <w:t>61.3%</w:t>
            </w:r>
          </w:p>
        </w:tc>
        <w:tc>
          <w:tcPr>
            <w:tcW w:w="2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TAC"/>
              <w:rPr/>
            </w:pPr>
            <w:r>
              <w:rPr/>
              <w:t>92.9%</w:t>
            </w:r>
          </w:p>
        </w:tc>
      </w:tr>
      <w:tr>
        <w:trPr/>
        <w:tc>
          <w:tcPr>
            <w:tcW w:w="1361"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50°</w:t>
            </w:r>
          </w:p>
        </w:tc>
        <w:tc>
          <w:tcPr>
            <w:tcW w:w="1700"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53.7%</w:t>
            </w:r>
          </w:p>
        </w:tc>
        <w:tc>
          <w:tcPr>
            <w:tcW w:w="1701" w:type="dxa"/>
            <w:tcBorders>
              <w:top w:val="single" w:sz="4" w:space="0" w:color="000001"/>
              <w:left w:val="single" w:sz="4" w:space="0" w:color="000001"/>
              <w:bottom w:val="single" w:sz="4" w:space="0" w:color="000001"/>
              <w:insideH w:val="single" w:sz="4" w:space="0" w:color="000001"/>
            </w:tcBorders>
            <w:shd w:fill="auto" w:val="clear"/>
            <w:tcMar>
              <w:left w:w="98" w:type="dxa"/>
            </w:tcMar>
          </w:tcPr>
          <w:p>
            <w:pPr>
              <w:pStyle w:val="TAC"/>
              <w:rPr/>
            </w:pPr>
            <w:r>
              <w:rPr/>
              <w:t>72.6%</w:t>
            </w:r>
          </w:p>
        </w:tc>
        <w:tc>
          <w:tcPr>
            <w:tcW w:w="2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TAC"/>
              <w:rPr/>
            </w:pPr>
            <w:r>
              <w:rPr/>
              <w:t>93.5%</w:t>
            </w:r>
          </w:p>
        </w:tc>
      </w:tr>
      <w:tr>
        <w:trPr/>
        <w:tc>
          <w:tcPr>
            <w:tcW w:w="1361"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60°</w:t>
            </w:r>
          </w:p>
        </w:tc>
        <w:tc>
          <w:tcPr>
            <w:tcW w:w="1700"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61.2%</w:t>
            </w:r>
          </w:p>
        </w:tc>
        <w:tc>
          <w:tcPr>
            <w:tcW w:w="1701" w:type="dxa"/>
            <w:tcBorders>
              <w:top w:val="single" w:sz="4" w:space="0" w:color="000001"/>
              <w:left w:val="single" w:sz="4" w:space="0" w:color="000001"/>
              <w:bottom w:val="single" w:sz="4" w:space="0" w:color="000001"/>
              <w:insideH w:val="single" w:sz="4" w:space="0" w:color="000001"/>
            </w:tcBorders>
            <w:shd w:fill="auto" w:val="clear"/>
            <w:tcMar>
              <w:left w:w="98" w:type="dxa"/>
            </w:tcMar>
          </w:tcPr>
          <w:p>
            <w:pPr>
              <w:pStyle w:val="TAC"/>
              <w:rPr/>
            </w:pPr>
            <w:r>
              <w:rPr/>
              <w:t>80.5%</w:t>
            </w:r>
          </w:p>
        </w:tc>
        <w:tc>
          <w:tcPr>
            <w:tcW w:w="2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TAC"/>
              <w:rPr/>
            </w:pPr>
            <w:r>
              <w:rPr/>
              <w:t>94.0%</w:t>
            </w:r>
          </w:p>
        </w:tc>
      </w:tr>
      <w:tr>
        <w:trPr/>
        <w:tc>
          <w:tcPr>
            <w:tcW w:w="1361"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70°</w:t>
            </w:r>
          </w:p>
        </w:tc>
        <w:tc>
          <w:tcPr>
            <w:tcW w:w="1700"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73.8%</w:t>
            </w:r>
          </w:p>
        </w:tc>
        <w:tc>
          <w:tcPr>
            <w:tcW w:w="1701" w:type="dxa"/>
            <w:tcBorders>
              <w:top w:val="single" w:sz="4" w:space="0" w:color="000001"/>
              <w:left w:val="single" w:sz="4" w:space="0" w:color="000001"/>
              <w:bottom w:val="single" w:sz="4" w:space="0" w:color="000001"/>
              <w:insideH w:val="single" w:sz="4" w:space="0" w:color="000001"/>
            </w:tcBorders>
            <w:shd w:fill="auto" w:val="clear"/>
            <w:tcMar>
              <w:left w:w="98" w:type="dxa"/>
            </w:tcMar>
          </w:tcPr>
          <w:p>
            <w:pPr>
              <w:pStyle w:val="TAC"/>
              <w:rPr/>
            </w:pPr>
            <w:r>
              <w:rPr/>
              <w:t>91.9%</w:t>
            </w:r>
          </w:p>
        </w:tc>
        <w:tc>
          <w:tcPr>
            <w:tcW w:w="2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TAC"/>
              <w:rPr/>
            </w:pPr>
            <w:r>
              <w:rPr/>
              <w:t>94.9%</w:t>
            </w:r>
          </w:p>
        </w:tc>
      </w:tr>
      <w:tr>
        <w:trPr/>
        <w:tc>
          <w:tcPr>
            <w:tcW w:w="1361"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80°</w:t>
            </w:r>
          </w:p>
        </w:tc>
        <w:tc>
          <w:tcPr>
            <w:tcW w:w="1700"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82.0%</w:t>
            </w:r>
          </w:p>
        </w:tc>
        <w:tc>
          <w:tcPr>
            <w:tcW w:w="1701" w:type="dxa"/>
            <w:tcBorders>
              <w:top w:val="single" w:sz="4" w:space="0" w:color="000001"/>
              <w:left w:val="single" w:sz="4" w:space="0" w:color="000001"/>
              <w:bottom w:val="single" w:sz="4" w:space="0" w:color="000001"/>
              <w:insideH w:val="single" w:sz="4" w:space="0" w:color="000001"/>
            </w:tcBorders>
            <w:shd w:fill="auto" w:val="clear"/>
            <w:tcMar>
              <w:left w:w="98" w:type="dxa"/>
            </w:tcMar>
          </w:tcPr>
          <w:p>
            <w:pPr>
              <w:pStyle w:val="TAC"/>
              <w:rPr/>
            </w:pPr>
            <w:r>
              <w:rPr/>
              <w:t>96.8%</w:t>
            </w:r>
          </w:p>
        </w:tc>
        <w:tc>
          <w:tcPr>
            <w:tcW w:w="2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TAC"/>
              <w:rPr/>
            </w:pPr>
            <w:r>
              <w:rPr/>
              <w:t>95.2%</w:t>
            </w:r>
          </w:p>
        </w:tc>
      </w:tr>
      <w:tr>
        <w:trPr/>
        <w:tc>
          <w:tcPr>
            <w:tcW w:w="1361"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90°</w:t>
            </w:r>
          </w:p>
        </w:tc>
        <w:tc>
          <w:tcPr>
            <w:tcW w:w="1700"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TAC"/>
              <w:rPr/>
            </w:pPr>
            <w:r>
              <w:rPr/>
              <w:t>98.1%</w:t>
            </w:r>
          </w:p>
        </w:tc>
        <w:tc>
          <w:tcPr>
            <w:tcW w:w="1701" w:type="dxa"/>
            <w:tcBorders>
              <w:top w:val="single" w:sz="4" w:space="0" w:color="000001"/>
              <w:left w:val="single" w:sz="4" w:space="0" w:color="000001"/>
              <w:bottom w:val="single" w:sz="4" w:space="0" w:color="000001"/>
              <w:insideH w:val="single" w:sz="4" w:space="0" w:color="000001"/>
            </w:tcBorders>
            <w:shd w:fill="auto" w:val="clear"/>
            <w:tcMar>
              <w:left w:w="98" w:type="dxa"/>
            </w:tcMar>
          </w:tcPr>
          <w:p>
            <w:pPr>
              <w:pStyle w:val="TAC"/>
              <w:rPr/>
            </w:pPr>
            <w:r>
              <w:rPr/>
              <w:t>99.2%</w:t>
            </w:r>
          </w:p>
        </w:tc>
        <w:tc>
          <w:tcPr>
            <w:tcW w:w="2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tcPr>
          <w:p>
            <w:pPr>
              <w:pStyle w:val="TAC"/>
              <w:rPr/>
            </w:pPr>
            <w:r>
              <w:rPr/>
              <w:t>99.8%</w:t>
            </w:r>
          </w:p>
        </w:tc>
      </w:tr>
    </w:tbl>
    <w:p>
      <w:pPr>
        <w:pStyle w:val="Caption1"/>
        <w:jc w:val="center"/>
        <w:rPr/>
      </w:pPr>
      <w:r>
        <w:rPr/>
        <w:t xml:space="preserve">Table </w:t>
      </w:r>
      <w:r>
        <w:rPr/>
        <w:fldChar w:fldCharType="begin"/>
      </w:r>
      <w:r>
        <w:instrText> SEQ Table \* ARABIC </w:instrText>
      </w:r>
      <w:r>
        <w:fldChar w:fldCharType="separate"/>
      </w:r>
      <w:r>
        <w:t>5</w:t>
      </w:r>
      <w:r>
        <w:fldChar w:fldCharType="end"/>
      </w:r>
      <w:r>
        <w:rPr/>
        <w:t xml:space="preserve"> LOS probability Table 6.6.1-1 of TR 38.811</w:t>
      </w:r>
      <w:r>
        <w:rPr/>
        <w:fldChar w:fldCharType="begin"/>
      </w:r>
      <w:r>
        <w:instrText> REF _Ref39597108 \r \h </w:instrText>
      </w:r>
      <w:r>
        <w:fldChar w:fldCharType="separate"/>
      </w:r>
      <w:r>
        <w:t>[4]</w:t>
      </w:r>
      <w:r>
        <w:fldChar w:fldCharType="end"/>
      </w:r>
    </w:p>
    <w:p>
      <w:pPr>
        <w:pStyle w:val="Normal"/>
        <w:rPr/>
      </w:pPr>
      <w:r>
        <w:rPr>
          <w:sz w:val="22"/>
          <w:lang w:eastAsia="ja-JP"/>
        </w:rPr>
        <w:t>Especially in GEO scenario, where we have a large distance between satellite and UE, and therefore a large pathloss, it is worth consider</w:t>
      </w:r>
      <w:r>
        <w:rPr>
          <w:sz w:val="22"/>
          <w:lang w:val="en" w:eastAsia="ja-JP"/>
        </w:rPr>
        <w:t>ing</w:t>
      </w:r>
      <w:r>
        <w:rPr>
          <w:sz w:val="22"/>
          <w:lang w:eastAsia="ja-JP"/>
        </w:rPr>
        <w:t xml:space="preserve"> LOS and NLOS UEs separately before going into deep system analysis. We performed system-level simulations for GEO Ka-Band scenario with frequency reuse 3 (Case 2) and HARQ disabled assuming the following three cases as propagation condition for UE:</w:t>
      </w:r>
    </w:p>
    <w:p>
      <w:pPr>
        <w:pStyle w:val="Normal"/>
        <w:numPr>
          <w:ilvl w:val="0"/>
          <w:numId w:val="5"/>
        </w:numPr>
        <w:tabs>
          <w:tab w:val="left" w:pos="776" w:leader="none"/>
        </w:tabs>
        <w:ind w:left="776" w:hanging="360"/>
        <w:rPr/>
      </w:pPr>
      <w:r>
        <w:rPr>
          <w:sz w:val="22"/>
          <w:lang w:eastAsia="ja-JP"/>
        </w:rPr>
        <w:t>all UEs are LOS</w:t>
      </w:r>
    </w:p>
    <w:p>
      <w:pPr>
        <w:pStyle w:val="Normal"/>
        <w:numPr>
          <w:ilvl w:val="0"/>
          <w:numId w:val="5"/>
        </w:numPr>
        <w:tabs>
          <w:tab w:val="left" w:pos="776" w:leader="none"/>
        </w:tabs>
        <w:ind w:left="776" w:hanging="360"/>
        <w:rPr/>
      </w:pPr>
      <w:r>
        <w:rPr>
          <w:sz w:val="22"/>
          <w:lang w:eastAsia="ja-JP"/>
        </w:rPr>
        <w:t>all UEs are NLOS</w:t>
      </w:r>
    </w:p>
    <w:p>
      <w:pPr>
        <w:pStyle w:val="Normal"/>
        <w:numPr>
          <w:ilvl w:val="0"/>
          <w:numId w:val="5"/>
        </w:numPr>
        <w:tabs>
          <w:tab w:val="left" w:pos="776" w:leader="none"/>
        </w:tabs>
        <w:ind w:left="776" w:hanging="360"/>
        <w:rPr/>
      </w:pPr>
      <w:r>
        <w:rPr>
          <w:sz w:val="22"/>
          <w:lang w:eastAsia="ja-JP"/>
        </w:rPr>
        <w:t xml:space="preserve">UEs are LOS or NLOS according to distribution of Table 6.6.1-1 of TR 38.811 </w:t>
      </w:r>
      <w:r>
        <w:rPr>
          <w:sz w:val="22"/>
          <w:lang w:eastAsia="ja-JP"/>
        </w:rPr>
        <w:fldChar w:fldCharType="begin"/>
      </w:r>
      <w:r>
        <w:instrText> REF _Ref39597108 \r \h </w:instrText>
      </w:r>
      <w:r>
        <w:fldChar w:fldCharType="separate"/>
      </w:r>
      <w:r>
        <w:t>[4]</w:t>
      </w:r>
      <w:r>
        <w:fldChar w:fldCharType="end"/>
      </w:r>
      <w:r>
        <w:rPr>
          <w:sz w:val="22"/>
          <w:lang w:eastAsia="ja-JP"/>
        </w:rPr>
        <w:t xml:space="preserve">. </w:t>
      </w:r>
    </w:p>
    <w:p>
      <w:pPr>
        <w:pStyle w:val="Normal"/>
        <w:rPr/>
      </w:pPr>
      <w:r>
        <w:rPr>
          <w:sz w:val="22"/>
          <w:szCs w:val="22"/>
          <w:lang w:eastAsia="ja-JP"/>
        </w:rPr>
        <w:t xml:space="preserve">The applied configuration parameters are listed in </w:t>
      </w:r>
      <w:r>
        <w:rPr>
          <w:sz w:val="22"/>
          <w:szCs w:val="22"/>
          <w:lang w:eastAsia="ja-JP"/>
        </w:rPr>
        <w:fldChar w:fldCharType="begin"/>
      </w:r>
      <w:r>
        <w:instrText> REF _Ref46235542 \h </w:instrText>
      </w:r>
      <w:r>
        <w:fldChar w:fldCharType="separate"/>
      </w:r>
      <w:r>
        <w:t>Table 6</w:t>
      </w:r>
      <w:r>
        <w:fldChar w:fldCharType="end"/>
      </w:r>
      <w:r>
        <w:rPr>
          <w:sz w:val="22"/>
          <w:szCs w:val="22"/>
          <w:lang w:eastAsia="ja-JP"/>
        </w:rPr>
        <w:t>.</w:t>
      </w:r>
    </w:p>
    <w:tbl>
      <w:tblPr>
        <w:tblW w:w="6663" w:type="dxa"/>
        <w:jc w:val="center"/>
        <w:tblInd w:w="0" w:type="dxa"/>
        <w:tblBorders>
          <w:top w:val="single" w:sz="4" w:space="0" w:color="000001"/>
          <w:left w:val="single" w:sz="4" w:space="0" w:color="000001"/>
          <w:bottom w:val="single" w:sz="4" w:space="0" w:color="000001"/>
          <w:insideH w:val="single" w:sz="4" w:space="0" w:color="000001"/>
        </w:tblBorders>
        <w:tblCellMar>
          <w:top w:w="0" w:type="dxa"/>
          <w:left w:w="98" w:type="dxa"/>
          <w:bottom w:w="0" w:type="dxa"/>
          <w:right w:w="108" w:type="dxa"/>
        </w:tblCellMar>
        <w:tblLook w:val="0000" w:noVBand="0" w:noHBand="0" w:lastColumn="0" w:firstColumn="0" w:lastRow="0" w:firstRow="0"/>
      </w:tblPr>
      <w:tblGrid>
        <w:gridCol w:w="3017"/>
        <w:gridCol w:w="3645"/>
      </w:tblGrid>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Scenario</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GEO, Ka-band, FR3 (Case 2)</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Duplexing</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FDD</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Transmission direction</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Downlink</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Numerology</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120kHz, 14 OFDM symbol slot</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Simulation bandwidth</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400MHz / 3 per beam</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Resource Utilization (RU)</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100%</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 of UEs per cell</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10</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User deployment scenario</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Rural</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i/>
                <w:sz w:val="22"/>
                <w:szCs w:val="22"/>
                <w:lang w:eastAsia="zh-TW"/>
              </w:rPr>
              <w:t>v</w:t>
            </w:r>
            <w:r>
              <w:rPr>
                <w:rFonts w:eastAsia="PMingLiU"/>
                <w:sz w:val="22"/>
                <w:szCs w:val="22"/>
                <w:vertAlign w:val="subscript"/>
                <w:lang w:eastAsia="zh-TW"/>
              </w:rPr>
              <w:t>UE</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120km/h</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Propagation delay (one way)</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271ms</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Scheduling</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Proportional Fair</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Handover margin (dB)</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3</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UE attachment</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Based on RSRP</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Traffic model</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Full buffer</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 xml:space="preserve">HARQ </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disabled</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Target BLER first Transmission (PHY)</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1%</w:t>
            </w:r>
          </w:p>
        </w:tc>
      </w:tr>
      <w:tr>
        <w:trPr>
          <w:trHeight w:val="373" w:hRule="atLeast"/>
        </w:trPr>
        <w:tc>
          <w:tcPr>
            <w:tcW w:w="3017" w:type="dxa"/>
            <w:tcBorders>
              <w:top w:val="single" w:sz="4" w:space="0" w:color="000001"/>
              <w:left w:val="single" w:sz="4" w:space="0" w:color="000001"/>
              <w:bottom w:val="single" w:sz="4" w:space="0" w:color="000001"/>
              <w:insideH w:val="single" w:sz="4" w:space="0" w:color="000001"/>
            </w:tcBorders>
            <w:shd w:fill="auto" w:val="clear"/>
            <w:tcMar>
              <w:left w:w="98" w:type="dxa"/>
            </w:tcMar>
            <w:vAlign w:val="center"/>
          </w:tcPr>
          <w:p>
            <w:pPr>
              <w:pStyle w:val="Normal"/>
              <w:spacing w:before="0" w:after="0"/>
              <w:jc w:val="left"/>
              <w:rPr/>
            </w:pPr>
            <w:r>
              <w:rPr>
                <w:rFonts w:eastAsia="PMingLiU"/>
                <w:sz w:val="22"/>
                <w:szCs w:val="22"/>
                <w:lang w:eastAsia="zh-TW"/>
              </w:rPr>
              <w:t>RLC mode</w:t>
            </w:r>
          </w:p>
        </w:tc>
        <w:tc>
          <w:tcPr>
            <w:tcW w:w="36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8" w:type="dxa"/>
            </w:tcMar>
            <w:vAlign w:val="center"/>
          </w:tcPr>
          <w:p>
            <w:pPr>
              <w:pStyle w:val="Normal"/>
              <w:keepNext/>
              <w:spacing w:before="0" w:after="0"/>
              <w:jc w:val="left"/>
              <w:rPr/>
            </w:pPr>
            <w:r>
              <w:rPr>
                <w:rFonts w:eastAsia="PMingLiU"/>
                <w:sz w:val="22"/>
                <w:szCs w:val="22"/>
                <w:lang w:eastAsia="zh-TW"/>
              </w:rPr>
              <w:t>RLC UM</w:t>
            </w:r>
          </w:p>
        </w:tc>
      </w:tr>
    </w:tbl>
    <w:p>
      <w:pPr>
        <w:pStyle w:val="Caption1"/>
        <w:jc w:val="center"/>
        <w:rPr/>
      </w:pPr>
      <w:bookmarkStart w:id="8" w:name="_Ref46235542"/>
      <w:r>
        <w:rPr/>
        <w:t xml:space="preserve">Table </w:t>
      </w:r>
      <w:r>
        <w:rPr/>
        <w:fldChar w:fldCharType="begin"/>
      </w:r>
      <w:r>
        <w:instrText> SEQ Table \* ARABIC </w:instrText>
      </w:r>
      <w:r>
        <w:fldChar w:fldCharType="separate"/>
      </w:r>
      <w:r>
        <w:t>6</w:t>
      </w:r>
      <w:r>
        <w:fldChar w:fldCharType="end"/>
      </w:r>
      <w:bookmarkEnd w:id="8"/>
      <w:r>
        <w:rPr/>
        <w:t xml:space="preserve"> Parameter Setting SLS</w:t>
      </w:r>
    </w:p>
    <w:p>
      <w:pPr>
        <w:pStyle w:val="Normal"/>
        <w:rPr/>
      </w:pPr>
      <w:r>
        <w:rPr/>
        <w:fldChar w:fldCharType="begin"/>
      </w:r>
      <w:r>
        <w:instrText> REF _Ref53409603 \h </w:instrText>
      </w:r>
      <w:r>
        <w:fldChar w:fldCharType="separate"/>
      </w:r>
      <w:r>
        <w:t>Figure 2</w:t>
      </w:r>
      <w:r>
        <w:fldChar w:fldCharType="end"/>
      </w:r>
      <w:r>
        <w:rPr>
          <w:sz w:val="22"/>
          <w:szCs w:val="22"/>
          <w:lang w:eastAsia="ja-JP"/>
        </w:rPr>
        <w:t xml:space="preserve"> </w:t>
      </w:r>
      <w:r>
        <w:rPr>
          <w:sz w:val="22"/>
          <w:szCs w:val="22"/>
          <w:lang w:eastAsia="ja-JP"/>
        </w:rPr>
        <w:t xml:space="preserve">presents the CDF of the DL UE throughput for the simulated scenario with the three above mentioned cases for UE propagation condition. </w:t>
      </w:r>
    </w:p>
    <w:p>
      <w:pPr>
        <w:pStyle w:val="Normal"/>
        <w:rPr/>
      </w:pPr>
      <w:r>
        <w:rPr>
          <w:sz w:val="22"/>
          <w:szCs w:val="22"/>
          <w:lang w:eastAsia="ja-JP"/>
        </w:rPr>
        <w:t xml:space="preserve">The green curve shows the UE throughput, if LOS for all UEs is assumed. In this case all UEs have a TP of at least 4.2Mbit/s. The average UE TP is 13.2Mbit/s. </w:t>
      </w:r>
    </w:p>
    <w:p>
      <w:pPr>
        <w:pStyle w:val="Normal"/>
        <w:rPr/>
      </w:pPr>
      <w:r>
        <w:rPr>
          <w:sz w:val="22"/>
          <w:szCs w:val="22"/>
          <w:lang w:eastAsia="ja-JP"/>
        </w:rPr>
        <w:t xml:space="preserve">The red curve shows the UE throughput, if NLOS for all UEs is assumed. In this case 88% of the UEs have not received any packet successfully and therefore the TP is 0bit/s. The average UE TP is 4.2Mbit/s. </w:t>
      </w:r>
    </w:p>
    <w:p>
      <w:pPr>
        <w:pStyle w:val="Normal"/>
        <w:rPr/>
      </w:pPr>
      <w:r>
        <w:rPr>
          <w:sz w:val="22"/>
          <w:szCs w:val="22"/>
          <w:lang w:eastAsia="ja-JP"/>
        </w:rPr>
        <w:t xml:space="preserve">The blue curve shows the UE throughput, if the LOS probability distribution given in </w:t>
      </w:r>
      <w:r>
        <w:rPr>
          <w:sz w:val="22"/>
          <w:szCs w:val="22"/>
          <w:lang w:eastAsia="ja-JP"/>
        </w:rPr>
        <w:fldChar w:fldCharType="begin"/>
      </w:r>
      <w:r>
        <w:instrText> REF _Ref39597108 \r \h </w:instrText>
      </w:r>
      <w:r>
        <w:fldChar w:fldCharType="separate"/>
      </w:r>
      <w:r>
        <w:t>[4]</w:t>
      </w:r>
      <w:r>
        <w:fldChar w:fldCharType="end"/>
      </w:r>
      <w:r>
        <w:rPr>
          <w:sz w:val="22"/>
          <w:szCs w:val="22"/>
          <w:lang w:eastAsia="ja-JP"/>
        </w:rPr>
        <w:t xml:space="preserve"> is applied. In this case 6% of the UEs have no TP. The average UE TP is 12.6Mbit/s.</w:t>
      </w:r>
    </w:p>
    <w:p>
      <w:pPr>
        <w:pStyle w:val="Normal"/>
        <w:rPr/>
      </w:pPr>
      <w:r>
        <w:rPr>
          <w:sz w:val="22"/>
          <w:szCs w:val="22"/>
          <w:lang w:eastAsia="ja-JP"/>
        </w:rPr>
        <w:t>Following observations can be made:</w:t>
      </w:r>
    </w:p>
    <w:p>
      <w:pPr>
        <w:pStyle w:val="Normal"/>
        <w:ind w:left="2160" w:hanging="2160"/>
        <w:rPr/>
      </w:pPr>
      <w:r>
        <w:rPr>
          <w:b/>
          <w:sz w:val="22"/>
          <w:szCs w:val="22"/>
          <w:lang w:eastAsia="ja-JP"/>
        </w:rPr>
        <w:t>Observation 4:</w:t>
      </w:r>
      <w:r>
        <w:rPr>
          <w:sz w:val="22"/>
          <w:szCs w:val="22"/>
          <w:lang w:eastAsia="ja-JP"/>
        </w:rPr>
        <w:tab/>
        <w:t>Considering a GEO Ka-Band scenario with FR3 and 10 LOS UEs per cell, the minimum TP per UE is 4.2Mbit/s.</w:t>
      </w:r>
    </w:p>
    <w:p>
      <w:pPr>
        <w:pStyle w:val="Normal"/>
        <w:ind w:left="2160" w:hanging="2160"/>
        <w:rPr/>
      </w:pPr>
      <w:r>
        <w:rPr>
          <w:b/>
          <w:sz w:val="22"/>
          <w:szCs w:val="22"/>
          <w:lang w:eastAsia="ja-JP"/>
        </w:rPr>
        <w:t>Observation 5:</w:t>
      </w:r>
      <w:r>
        <w:rPr>
          <w:sz w:val="22"/>
          <w:szCs w:val="22"/>
          <w:lang w:eastAsia="ja-JP"/>
        </w:rPr>
        <w:tab/>
        <w:t>Considering a GEO Ka-Band scenario with FR3 and 10 NLOS UEs per cell, 88% of the UEs have a TP of 0bit/s.</w:t>
      </w:r>
    </w:p>
    <w:p>
      <w:pPr>
        <w:pStyle w:val="Normal"/>
        <w:ind w:left="2160" w:hanging="2160"/>
        <w:rPr/>
      </w:pPr>
      <w:r>
        <w:rPr>
          <w:b/>
          <w:sz w:val="22"/>
          <w:szCs w:val="22"/>
          <w:lang w:eastAsia="ja-JP"/>
        </w:rPr>
        <w:t>Observation 6:</w:t>
      </w:r>
      <w:r>
        <w:rPr>
          <w:sz w:val="22"/>
          <w:szCs w:val="22"/>
          <w:lang w:eastAsia="ja-JP"/>
        </w:rPr>
        <w:tab/>
        <w:t>Considering a GEO Ka-Band scenario with FR3 and 10 UEs per cell and LOS probability according to TR 38.811</w:t>
      </w:r>
      <w:r>
        <w:rPr>
          <w:sz w:val="22"/>
          <w:szCs w:val="22"/>
          <w:lang w:eastAsia="ja-JP"/>
        </w:rPr>
        <w:fldChar w:fldCharType="begin"/>
      </w:r>
      <w:r>
        <w:instrText> REF _Ref39597108 \r \h </w:instrText>
      </w:r>
      <w:r>
        <w:fldChar w:fldCharType="separate"/>
      </w:r>
      <w:r>
        <w:t>[4]</w:t>
      </w:r>
      <w:r>
        <w:fldChar w:fldCharType="end"/>
      </w:r>
      <w:r>
        <w:rPr>
          <w:sz w:val="22"/>
          <w:szCs w:val="22"/>
          <w:lang w:eastAsia="ja-JP"/>
        </w:rPr>
        <w:t>, 6% of the UEs have no TP.</w:t>
      </w:r>
    </w:p>
    <w:p>
      <w:pPr>
        <w:pStyle w:val="Normal"/>
        <w:rPr/>
      </w:pPr>
      <w:r>
        <w:rPr/>
        <w:fldChar w:fldCharType="begin"/>
      </w:r>
      <w:r>
        <w:instrText> REF _Ref53409957 \h </w:instrText>
      </w:r>
      <w:r>
        <w:fldChar w:fldCharType="separate"/>
      </w:r>
      <w:r>
        <w:t>Figure 3</w:t>
      </w:r>
      <w:r>
        <w:fldChar w:fldCharType="end"/>
      </w:r>
      <w:r>
        <w:rPr>
          <w:sz w:val="22"/>
          <w:szCs w:val="22"/>
          <w:lang w:eastAsia="ja-JP"/>
        </w:rPr>
        <w:t xml:space="preserve"> </w:t>
      </w:r>
      <w:r>
        <w:rPr>
          <w:sz w:val="22"/>
          <w:szCs w:val="22"/>
          <w:lang w:eastAsia="ja-JP"/>
        </w:rPr>
        <w:t>presents the CDF of the DL RLC packet error rate per user for the simulated scenario with the three cases for UE propagation condition.</w:t>
      </w:r>
    </w:p>
    <w:p>
      <w:pPr>
        <w:pStyle w:val="Normal"/>
        <w:rPr/>
      </w:pPr>
      <w:r>
        <w:rPr>
          <w:sz w:val="22"/>
          <w:szCs w:val="22"/>
          <w:lang w:eastAsia="ja-JP"/>
        </w:rPr>
        <w:t xml:space="preserve">In case, an LOS probability distribution according to TR 38.811 </w:t>
      </w:r>
      <w:r>
        <w:rPr>
          <w:sz w:val="22"/>
          <w:szCs w:val="22"/>
          <w:lang w:eastAsia="ja-JP"/>
        </w:rPr>
        <w:fldChar w:fldCharType="begin"/>
      </w:r>
      <w:r>
        <w:instrText> REF _Ref39597108 \r \h </w:instrText>
      </w:r>
      <w:r>
        <w:fldChar w:fldCharType="separate"/>
      </w:r>
      <w:r>
        <w:t>[4]</w:t>
      </w:r>
      <w:r>
        <w:fldChar w:fldCharType="end"/>
      </w:r>
      <w:r>
        <w:rPr>
          <w:sz w:val="22"/>
          <w:szCs w:val="22"/>
          <w:lang w:eastAsia="ja-JP"/>
        </w:rPr>
        <w:t xml:space="preserve"> is applied, visualized by the blue curve, 94.8% of the UEs have an RLC packet error rate smaller or equal than 2%. </w:t>
      </w:r>
    </w:p>
    <w:p>
      <w:pPr>
        <w:pStyle w:val="Normal"/>
        <w:rPr/>
      </w:pPr>
      <w:r>
        <w:rPr>
          <w:sz w:val="22"/>
          <w:szCs w:val="22"/>
          <w:lang w:eastAsia="ja-JP"/>
        </w:rPr>
        <w:t xml:space="preserve">In case of LOS, visualized by the green curve, 99.2% of the UEs have an RLC packet error rate smaller or equal than 2%. In comparison to the curve with the LOS probability distribution according to TR 38.811 </w:t>
      </w:r>
      <w:r>
        <w:rPr>
          <w:sz w:val="22"/>
          <w:szCs w:val="22"/>
          <w:lang w:eastAsia="ja-JP"/>
        </w:rPr>
        <w:fldChar w:fldCharType="begin"/>
      </w:r>
      <w:r>
        <w:instrText> REF _Ref39597108 \r \h </w:instrText>
      </w:r>
      <w:r>
        <w:fldChar w:fldCharType="separate"/>
      </w:r>
      <w:r>
        <w:t>[4]</w:t>
      </w:r>
      <w:r>
        <w:fldChar w:fldCharType="end"/>
      </w:r>
      <w:r>
        <w:rPr>
          <w:sz w:val="22"/>
          <w:szCs w:val="22"/>
          <w:lang w:eastAsia="ja-JP"/>
        </w:rPr>
        <w:t>, the standard deviation or the spread of the occurred RLC packet error rates is smaller.</w:t>
      </w:r>
    </w:p>
    <w:p>
      <w:pPr>
        <w:pStyle w:val="Normal"/>
        <w:rPr>
          <w:sz w:val="22"/>
          <w:szCs w:val="22"/>
          <w:lang w:eastAsia="ja-JP"/>
        </w:rPr>
      </w:pPr>
      <w:r>
        <w:rPr>
          <w:sz w:val="22"/>
          <w:szCs w:val="22"/>
          <w:lang w:eastAsia="ja-JP"/>
        </w:rPr>
        <w:t>In case of NLOS, visualized by the red curve, 56.7% of the UEs have an RLC packet error rate smaller or equal than 2%.</w:t>
      </w:r>
    </w:p>
    <w:p>
      <w:pPr>
        <w:pStyle w:val="Normal"/>
        <w:rPr>
          <w:sz w:val="22"/>
          <w:szCs w:val="22"/>
          <w:lang w:eastAsia="ja-JP"/>
        </w:rPr>
      </w:pPr>
      <w:r>
        <w:rPr>
          <w:sz w:val="22"/>
          <w:szCs w:val="22"/>
          <w:lang w:eastAsia="ja-JP"/>
        </w:rPr>
        <w:t>For all cases, the link adaptation algorithm was configured to achieve a target PHY BLER of 1%. This means that most of the UEs should have an RLC packet error rate in the range around 1%. For LOS links this could be achieved quite well. However, for NLOS links this could not be achieved. This means the transmission does not work for NLOS links.</w:t>
      </w:r>
    </w:p>
    <w:p>
      <w:pPr>
        <w:pStyle w:val="Normal"/>
        <w:ind w:left="2160" w:hanging="2160"/>
        <w:rPr/>
      </w:pPr>
      <w:r>
        <w:rPr>
          <w:b/>
          <w:sz w:val="22"/>
          <w:szCs w:val="22"/>
          <w:lang w:eastAsia="ja-JP"/>
        </w:rPr>
        <w:t>Observation 7:</w:t>
      </w:r>
      <w:r>
        <w:rPr>
          <w:sz w:val="22"/>
          <w:szCs w:val="22"/>
          <w:lang w:eastAsia="ja-JP"/>
        </w:rPr>
        <w:tab/>
        <w:t>Considering a GEO Ka-Band scenario with FR3 and 10 UEs per cell and LOS probability according to TR 38.811</w:t>
      </w:r>
      <w:r>
        <w:rPr>
          <w:sz w:val="22"/>
          <w:szCs w:val="22"/>
          <w:lang w:eastAsia="ja-JP"/>
        </w:rPr>
        <w:fldChar w:fldCharType="begin"/>
      </w:r>
      <w:r>
        <w:instrText> REF _Ref39597108 \r \h </w:instrText>
      </w:r>
      <w:r>
        <w:fldChar w:fldCharType="separate"/>
      </w:r>
      <w:r>
        <w:t>[4]</w:t>
      </w:r>
      <w:r>
        <w:fldChar w:fldCharType="end"/>
      </w:r>
      <w:r>
        <w:rPr>
          <w:sz w:val="22"/>
          <w:szCs w:val="22"/>
          <w:lang w:eastAsia="ja-JP"/>
        </w:rPr>
        <w:t>, 94.8% of the UEs have an RLC packet error rate smaller or equal than 2%.</w:t>
      </w:r>
    </w:p>
    <w:p>
      <w:pPr>
        <w:pStyle w:val="Normal"/>
        <w:ind w:left="2160" w:hanging="2160"/>
        <w:rPr>
          <w:sz w:val="22"/>
          <w:szCs w:val="22"/>
          <w:lang w:eastAsia="ja-JP"/>
        </w:rPr>
      </w:pPr>
      <w:r>
        <w:rPr>
          <w:b/>
          <w:sz w:val="22"/>
          <w:szCs w:val="22"/>
          <w:lang w:eastAsia="ja-JP"/>
        </w:rPr>
        <w:t>Observation 8:</w:t>
      </w:r>
      <w:r>
        <w:rPr>
          <w:sz w:val="22"/>
          <w:szCs w:val="22"/>
          <w:lang w:eastAsia="ja-JP"/>
        </w:rPr>
        <w:tab/>
        <w:t>Considering a GEO Ka-Band scenario with FR3 and 10 LOS UEs per cell 99.2% of the UEs have an RLC packet error rate smaller or equal than 2%.</w:t>
      </w:r>
    </w:p>
    <w:p>
      <w:pPr>
        <w:pStyle w:val="Normal"/>
        <w:ind w:left="2160" w:hanging="2160"/>
        <w:rPr>
          <w:sz w:val="22"/>
          <w:szCs w:val="22"/>
          <w:lang w:eastAsia="ja-JP"/>
        </w:rPr>
      </w:pPr>
      <w:r>
        <w:rPr>
          <w:b/>
          <w:sz w:val="22"/>
          <w:szCs w:val="22"/>
          <w:lang w:eastAsia="ja-JP"/>
        </w:rPr>
        <w:t>Observation 9:</w:t>
      </w:r>
      <w:r>
        <w:rPr>
          <w:sz w:val="22"/>
          <w:szCs w:val="22"/>
          <w:lang w:eastAsia="ja-JP"/>
        </w:rPr>
        <w:tab/>
        <w:t>Considering a GEO Ka-Band scenario with FR3 and 10 NLOS UEs per cell, 56.7% of the UEs have an RLC packet error rate smaller or equal than 2%.</w:t>
      </w:r>
    </w:p>
    <w:p>
      <w:pPr>
        <w:pStyle w:val="Normal"/>
        <w:rPr>
          <w:sz w:val="22"/>
          <w:szCs w:val="22"/>
          <w:lang w:eastAsia="ja-JP"/>
        </w:rPr>
      </w:pPr>
      <w:r>
        <w:rPr>
          <w:sz w:val="22"/>
          <w:szCs w:val="22"/>
          <w:lang w:eastAsia="ja-JP"/>
        </w:rPr>
      </w:r>
    </w:p>
    <w:p>
      <w:pPr>
        <w:pStyle w:val="Caption1"/>
        <w:keepNext/>
        <w:jc w:val="center"/>
        <w:rPr/>
      </w:pPr>
      <w:bookmarkStart w:id="9" w:name="_Ref53409598"/>
      <w:bookmarkStart w:id="10" w:name="_Ref53409603"/>
      <w:r>
        <w:rPr/>
        <w:t xml:space="preserve">Figure </w:t>
      </w:r>
      <w:r>
        <w:rPr/>
        <w:fldChar w:fldCharType="begin"/>
      </w:r>
      <w:r>
        <w:instrText> SEQ Figure \* ARABIC </w:instrText>
      </w:r>
      <w:r>
        <w:fldChar w:fldCharType="separate"/>
      </w:r>
      <w:r>
        <w:t>2</w:t>
      </w:r>
      <w:r>
        <w:fldChar w:fldCharType="end"/>
      </w:r>
      <w:bookmarkEnd w:id="9"/>
      <w:bookmarkEnd w:id="10"/>
      <w:r>
        <w:rPr/>
        <w:t xml:space="preserve"> DL User TP for various propagation conditions</w:t>
      </w:r>
    </w:p>
    <w:p>
      <w:pPr>
        <w:pStyle w:val="Normal"/>
        <w:keepNext/>
        <w:jc w:val="center"/>
        <w:rPr/>
      </w:pPr>
      <w:r>
        <w:rPr/>
        <w:drawing>
          <wp:inline distT="0" distB="0" distL="0" distR="0">
            <wp:extent cx="5087620" cy="3815715"/>
            <wp:effectExtent l="0" t="0" r="0" b="0"/>
            <wp:docPr id="4" name="Grafik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6" descr=""/>
                    <pic:cNvPicPr>
                      <a:picLocks noChangeAspect="1" noChangeArrowheads="1"/>
                    </pic:cNvPicPr>
                  </pic:nvPicPr>
                  <pic:blipFill>
                    <a:blip r:embed="rId3"/>
                    <a:stretch>
                      <a:fillRect/>
                    </a:stretch>
                  </pic:blipFill>
                  <pic:spPr bwMode="auto">
                    <a:xfrm>
                      <a:off x="0" y="0"/>
                      <a:ext cx="5087620" cy="3815715"/>
                    </a:xfrm>
                    <a:prstGeom prst="rect">
                      <a:avLst/>
                    </a:prstGeom>
                  </pic:spPr>
                </pic:pic>
              </a:graphicData>
            </a:graphic>
          </wp:inline>
        </w:drawing>
      </w:r>
    </w:p>
    <w:p>
      <w:pPr>
        <w:pStyle w:val="Caption1"/>
        <w:keepNext/>
        <w:jc w:val="center"/>
        <w:rPr/>
      </w:pPr>
      <w:bookmarkStart w:id="11" w:name="_Ref53409957"/>
      <w:r>
        <w:rPr/>
        <w:t xml:space="preserve">Figure </w:t>
      </w:r>
      <w:r>
        <w:rPr/>
        <w:fldChar w:fldCharType="begin"/>
      </w:r>
      <w:r>
        <w:instrText> SEQ Figure \* ARABIC </w:instrText>
      </w:r>
      <w:r>
        <w:fldChar w:fldCharType="separate"/>
      </w:r>
      <w:r>
        <w:t>3</w:t>
      </w:r>
      <w:r>
        <w:fldChar w:fldCharType="end"/>
      </w:r>
      <w:bookmarkEnd w:id="11"/>
      <w:r>
        <w:rPr/>
        <w:t xml:space="preserve"> DL RLC Error Rate per user for various propagation conditions</w:t>
      </w:r>
    </w:p>
    <w:p>
      <w:pPr>
        <w:pStyle w:val="Normal"/>
        <w:keepNext/>
        <w:jc w:val="center"/>
        <w:rPr/>
      </w:pPr>
      <w:r>
        <w:rPr/>
        <w:drawing>
          <wp:inline distT="0" distB="0" distL="0" distR="0">
            <wp:extent cx="5087620" cy="3815715"/>
            <wp:effectExtent l="0" t="0" r="0" b="0"/>
            <wp:docPr id="5" name="Grafik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
                    <pic:cNvPicPr>
                      <a:picLocks noChangeAspect="1" noChangeArrowheads="1"/>
                    </pic:cNvPicPr>
                  </pic:nvPicPr>
                  <pic:blipFill>
                    <a:blip r:embed="rId4"/>
                    <a:stretch>
                      <a:fillRect/>
                    </a:stretch>
                  </pic:blipFill>
                  <pic:spPr bwMode="auto">
                    <a:xfrm>
                      <a:off x="0" y="0"/>
                      <a:ext cx="5087620" cy="3815715"/>
                    </a:xfrm>
                    <a:prstGeom prst="rect">
                      <a:avLst/>
                    </a:prstGeom>
                  </pic:spPr>
                </pic:pic>
              </a:graphicData>
            </a:graphic>
          </wp:inline>
        </w:drawing>
      </w:r>
    </w:p>
    <w:p>
      <w:pPr>
        <w:pStyle w:val="Normal"/>
        <w:rPr>
          <w:sz w:val="22"/>
          <w:szCs w:val="22"/>
          <w:lang w:eastAsia="ja-JP"/>
        </w:rPr>
      </w:pPr>
      <w:r>
        <w:rPr>
          <w:sz w:val="22"/>
          <w:szCs w:val="22"/>
          <w:lang w:eastAsia="ja-JP"/>
        </w:rPr>
      </w:r>
    </w:p>
    <w:p>
      <w:pPr>
        <w:pStyle w:val="Normal"/>
        <w:rPr/>
      </w:pPr>
      <w:r>
        <w:rPr>
          <w:sz w:val="22"/>
          <w:szCs w:val="22"/>
          <w:lang w:eastAsia="ja-JP"/>
        </w:rPr>
        <w:t xml:space="preserve">Going deeper into the topic of UEs with no TP, we consider the coupling loss and the geometry SINR for DL. While during the calibration phase, only LOS UEs have been considered, see </w:t>
      </w:r>
      <w:r>
        <w:rPr>
          <w:sz w:val="22"/>
          <w:szCs w:val="22"/>
          <w:lang w:eastAsia="ja-JP"/>
        </w:rPr>
        <w:fldChar w:fldCharType="begin"/>
      </w:r>
      <w:r>
        <w:instrText> REF _Ref46238315 \r \h </w:instrText>
      </w:r>
      <w:r>
        <w:fldChar w:fldCharType="separate"/>
      </w:r>
      <w:r>
        <w:t>[5]</w:t>
      </w:r>
      <w:r>
        <w:fldChar w:fldCharType="end"/>
      </w:r>
      <w:r>
        <w:rPr>
          <w:sz w:val="22"/>
          <w:szCs w:val="22"/>
          <w:lang w:eastAsia="ja-JP"/>
        </w:rPr>
        <w:t xml:space="preserve">, </w:t>
      </w:r>
      <w:r>
        <w:rPr>
          <w:sz w:val="22"/>
          <w:szCs w:val="22"/>
          <w:lang w:eastAsia="ja-JP"/>
        </w:rPr>
        <w:fldChar w:fldCharType="begin"/>
      </w:r>
      <w:r>
        <w:instrText> REF _Ref39133592 \h </w:instrText>
      </w:r>
      <w:r>
        <w:fldChar w:fldCharType="separate"/>
      </w:r>
      <w:r>
        <w:t>Figure 4</w:t>
      </w:r>
      <w:r>
        <w:fldChar w:fldCharType="end"/>
      </w:r>
      <w:r>
        <w:rPr>
          <w:sz w:val="22"/>
          <w:szCs w:val="22"/>
          <w:lang w:eastAsia="ja-JP"/>
        </w:rPr>
        <w:t xml:space="preserve"> and </w:t>
      </w:r>
      <w:r>
        <w:rPr>
          <w:sz w:val="22"/>
          <w:szCs w:val="22"/>
          <w:lang w:eastAsia="ja-JP"/>
        </w:rPr>
        <w:fldChar w:fldCharType="begin"/>
      </w:r>
      <w:r>
        <w:instrText> REF _Ref39133600 \h </w:instrText>
      </w:r>
      <w:r>
        <w:fldChar w:fldCharType="separate"/>
      </w:r>
      <w:r>
        <w:t>Figure 5</w:t>
      </w:r>
      <w:r>
        <w:fldChar w:fldCharType="end"/>
      </w:r>
      <w:r>
        <w:rPr>
          <w:sz w:val="22"/>
          <w:szCs w:val="22"/>
          <w:lang w:eastAsia="ja-JP"/>
        </w:rPr>
        <w:t xml:space="preserve"> present the coupling loss and the geometry SINR, respectively, for LOS and NLOS UEs separately as well as the combined case applying the LOS probability given in TR 38.811 </w:t>
      </w:r>
      <w:r>
        <w:rPr>
          <w:sz w:val="22"/>
          <w:szCs w:val="22"/>
          <w:lang w:eastAsia="ja-JP"/>
        </w:rPr>
        <w:fldChar w:fldCharType="begin"/>
      </w:r>
      <w:r>
        <w:instrText> REF _Ref39597108 \r \h </w:instrText>
      </w:r>
      <w:r>
        <w:fldChar w:fldCharType="separate"/>
      </w:r>
      <w:r>
        <w:t>[4]</w:t>
      </w:r>
      <w:r>
        <w:fldChar w:fldCharType="end"/>
      </w:r>
      <w:r>
        <w:rPr>
          <w:sz w:val="22"/>
          <w:szCs w:val="22"/>
          <w:lang w:eastAsia="ja-JP"/>
        </w:rPr>
        <w:t>.</w:t>
      </w:r>
    </w:p>
    <w:p>
      <w:pPr>
        <w:pStyle w:val="Normal"/>
        <w:keepNext/>
        <w:jc w:val="center"/>
        <w:rPr/>
      </w:pPr>
      <w:r>
        <w:rPr/>
        <w:drawing>
          <wp:inline distT="0" distB="0" distL="0" distR="0">
            <wp:extent cx="5943600" cy="1704975"/>
            <wp:effectExtent l="0" t="0" r="0" b="0"/>
            <wp:docPr id="6" name="Grafik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4" descr=""/>
                    <pic:cNvPicPr>
                      <a:picLocks noChangeAspect="1" noChangeArrowheads="1"/>
                    </pic:cNvPicPr>
                  </pic:nvPicPr>
                  <pic:blipFill>
                    <a:blip r:embed="rId5"/>
                    <a:stretch>
                      <a:fillRect/>
                    </a:stretch>
                  </pic:blipFill>
                  <pic:spPr bwMode="auto">
                    <a:xfrm>
                      <a:off x="0" y="0"/>
                      <a:ext cx="5943600" cy="1704975"/>
                    </a:xfrm>
                    <a:prstGeom prst="rect">
                      <a:avLst/>
                    </a:prstGeom>
                  </pic:spPr>
                </pic:pic>
              </a:graphicData>
            </a:graphic>
          </wp:inline>
        </w:drawing>
        <w:drawing>
          <wp:anchor behindDoc="0" distT="18415" distB="19685" distL="133985" distR="125095" simplePos="0" locked="0" layoutInCell="1" allowOverlap="1" relativeHeight="5">
            <wp:simplePos x="0" y="0"/>
            <wp:positionH relativeFrom="column">
              <wp:posOffset>200025</wp:posOffset>
            </wp:positionH>
            <wp:positionV relativeFrom="paragraph">
              <wp:posOffset>89535</wp:posOffset>
            </wp:positionV>
            <wp:extent cx="1094740" cy="361315"/>
            <wp:effectExtent l="0" t="0" r="0" b="0"/>
            <wp:wrapNone/>
            <wp:docPr id="7" name="Grafik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8" descr=""/>
                    <pic:cNvPicPr>
                      <a:picLocks noChangeAspect="1" noChangeArrowheads="1"/>
                    </pic:cNvPicPr>
                  </pic:nvPicPr>
                  <pic:blipFill>
                    <a:blip r:embed="rId6"/>
                    <a:stretch>
                      <a:fillRect/>
                    </a:stretch>
                  </pic:blipFill>
                  <pic:spPr bwMode="auto">
                    <a:xfrm>
                      <a:off x="0" y="0"/>
                      <a:ext cx="1094740" cy="361315"/>
                    </a:xfrm>
                    <a:prstGeom prst="rect">
                      <a:avLst/>
                    </a:prstGeom>
                    <a:ln w="9525">
                      <a:solidFill>
                        <a:srgbClr val="000000"/>
                      </a:solidFill>
                    </a:ln>
                  </pic:spPr>
                </pic:pic>
              </a:graphicData>
            </a:graphic>
          </wp:anchor>
        </w:drawing>
      </w:r>
    </w:p>
    <w:p>
      <w:pPr>
        <w:pStyle w:val="Caption1"/>
        <w:jc w:val="center"/>
        <w:rPr/>
      </w:pPr>
      <w:bookmarkStart w:id="12" w:name="_Ref39133592"/>
      <w:r>
        <w:rPr/>
        <w:t xml:space="preserve">Figure </w:t>
      </w:r>
      <w:r>
        <w:rPr/>
        <w:fldChar w:fldCharType="begin"/>
      </w:r>
      <w:r>
        <w:instrText> SEQ Figure \* ARABIC </w:instrText>
      </w:r>
      <w:r>
        <w:fldChar w:fldCharType="separate"/>
      </w:r>
      <w:r>
        <w:t>4</w:t>
      </w:r>
      <w:r>
        <w:fldChar w:fldCharType="end"/>
      </w:r>
      <w:bookmarkEnd w:id="12"/>
      <w:r>
        <w:rPr/>
        <w:t xml:space="preserve"> DL Coupling Loss</w:t>
      </w:r>
    </w:p>
    <w:p>
      <w:pPr>
        <w:pStyle w:val="Normal"/>
        <w:rPr>
          <w:sz w:val="22"/>
          <w:szCs w:val="22"/>
          <w:highlight w:val="yellow"/>
          <w:lang w:eastAsia="ja-JP"/>
        </w:rPr>
      </w:pPr>
      <w:r>
        <w:rPr>
          <w:sz w:val="22"/>
          <w:szCs w:val="22"/>
          <w:highlight w:val="yellow"/>
          <w:lang w:eastAsia="ja-JP"/>
        </w:rPr>
      </w:r>
    </w:p>
    <w:p>
      <w:pPr>
        <w:pStyle w:val="Normal"/>
        <w:keepNext/>
        <w:jc w:val="center"/>
        <w:rPr/>
      </w:pPr>
      <w:r>
        <w:rPr/>
        <w:drawing>
          <wp:inline distT="0" distB="0" distL="0" distR="0">
            <wp:extent cx="5943600" cy="1762125"/>
            <wp:effectExtent l="0" t="0" r="0" b="0"/>
            <wp:docPr id="8" name="Grafik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2" descr=""/>
                    <pic:cNvPicPr>
                      <a:picLocks noChangeAspect="1" noChangeArrowheads="1"/>
                    </pic:cNvPicPr>
                  </pic:nvPicPr>
                  <pic:blipFill>
                    <a:blip r:embed="rId7"/>
                    <a:stretch>
                      <a:fillRect/>
                    </a:stretch>
                  </pic:blipFill>
                  <pic:spPr bwMode="auto">
                    <a:xfrm>
                      <a:off x="0" y="0"/>
                      <a:ext cx="5943600" cy="1762125"/>
                    </a:xfrm>
                    <a:prstGeom prst="rect">
                      <a:avLst/>
                    </a:prstGeom>
                  </pic:spPr>
                </pic:pic>
              </a:graphicData>
            </a:graphic>
          </wp:inline>
        </w:drawing>
        <w:drawing>
          <wp:anchor behindDoc="0" distT="18415" distB="19685" distL="133985" distR="125095" simplePos="0" locked="0" layoutInCell="1" allowOverlap="1" relativeHeight="4">
            <wp:simplePos x="0" y="0"/>
            <wp:positionH relativeFrom="column">
              <wp:posOffset>219075</wp:posOffset>
            </wp:positionH>
            <wp:positionV relativeFrom="paragraph">
              <wp:posOffset>63500</wp:posOffset>
            </wp:positionV>
            <wp:extent cx="1094740" cy="361315"/>
            <wp:effectExtent l="0" t="0" r="0" b="0"/>
            <wp:wrapNone/>
            <wp:docPr id="9" name="Grafik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7" descr=""/>
                    <pic:cNvPicPr>
                      <a:picLocks noChangeAspect="1" noChangeArrowheads="1"/>
                    </pic:cNvPicPr>
                  </pic:nvPicPr>
                  <pic:blipFill>
                    <a:blip r:embed="rId8"/>
                    <a:stretch>
                      <a:fillRect/>
                    </a:stretch>
                  </pic:blipFill>
                  <pic:spPr bwMode="auto">
                    <a:xfrm>
                      <a:off x="0" y="0"/>
                      <a:ext cx="1094740" cy="361315"/>
                    </a:xfrm>
                    <a:prstGeom prst="rect">
                      <a:avLst/>
                    </a:prstGeom>
                    <a:ln w="9525">
                      <a:solidFill>
                        <a:srgbClr val="000000"/>
                      </a:solidFill>
                    </a:ln>
                  </pic:spPr>
                </pic:pic>
              </a:graphicData>
            </a:graphic>
          </wp:anchor>
        </w:drawing>
      </w:r>
    </w:p>
    <w:p>
      <w:pPr>
        <w:pStyle w:val="Caption1"/>
        <w:jc w:val="center"/>
        <w:rPr/>
      </w:pPr>
      <w:bookmarkStart w:id="13" w:name="_Ref39133600"/>
      <w:r>
        <w:rPr/>
        <w:t xml:space="preserve">Figure </w:t>
      </w:r>
      <w:r>
        <w:rPr/>
        <w:fldChar w:fldCharType="begin"/>
      </w:r>
      <w:r>
        <w:instrText> SEQ Figure \* ARABIC </w:instrText>
      </w:r>
      <w:r>
        <w:fldChar w:fldCharType="separate"/>
      </w:r>
      <w:r>
        <w:t>5</w:t>
      </w:r>
      <w:r>
        <w:fldChar w:fldCharType="end"/>
      </w:r>
      <w:bookmarkEnd w:id="13"/>
      <w:r>
        <w:rPr/>
        <w:t xml:space="preserve"> DL Geometry SINR</w:t>
      </w:r>
    </w:p>
    <w:p>
      <w:pPr>
        <w:pStyle w:val="Normal"/>
        <w:rPr/>
      </w:pPr>
      <w:r>
        <w:rPr>
          <w:sz w:val="22"/>
          <w:szCs w:val="22"/>
          <w:lang w:eastAsia="ja-JP"/>
        </w:rPr>
        <w:t>Following observations can be made:</w:t>
      </w:r>
    </w:p>
    <w:p>
      <w:pPr>
        <w:pStyle w:val="Normal"/>
        <w:ind w:left="2160" w:hanging="2160"/>
        <w:rPr/>
      </w:pPr>
      <w:r>
        <w:rPr>
          <w:b/>
          <w:sz w:val="22"/>
          <w:szCs w:val="22"/>
          <w:lang w:eastAsia="ja-JP"/>
        </w:rPr>
        <w:t>Observation 10:</w:t>
      </w:r>
      <w:r>
        <w:rPr>
          <w:sz w:val="22"/>
          <w:szCs w:val="22"/>
          <w:lang w:eastAsia="ja-JP"/>
        </w:rPr>
        <w:tab/>
        <w:t xml:space="preserve">Considering a GEO Ka-Band scenario with FR3, the coupling loss for NLOS UEs is in most of the cases significantly </w:t>
      </w:r>
      <w:r>
        <w:rPr>
          <w:sz w:val="22"/>
          <w:szCs w:val="22"/>
          <w:lang w:val="en" w:eastAsia="ja-JP"/>
        </w:rPr>
        <w:t xml:space="preserve">larger </w:t>
      </w:r>
      <w:r>
        <w:rPr>
          <w:sz w:val="22"/>
          <w:szCs w:val="22"/>
          <w:lang w:eastAsia="ja-JP"/>
        </w:rPr>
        <w:t xml:space="preserve">than the coupling loss for LOS UEs (99% of LOS UEs have coupling loss smaller or equal 120dB, while only 13% of NLOS UEs have coupling loss smaller or equal 120dB). </w:t>
      </w:r>
    </w:p>
    <w:p>
      <w:pPr>
        <w:pStyle w:val="Normal"/>
        <w:ind w:left="2160" w:hanging="2160"/>
        <w:rPr>
          <w:sz w:val="22"/>
          <w:szCs w:val="22"/>
          <w:lang w:eastAsia="ja-JP"/>
        </w:rPr>
      </w:pPr>
      <w:r>
        <w:rPr>
          <w:b/>
          <w:sz w:val="22"/>
          <w:szCs w:val="22"/>
          <w:lang w:eastAsia="ja-JP"/>
        </w:rPr>
        <w:t>Observation 11:</w:t>
      </w:r>
      <w:r>
        <w:rPr/>
        <w:tab/>
      </w:r>
      <w:r>
        <w:rPr>
          <w:sz w:val="22"/>
          <w:szCs w:val="22"/>
          <w:lang w:eastAsia="ja-JP"/>
        </w:rPr>
        <w:t>Considering a GEO Ka-Band scenario with FR3, the geometry SINR for NLOS UEs is in 50% lower than -6.5dB which was the minimum threshold to schedule a UE with lowest MCS in the performed SLS. LOS UEs show all geometry SINR larger than 1.5dB.</w:t>
      </w:r>
    </w:p>
    <w:p>
      <w:pPr>
        <w:pStyle w:val="Normal"/>
        <w:rPr>
          <w:sz w:val="22"/>
          <w:szCs w:val="22"/>
          <w:lang w:eastAsia="ja-JP"/>
        </w:rPr>
      </w:pPr>
      <w:r>
        <w:rPr>
          <w:sz w:val="22"/>
          <w:szCs w:val="22"/>
          <w:lang w:eastAsia="ja-JP"/>
        </w:rPr>
        <w:t xml:space="preserve">As discussed above 88% of the UEs in the system do not receive any packet successfully in the NLOS case. This does not really come to a surprise and it is the reason why typical GEO terminals are generally limited to LOS use cases. These are for instance terminals positioned on ships </w:t>
      </w:r>
      <w:r>
        <w:rPr>
          <w:sz w:val="22"/>
          <w:szCs w:val="22"/>
          <w:lang w:val="en" w:eastAsia="ja-JP"/>
        </w:rPr>
        <w:t xml:space="preserve">cruising </w:t>
      </w:r>
      <w:r>
        <w:rPr>
          <w:sz w:val="22"/>
          <w:szCs w:val="22"/>
          <w:lang w:eastAsia="ja-JP"/>
        </w:rPr>
        <w:t xml:space="preserve">in the sea or terminals on airplanes or well positioned onshore UEs. </w:t>
      </w:r>
    </w:p>
    <w:p>
      <w:pPr>
        <w:pStyle w:val="Normal"/>
        <w:rPr>
          <w:sz w:val="22"/>
          <w:szCs w:val="22"/>
          <w:lang w:eastAsia="ja-JP"/>
        </w:rPr>
      </w:pPr>
      <w:r>
        <w:rPr>
          <w:sz w:val="22"/>
          <w:szCs w:val="22"/>
          <w:lang w:eastAsia="ja-JP"/>
        </w:rPr>
        <w:t xml:space="preserve">The interpretation of the simulation results for a mixed LOS/NLOS channel model in GEO is quite difficult since the performance, or rather lack of performance, is dominated by the NLOS UEs having no means to have any successful transmission/reception of packets. Therefore, our target should rather be to optimize transmission/reception for LOS UEs, which is feasible, and this should be reflected in our simulation assumptions. </w:t>
      </w:r>
    </w:p>
    <w:p>
      <w:pPr>
        <w:pStyle w:val="Normal"/>
        <w:rPr/>
      </w:pPr>
      <w:r>
        <w:rPr>
          <w:sz w:val="22"/>
          <w:szCs w:val="22"/>
          <w:lang w:eastAsia="ja-JP"/>
        </w:rPr>
        <w:t xml:space="preserve">In summary, considering simulation results, our analysis and practical GEO use cases / terminal implementations, we suggest: </w:t>
      </w:r>
    </w:p>
    <w:p>
      <w:pPr>
        <w:pStyle w:val="Normal"/>
        <w:ind w:left="1440" w:hanging="1440"/>
        <w:rPr/>
      </w:pPr>
      <w:r>
        <w:rPr>
          <w:b/>
          <w:sz w:val="22"/>
          <w:szCs w:val="22"/>
          <w:lang w:eastAsia="ja-JP"/>
        </w:rPr>
        <w:t xml:space="preserve">Proposal 3: </w:t>
      </w:r>
      <w:r>
        <w:rPr>
          <w:sz w:val="22"/>
          <w:szCs w:val="22"/>
          <w:lang w:eastAsia="ja-JP"/>
        </w:rPr>
        <w:tab/>
        <w:t>For GEO scenarios change the channel model to a LOS only channel model meaning instead of Table 6.6.1-1 of TR 38.811</w:t>
      </w:r>
      <w:r>
        <w:rPr>
          <w:sz w:val="22"/>
          <w:szCs w:val="22"/>
          <w:lang w:eastAsia="ja-JP"/>
        </w:rPr>
        <w:fldChar w:fldCharType="begin"/>
      </w:r>
      <w:r>
        <w:instrText> REF _Ref39597108 \r \h </w:instrText>
      </w:r>
      <w:r>
        <w:fldChar w:fldCharType="separate"/>
      </w:r>
      <w:r>
        <w:t>[4]</w:t>
      </w:r>
      <w:r>
        <w:fldChar w:fldCharType="end"/>
      </w:r>
      <w:r>
        <w:rPr>
          <w:sz w:val="22"/>
          <w:szCs w:val="22"/>
          <w:lang w:eastAsia="ja-JP"/>
        </w:rPr>
        <w:t xml:space="preserve"> use 100% LOS probability.</w:t>
      </w:r>
    </w:p>
    <w:p>
      <w:pPr>
        <w:pStyle w:val="Normal"/>
        <w:ind w:left="1440" w:hanging="1440"/>
        <w:rPr>
          <w:rFonts w:eastAsia="PMingLiU"/>
          <w:sz w:val="22"/>
          <w:lang w:eastAsia="zh-TW"/>
        </w:rPr>
      </w:pPr>
      <w:r>
        <w:rPr>
          <w:rFonts w:eastAsia="PMingLiU"/>
          <w:sz w:val="22"/>
          <w:lang w:eastAsia="zh-TW"/>
        </w:rPr>
      </w:r>
    </w:p>
    <w:p>
      <w:pPr>
        <w:pStyle w:val="Heading1"/>
        <w:numPr>
          <w:ilvl w:val="0"/>
          <w:numId w:val="2"/>
        </w:numPr>
        <w:tabs>
          <w:tab w:val="left" w:pos="432" w:leader="none"/>
        </w:tabs>
        <w:rPr/>
      </w:pPr>
      <w:r>
        <w:rPr/>
        <w:t>Conclusions</w:t>
      </w:r>
    </w:p>
    <w:p>
      <w:pPr>
        <w:pStyle w:val="Normal"/>
        <w:rPr>
          <w:rFonts w:eastAsia="PMingLiU"/>
          <w:color w:val="00000A"/>
          <w:sz w:val="22"/>
          <w:lang w:eastAsia="zh-TW"/>
        </w:rPr>
      </w:pPr>
      <w:r>
        <w:rPr>
          <w:rFonts w:eastAsia="PMingLiU"/>
          <w:color w:val="00000A"/>
          <w:sz w:val="22"/>
          <w:lang w:eastAsia="zh-TW"/>
        </w:rPr>
        <w:t>In this document the study cases determined for SLS calibration during Study Item phase have been analysed. Furthermore, the propagation condition for GEO scenario have been discussed. The following observations and proposals are made:</w:t>
      </w:r>
    </w:p>
    <w:p>
      <w:pPr>
        <w:pStyle w:val="Normal"/>
        <w:ind w:left="2160" w:hanging="2160"/>
        <w:rPr>
          <w:rFonts w:eastAsia="PMingLiU"/>
          <w:sz w:val="22"/>
          <w:szCs w:val="22"/>
          <w:lang w:eastAsia="zh-TW"/>
        </w:rPr>
      </w:pPr>
      <w:r>
        <w:rPr>
          <w:rFonts w:eastAsia="PMingLiU"/>
          <w:b/>
          <w:sz w:val="22"/>
          <w:szCs w:val="22"/>
          <w:lang w:eastAsia="zh-TW"/>
        </w:rPr>
        <w:t>Observation 1:</w:t>
      </w:r>
      <w:r>
        <w:rPr>
          <w:rFonts w:eastAsia="PMingLiU"/>
          <w:sz w:val="22"/>
          <w:szCs w:val="22"/>
          <w:lang w:eastAsia="zh-TW"/>
        </w:rPr>
        <w:t xml:space="preserve"> </w:t>
        <w:tab/>
        <w:t>Considering a LEO-1200 S-Band scenario, a higher UE throughput can be achieved using a 100% RU instead of a 20% RU.</w:t>
      </w:r>
    </w:p>
    <w:p>
      <w:pPr>
        <w:pStyle w:val="Normal"/>
        <w:ind w:left="2160" w:hanging="2160"/>
        <w:rPr>
          <w:rFonts w:eastAsia="PMingLiU"/>
          <w:sz w:val="22"/>
          <w:szCs w:val="22"/>
          <w:lang w:eastAsia="zh-TW"/>
        </w:rPr>
      </w:pPr>
      <w:r>
        <w:rPr>
          <w:rFonts w:eastAsia="PMingLiU"/>
          <w:b/>
          <w:sz w:val="22"/>
          <w:szCs w:val="22"/>
          <w:lang w:eastAsia="zh-TW"/>
        </w:rPr>
        <w:t>Observation 2:</w:t>
      </w:r>
      <w:r>
        <w:rPr>
          <w:rFonts w:eastAsia="PMingLiU"/>
          <w:sz w:val="22"/>
          <w:szCs w:val="22"/>
          <w:lang w:eastAsia="zh-TW"/>
        </w:rPr>
        <w:t xml:space="preserve"> </w:t>
        <w:tab/>
        <w:t>Considering a LEO-1200 S-Band scenario with 100% RU, the majority of the UEs show a higher throughput for the case with FRF=3 than for the case with FRF=1. Around 17% of the best users have better performance in case of FRF =1.</w:t>
      </w:r>
    </w:p>
    <w:p>
      <w:pPr>
        <w:pStyle w:val="Normal"/>
        <w:ind w:left="2160" w:hanging="2160"/>
        <w:rPr>
          <w:rFonts w:eastAsia="PMingLiU"/>
          <w:sz w:val="22"/>
          <w:szCs w:val="22"/>
          <w:lang w:eastAsia="zh-TW"/>
        </w:rPr>
      </w:pPr>
      <w:r>
        <w:rPr>
          <w:rFonts w:eastAsia="PMingLiU"/>
          <w:b/>
          <w:sz w:val="22"/>
          <w:szCs w:val="22"/>
          <w:lang w:eastAsia="zh-TW"/>
        </w:rPr>
        <w:t>Observation 3:</w:t>
      </w:r>
      <w:r>
        <w:rPr>
          <w:rFonts w:eastAsia="PMingLiU"/>
          <w:sz w:val="22"/>
          <w:szCs w:val="22"/>
          <w:lang w:eastAsia="zh-TW"/>
        </w:rPr>
        <w:tab/>
        <w:t>Considering a LEO-1200 S-Band scenario with 100% RU and a FRF=1, the difference between the worst and best UEs is significant (5%-tile: 0.29Mbit/s and 95%-tile: 1.10Mbit/s, which is a factor of 3.8).</w:t>
      </w:r>
    </w:p>
    <w:p>
      <w:pPr>
        <w:pStyle w:val="Normal"/>
        <w:ind w:left="2160" w:hanging="2160"/>
        <w:rPr/>
      </w:pPr>
      <w:r>
        <w:rPr>
          <w:b/>
          <w:sz w:val="22"/>
          <w:szCs w:val="22"/>
          <w:lang w:eastAsia="ja-JP"/>
        </w:rPr>
        <w:t>Observation 4:</w:t>
      </w:r>
      <w:r>
        <w:rPr>
          <w:sz w:val="22"/>
          <w:szCs w:val="22"/>
          <w:lang w:eastAsia="ja-JP"/>
        </w:rPr>
        <w:tab/>
        <w:t>Considering a GEO Ka-Band scenario with FR3 and 10 LOS UEs per cell, the minimum TP per UE is 4.2Mbit/s.</w:t>
      </w:r>
    </w:p>
    <w:p>
      <w:pPr>
        <w:pStyle w:val="Normal"/>
        <w:ind w:left="2160" w:hanging="2160"/>
        <w:rPr/>
      </w:pPr>
      <w:r>
        <w:rPr>
          <w:b/>
          <w:sz w:val="22"/>
          <w:szCs w:val="22"/>
          <w:lang w:eastAsia="ja-JP"/>
        </w:rPr>
        <w:t>Observation 5:</w:t>
      </w:r>
      <w:r>
        <w:rPr>
          <w:sz w:val="22"/>
          <w:szCs w:val="22"/>
          <w:lang w:eastAsia="ja-JP"/>
        </w:rPr>
        <w:tab/>
        <w:t>Considering a GEO Ka-Band scenario with FR3 and 10 NLOS UEs per cell, 88% of the UEs have a TP of 0bit/s.</w:t>
      </w:r>
    </w:p>
    <w:p>
      <w:pPr>
        <w:pStyle w:val="Normal"/>
        <w:ind w:left="2160" w:hanging="2160"/>
        <w:rPr/>
      </w:pPr>
      <w:r>
        <w:rPr>
          <w:b/>
          <w:sz w:val="22"/>
          <w:szCs w:val="22"/>
          <w:lang w:eastAsia="ja-JP"/>
        </w:rPr>
        <w:t>Observation 6:</w:t>
      </w:r>
      <w:r>
        <w:rPr>
          <w:sz w:val="22"/>
          <w:szCs w:val="22"/>
          <w:lang w:eastAsia="ja-JP"/>
        </w:rPr>
        <w:tab/>
        <w:t>Considering a GEO Ka-Band scenario with FR3 and 10 UEs per cell and LOS probability according to TR 38.811</w:t>
      </w:r>
      <w:r>
        <w:rPr>
          <w:sz w:val="22"/>
          <w:szCs w:val="22"/>
          <w:lang w:eastAsia="ja-JP"/>
        </w:rPr>
        <w:fldChar w:fldCharType="begin"/>
      </w:r>
      <w:r>
        <w:instrText> REF _Ref39597108 \r \h </w:instrText>
      </w:r>
      <w:r>
        <w:fldChar w:fldCharType="separate"/>
      </w:r>
      <w:r>
        <w:t>[4]</w:t>
      </w:r>
      <w:r>
        <w:fldChar w:fldCharType="end"/>
      </w:r>
      <w:r>
        <w:rPr>
          <w:sz w:val="22"/>
          <w:szCs w:val="22"/>
          <w:lang w:eastAsia="ja-JP"/>
        </w:rPr>
        <w:t>, 6% of the UEs have no TP.</w:t>
      </w:r>
    </w:p>
    <w:p>
      <w:pPr>
        <w:pStyle w:val="Normal"/>
        <w:ind w:left="2160" w:hanging="2160"/>
        <w:rPr/>
      </w:pPr>
      <w:r>
        <w:rPr>
          <w:b/>
          <w:sz w:val="22"/>
          <w:szCs w:val="22"/>
          <w:lang w:eastAsia="ja-JP"/>
        </w:rPr>
        <w:t>Observation 7:</w:t>
      </w:r>
      <w:r>
        <w:rPr>
          <w:sz w:val="22"/>
          <w:szCs w:val="22"/>
          <w:lang w:eastAsia="ja-JP"/>
        </w:rPr>
        <w:tab/>
        <w:t>Considering a GEO Ka-Band scenario with FR3 and 10 UEs per cell and LOS probability according to TR 38.811</w:t>
      </w:r>
      <w:r>
        <w:rPr>
          <w:sz w:val="22"/>
          <w:szCs w:val="22"/>
          <w:lang w:eastAsia="ja-JP"/>
        </w:rPr>
        <w:fldChar w:fldCharType="begin"/>
      </w:r>
      <w:r>
        <w:instrText> REF _Ref39597108 \r \h </w:instrText>
      </w:r>
      <w:r>
        <w:fldChar w:fldCharType="separate"/>
      </w:r>
      <w:r>
        <w:t>[4]</w:t>
      </w:r>
      <w:r>
        <w:fldChar w:fldCharType="end"/>
      </w:r>
      <w:r>
        <w:rPr>
          <w:sz w:val="22"/>
          <w:szCs w:val="22"/>
          <w:lang w:eastAsia="ja-JP"/>
        </w:rPr>
        <w:t>, 94.8% of the UEs have an RLC packet error rate smaller or equal than 2%.</w:t>
      </w:r>
    </w:p>
    <w:p>
      <w:pPr>
        <w:pStyle w:val="Normal"/>
        <w:ind w:left="2160" w:hanging="2160"/>
        <w:rPr>
          <w:sz w:val="22"/>
          <w:szCs w:val="22"/>
          <w:lang w:eastAsia="ja-JP"/>
        </w:rPr>
      </w:pPr>
      <w:r>
        <w:rPr>
          <w:b/>
          <w:sz w:val="22"/>
          <w:szCs w:val="22"/>
          <w:lang w:eastAsia="ja-JP"/>
        </w:rPr>
        <w:t>Observation 8:</w:t>
      </w:r>
      <w:r>
        <w:rPr>
          <w:sz w:val="22"/>
          <w:szCs w:val="22"/>
          <w:lang w:eastAsia="ja-JP"/>
        </w:rPr>
        <w:tab/>
        <w:t>Considering a GEO Ka-Band scenario with FR3 and 10 LOS UEs per cell 99.2% of the UEs have an RLC packet error rate smaller or equal than 2%.</w:t>
      </w:r>
    </w:p>
    <w:p>
      <w:pPr>
        <w:pStyle w:val="Normal"/>
        <w:ind w:left="2160" w:hanging="2160"/>
        <w:rPr>
          <w:sz w:val="22"/>
          <w:szCs w:val="22"/>
          <w:lang w:eastAsia="ja-JP"/>
        </w:rPr>
      </w:pPr>
      <w:r>
        <w:rPr>
          <w:b/>
          <w:sz w:val="22"/>
          <w:szCs w:val="22"/>
          <w:lang w:eastAsia="ja-JP"/>
        </w:rPr>
        <w:t>Observation 9:</w:t>
      </w:r>
      <w:r>
        <w:rPr>
          <w:sz w:val="22"/>
          <w:szCs w:val="22"/>
          <w:lang w:eastAsia="ja-JP"/>
        </w:rPr>
        <w:tab/>
        <w:t>Considering a GEO Ka-Band scenario with FR3 and 10 NLOS UEs per cell, 56.7% of the UEs have an RLC packet error rate smaller or equal than 2%.</w:t>
      </w:r>
    </w:p>
    <w:p>
      <w:pPr>
        <w:pStyle w:val="Normal"/>
        <w:ind w:left="2160" w:hanging="2160"/>
        <w:rPr/>
      </w:pPr>
      <w:r>
        <w:rPr>
          <w:b/>
          <w:sz w:val="22"/>
          <w:szCs w:val="22"/>
          <w:lang w:eastAsia="ja-JP"/>
        </w:rPr>
        <w:t>Observation 10:</w:t>
      </w:r>
      <w:r>
        <w:rPr>
          <w:sz w:val="22"/>
          <w:szCs w:val="22"/>
          <w:lang w:eastAsia="ja-JP"/>
        </w:rPr>
        <w:tab/>
        <w:t xml:space="preserve">Considering a GEO Ka-Band scenario with FR3, the coupling loss for NLOS UEs is in most of the cases significantly </w:t>
      </w:r>
      <w:r>
        <w:rPr>
          <w:sz w:val="22"/>
          <w:szCs w:val="22"/>
          <w:lang w:val="en" w:eastAsia="ja-JP"/>
        </w:rPr>
        <w:t xml:space="preserve">larger </w:t>
      </w:r>
      <w:r>
        <w:rPr>
          <w:sz w:val="22"/>
          <w:szCs w:val="22"/>
          <w:lang w:eastAsia="ja-JP"/>
        </w:rPr>
        <w:t xml:space="preserve">than the coupling loss for LOS UEs (99% of LOS UEs have coupling loss smaller or equal 120dB, while only 13% of NLOS UEs have coupling loss smaller or equal 120dB). </w:t>
      </w:r>
    </w:p>
    <w:p>
      <w:pPr>
        <w:pStyle w:val="Normal"/>
        <w:ind w:left="2160" w:hanging="2160"/>
        <w:rPr>
          <w:sz w:val="22"/>
          <w:szCs w:val="22"/>
          <w:lang w:eastAsia="ja-JP"/>
        </w:rPr>
      </w:pPr>
      <w:r>
        <w:rPr>
          <w:b/>
          <w:sz w:val="22"/>
          <w:szCs w:val="22"/>
          <w:lang w:eastAsia="ja-JP"/>
        </w:rPr>
        <w:t>Observation 11:</w:t>
      </w:r>
      <w:r>
        <w:rPr/>
        <w:tab/>
      </w:r>
      <w:r>
        <w:rPr>
          <w:sz w:val="22"/>
          <w:szCs w:val="22"/>
          <w:lang w:eastAsia="ja-JP"/>
        </w:rPr>
        <w:t>Considering a GEO Ka-Band scenario with FR3, the geometry SINR for NLOS UEs is in 50% lower than -6.5dB which was the minimum threshold to schedule a UE with lowest MCS in the performed SLS. LOS UEs show all geometry SINR larger than 1.5dB.</w:t>
      </w:r>
    </w:p>
    <w:p>
      <w:pPr>
        <w:pStyle w:val="Normal"/>
        <w:ind w:left="2160" w:hanging="2160"/>
        <w:rPr>
          <w:sz w:val="22"/>
          <w:szCs w:val="22"/>
          <w:lang w:eastAsia="ja-JP"/>
        </w:rPr>
      </w:pPr>
      <w:r>
        <w:rPr>
          <w:sz w:val="22"/>
          <w:szCs w:val="22"/>
          <w:lang w:eastAsia="ja-JP"/>
        </w:rPr>
      </w:r>
    </w:p>
    <w:p>
      <w:pPr>
        <w:pStyle w:val="Normal"/>
        <w:ind w:left="2160" w:hanging="2160"/>
        <w:rPr>
          <w:rFonts w:eastAsia="PMingLiU"/>
          <w:sz w:val="22"/>
          <w:szCs w:val="22"/>
          <w:lang w:eastAsia="zh-TW"/>
        </w:rPr>
      </w:pPr>
      <w:r>
        <w:rPr>
          <w:rFonts w:eastAsia="PMingLiU"/>
          <w:b/>
          <w:sz w:val="22"/>
          <w:szCs w:val="22"/>
          <w:lang w:eastAsia="zh-TW"/>
        </w:rPr>
        <w:t>Proposal 1:</w:t>
      </w:r>
      <w:r>
        <w:rPr>
          <w:rFonts w:eastAsia="PMingLiU"/>
          <w:sz w:val="22"/>
          <w:szCs w:val="22"/>
          <w:lang w:eastAsia="zh-TW"/>
        </w:rPr>
        <w:t xml:space="preserve"> </w:t>
        <w:tab/>
        <w:t>Consider 100% RU and FRF=3 as prioritized scenario for SLS in this Work Item for LEO-1200 S-band scenario.</w:t>
      </w:r>
    </w:p>
    <w:p>
      <w:pPr>
        <w:pStyle w:val="Normal"/>
        <w:ind w:left="2160" w:hanging="2160"/>
        <w:rPr>
          <w:rFonts w:eastAsia="PMingLiU"/>
          <w:sz w:val="22"/>
          <w:szCs w:val="22"/>
          <w:lang w:eastAsia="zh-TW"/>
        </w:rPr>
      </w:pPr>
      <w:r>
        <w:rPr>
          <w:rFonts w:eastAsia="PMingLiU"/>
          <w:b/>
          <w:sz w:val="22"/>
          <w:szCs w:val="22"/>
          <w:lang w:eastAsia="zh-TW"/>
        </w:rPr>
        <w:t>Proposal 2:</w:t>
      </w:r>
      <w:r>
        <w:rPr>
          <w:rFonts w:eastAsia="PMingLiU"/>
          <w:sz w:val="22"/>
          <w:szCs w:val="22"/>
          <w:lang w:eastAsia="zh-TW"/>
        </w:rPr>
        <w:tab/>
        <w:t>Consider following study cases for system level simulations during the Work Item.</w:t>
      </w:r>
    </w:p>
    <w:p>
      <w:pPr>
        <w:pStyle w:val="Normal"/>
        <w:ind w:left="2160" w:hanging="2160"/>
        <w:rPr/>
      </w:pPr>
      <w:r>
        <w:rPr>
          <w:b/>
          <w:sz w:val="22"/>
          <w:szCs w:val="22"/>
          <w:lang w:eastAsia="ja-JP"/>
        </w:rPr>
        <w:t xml:space="preserve">Proposal 3: </w:t>
      </w:r>
      <w:r>
        <w:rPr>
          <w:sz w:val="22"/>
          <w:szCs w:val="22"/>
          <w:lang w:eastAsia="ja-JP"/>
        </w:rPr>
        <w:tab/>
        <w:t>For GEO scenarios change the channel model to a LOS only channel model meaning instead of Table 6.6.1-1 of TR 38.811</w:t>
      </w:r>
      <w:r>
        <w:rPr>
          <w:sz w:val="22"/>
          <w:szCs w:val="22"/>
          <w:lang w:eastAsia="ja-JP"/>
        </w:rPr>
        <w:fldChar w:fldCharType="begin"/>
      </w:r>
      <w:r>
        <w:instrText> REF _Ref39597108 \r \h </w:instrText>
      </w:r>
      <w:r>
        <w:fldChar w:fldCharType="separate"/>
      </w:r>
      <w:r>
        <w:t>[4]</w:t>
      </w:r>
      <w:r>
        <w:fldChar w:fldCharType="end"/>
      </w:r>
      <w:r>
        <w:rPr>
          <w:sz w:val="22"/>
          <w:szCs w:val="22"/>
          <w:lang w:eastAsia="ja-JP"/>
        </w:rPr>
        <w:t xml:space="preserve"> use 100% LOS probability.</w:t>
      </w:r>
    </w:p>
    <w:p>
      <w:pPr>
        <w:pStyle w:val="Normal"/>
        <w:ind w:left="2160" w:hanging="2160"/>
        <w:rPr>
          <w:rFonts w:eastAsia="PMingLiU"/>
          <w:sz w:val="22"/>
          <w:szCs w:val="22"/>
          <w:lang w:eastAsia="zh-TW"/>
        </w:rPr>
      </w:pPr>
      <w:r>
        <w:rPr>
          <w:rFonts w:eastAsia="PMingLiU"/>
          <w:sz w:val="22"/>
          <w:szCs w:val="22"/>
          <w:lang w:eastAsia="zh-TW"/>
        </w:rPr>
      </w:r>
    </w:p>
    <w:p>
      <w:pPr>
        <w:pStyle w:val="Heading1"/>
        <w:numPr>
          <w:ilvl w:val="0"/>
          <w:numId w:val="2"/>
        </w:numPr>
        <w:tabs>
          <w:tab w:val="left" w:pos="432" w:leader="none"/>
        </w:tabs>
        <w:rPr/>
      </w:pPr>
      <w:r>
        <w:rPr/>
        <w:t xml:space="preserve">References </w:t>
      </w:r>
    </w:p>
    <w:p>
      <w:pPr>
        <w:pStyle w:val="Reference"/>
        <w:numPr>
          <w:ilvl w:val="0"/>
          <w:numId w:val="3"/>
        </w:numPr>
        <w:spacing w:before="0" w:after="60"/>
        <w:rPr>
          <w:sz w:val="22"/>
          <w:szCs w:val="22"/>
        </w:rPr>
      </w:pPr>
      <w:bookmarkStart w:id="14" w:name="_Ref32217818"/>
      <w:bookmarkStart w:id="15" w:name="_Ref3992012"/>
      <w:bookmarkStart w:id="16" w:name="_Ref9505553"/>
      <w:bookmarkEnd w:id="14"/>
      <w:bookmarkEnd w:id="15"/>
      <w:bookmarkEnd w:id="16"/>
      <w:r>
        <w:rPr>
          <w:sz w:val="22"/>
          <w:szCs w:val="22"/>
        </w:rPr>
        <w:t>RP-193234, “Solutions for NR to support non-terrestrial networks (NTN)”, Sitges, Spain, 3GPP TSG RAN meeting #86, Thales</w:t>
      </w:r>
    </w:p>
    <w:p>
      <w:pPr>
        <w:pStyle w:val="Reference"/>
        <w:numPr>
          <w:ilvl w:val="0"/>
          <w:numId w:val="3"/>
        </w:numPr>
        <w:spacing w:before="0" w:after="60"/>
        <w:rPr>
          <w:sz w:val="22"/>
          <w:szCs w:val="22"/>
        </w:rPr>
      </w:pPr>
      <w:bookmarkStart w:id="17" w:name="_Ref32236931"/>
      <w:bookmarkStart w:id="18" w:name="_Ref14768342"/>
      <w:bookmarkStart w:id="19" w:name="_Ref20499381"/>
      <w:bookmarkEnd w:id="17"/>
      <w:bookmarkEnd w:id="18"/>
      <w:bookmarkEnd w:id="19"/>
      <w:r>
        <w:rPr>
          <w:sz w:val="22"/>
          <w:szCs w:val="22"/>
        </w:rPr>
        <w:t>3GPP TR 38.821 V16.0.0, “Solutions for NR to support non-terrestrial networks (NTN) (Release 16)”</w:t>
      </w:r>
    </w:p>
    <w:p>
      <w:pPr>
        <w:pStyle w:val="Reference"/>
        <w:numPr>
          <w:ilvl w:val="0"/>
          <w:numId w:val="3"/>
        </w:numPr>
        <w:spacing w:before="0" w:after="60"/>
        <w:rPr>
          <w:sz w:val="22"/>
          <w:szCs w:val="22"/>
        </w:rPr>
      </w:pPr>
      <w:bookmarkStart w:id="20" w:name="_Ref46240492"/>
      <w:bookmarkEnd w:id="20"/>
      <w:r>
        <w:rPr>
          <w:sz w:val="22"/>
          <w:szCs w:val="22"/>
        </w:rPr>
        <w:t>RP-201256, “Solutions for NR to support non-terrestrial networks (NTN)”, e-meeting, 3GPP TSG RAN meeting #88-e, Thales</w:t>
      </w:r>
    </w:p>
    <w:p>
      <w:pPr>
        <w:pStyle w:val="Reference"/>
        <w:numPr>
          <w:ilvl w:val="0"/>
          <w:numId w:val="3"/>
        </w:numPr>
        <w:spacing w:before="0" w:after="60"/>
        <w:rPr>
          <w:sz w:val="22"/>
          <w:szCs w:val="22"/>
        </w:rPr>
      </w:pPr>
      <w:bookmarkStart w:id="21" w:name="_Ref39597108"/>
      <w:r>
        <w:rPr>
          <w:sz w:val="22"/>
          <w:lang w:eastAsia="ja-JP"/>
        </w:rPr>
        <w:t xml:space="preserve">3GPP TR 38.811 V15.3.0, “Study on New Radio (NR) to support non-terrestrial networks </w:t>
      </w:r>
      <w:bookmarkEnd w:id="21"/>
      <w:r>
        <w:rPr>
          <w:sz w:val="22"/>
          <w:szCs w:val="22"/>
        </w:rPr>
        <w:t>(Release 15)”</w:t>
      </w:r>
    </w:p>
    <w:p>
      <w:pPr>
        <w:pStyle w:val="Reference"/>
        <w:numPr>
          <w:ilvl w:val="0"/>
          <w:numId w:val="3"/>
        </w:numPr>
        <w:spacing w:before="0" w:after="60"/>
        <w:rPr/>
      </w:pPr>
      <w:bookmarkStart w:id="22" w:name="_Ref46238315"/>
      <w:bookmarkEnd w:id="22"/>
      <w:r>
        <w:rPr>
          <w:sz w:val="22"/>
          <w:szCs w:val="22"/>
          <w:lang w:eastAsia="ja-JP"/>
        </w:rPr>
        <w:t>R1-1913404, “System Level Calibration Results for NTN on DL transmissions”, Reno, USA, RAN1 #99, Thales</w:t>
      </w:r>
    </w:p>
    <w:sectPr>
      <w:type w:val="nextPage"/>
      <w:pgSz w:w="12240" w:h="15840"/>
      <w:pgMar w:left="1440" w:right="1440" w:header="0" w:top="1440" w:footer="0" w:bottom="1440"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Arial">
    <w:charset w:val="01"/>
    <w:family w:val="swiss"/>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ind w:left="720" w:hanging="36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bullet"/>
      <w:lvlText w:val=""/>
      <w:lvlJc w:val="left"/>
      <w:pPr>
        <w:ind w:left="720" w:hanging="360"/>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80"/>
  <w:defaultTabStop w:val="720"/>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703bf"/>
    <w:pPr>
      <w:widowControl/>
      <w:suppressAutoHyphens w:val="true"/>
      <w:overflowPunct w:val="false"/>
      <w:bidi w:val="0"/>
      <w:spacing w:before="0" w:after="120"/>
      <w:jc w:val="both"/>
      <w:textAlignment w:val="baseline"/>
    </w:pPr>
    <w:rPr>
      <w:rFonts w:ascii="Arial" w:hAnsi="Arial" w:eastAsia="SimSun" w:cs="Arial"/>
      <w:color w:val="00000A"/>
      <w:sz w:val="20"/>
      <w:szCs w:val="20"/>
      <w:lang w:val="en-GB" w:eastAsia="zh-CN" w:bidi="ar-SA"/>
    </w:rPr>
  </w:style>
  <w:style w:type="paragraph" w:styleId="Heading1">
    <w:name w:val="Heading 1"/>
    <w:basedOn w:val="Heading"/>
    <w:link w:val="berschrift1Zchn"/>
    <w:qFormat/>
    <w:rsid w:val="00e703bf"/>
    <w:pPr>
      <w:keepLines/>
      <w:numPr>
        <w:ilvl w:val="0"/>
        <w:numId w:val="1"/>
      </w:numPr>
      <w:pBdr>
        <w:top w:val="single" w:sz="12" w:space="3" w:color="000001"/>
      </w:pBdr>
      <w:tabs>
        <w:tab w:val="left" w:pos="432" w:leader="none"/>
      </w:tabs>
      <w:spacing w:before="240" w:after="180"/>
      <w:jc w:val="left"/>
      <w:outlineLvl w:val="0"/>
      <w:outlineLvl w:val="0"/>
    </w:pPr>
    <w:rPr>
      <w:rFonts w:ascii="Arial" w:hAnsi="Arial" w:eastAsia="SimSun" w:cs="Arial"/>
      <w:sz w:val="36"/>
      <w:szCs w:val="36"/>
    </w:rPr>
  </w:style>
  <w:style w:type="paragraph" w:styleId="Heading2">
    <w:name w:val="Heading 2"/>
    <w:basedOn w:val="Normal"/>
    <w:link w:val="berschrift2Zchn"/>
    <w:uiPriority w:val="9"/>
    <w:unhideWhenUsed/>
    <w:qFormat/>
    <w:rsid w:val="00136b52"/>
    <w:pPr>
      <w:keepNext/>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link w:val="berschrift1"/>
    <w:qFormat/>
    <w:rsid w:val="00e703bf"/>
    <w:rPr>
      <w:rFonts w:ascii="Arial" w:hAnsi="Arial" w:eastAsia="SimSun" w:cs="Arial"/>
      <w:sz w:val="36"/>
      <w:szCs w:val="36"/>
      <w:lang w:val="en-GB" w:eastAsia="zh-CN"/>
    </w:rPr>
  </w:style>
  <w:style w:type="character" w:styleId="DoctitleChar" w:customStyle="1">
    <w:name w:val="Doc-title Char"/>
    <w:qFormat/>
    <w:rsid w:val="00e703bf"/>
    <w:rPr>
      <w:rFonts w:ascii="Arial" w:hAnsi="Arial" w:eastAsia="MS Mincho"/>
      <w:szCs w:val="24"/>
      <w:lang w:val="en-GB" w:eastAsia="en-GB"/>
    </w:rPr>
  </w:style>
  <w:style w:type="character" w:styleId="SprechblasentextZchn" w:customStyle="1">
    <w:name w:val="Sprechblasentext Zchn"/>
    <w:basedOn w:val="DefaultParagraphFont"/>
    <w:link w:val="Sprechblasentext"/>
    <w:uiPriority w:val="99"/>
    <w:semiHidden/>
    <w:qFormat/>
    <w:rsid w:val="00db04a6"/>
    <w:rPr>
      <w:rFonts w:ascii="Tahoma" w:hAnsi="Tahoma" w:eastAsia="SimSun" w:cs="Tahoma"/>
      <w:color w:val="00000A"/>
      <w:sz w:val="16"/>
      <w:szCs w:val="16"/>
      <w:lang w:val="en-GB" w:eastAsia="zh-CN"/>
    </w:rPr>
  </w:style>
  <w:style w:type="character" w:styleId="Berschrift2Zchn" w:customStyle="1">
    <w:name w:val="Überschrift 2 Zchn"/>
    <w:basedOn w:val="DefaultParagraphFont"/>
    <w:link w:val="berschrift2"/>
    <w:uiPriority w:val="9"/>
    <w:qFormat/>
    <w:rsid w:val="00136b52"/>
    <w:rPr>
      <w:rFonts w:ascii="Cambria" w:hAnsi="Cambria" w:eastAsia="" w:cs="" w:asciiTheme="majorHAnsi" w:cstheme="majorBidi" w:eastAsiaTheme="majorEastAsia" w:hAnsiTheme="majorHAnsi"/>
      <w:b/>
      <w:bCs/>
      <w:color w:val="4F81BD" w:themeColor="accent1"/>
      <w:sz w:val="26"/>
      <w:szCs w:val="26"/>
      <w:lang w:val="en-GB" w:eastAsia="zh-CN"/>
    </w:rPr>
  </w:style>
  <w:style w:type="character" w:styleId="THChar" w:customStyle="1">
    <w:name w:val="TH Char"/>
    <w:link w:val="TH"/>
    <w:qFormat/>
    <w:rsid w:val="005c7582"/>
    <w:rPr>
      <w:rFonts w:ascii="Arial" w:hAnsi="Arial" w:eastAsia="Times New Roman" w:cs="Times New Roman"/>
      <w:b/>
      <w:szCs w:val="20"/>
      <w:lang w:val="en-GB"/>
    </w:rPr>
  </w:style>
  <w:style w:type="character" w:styleId="TAHCar" w:customStyle="1">
    <w:name w:val="TAH Car"/>
    <w:link w:val="TAH"/>
    <w:qFormat/>
    <w:locked/>
    <w:rsid w:val="005c7582"/>
    <w:rPr>
      <w:rFonts w:ascii="Arial" w:hAnsi="Arial" w:eastAsia="Times New Roman" w:cs="Times New Roman"/>
      <w:b/>
      <w:sz w:val="18"/>
      <w:szCs w:val="20"/>
      <w:lang w:val="en-GB"/>
    </w:rPr>
  </w:style>
  <w:style w:type="character" w:styleId="TACChar" w:customStyle="1">
    <w:name w:val="TAC Char"/>
    <w:link w:val="TAC"/>
    <w:qFormat/>
    <w:locked/>
    <w:rsid w:val="005c7582"/>
    <w:rPr>
      <w:rFonts w:ascii="Arial" w:hAnsi="Arial" w:eastAsia="Times New Roman" w:cs="Times New Roman"/>
      <w:sz w:val="18"/>
      <w:szCs w:val="20"/>
      <w:lang w:val="en-GB"/>
    </w:rPr>
  </w:style>
  <w:style w:type="character" w:styleId="Annotationreference">
    <w:name w:val="annotation reference"/>
    <w:basedOn w:val="DefaultParagraphFont"/>
    <w:uiPriority w:val="99"/>
    <w:semiHidden/>
    <w:unhideWhenUsed/>
    <w:qFormat/>
    <w:rsid w:val="000112c7"/>
    <w:rPr>
      <w:sz w:val="16"/>
      <w:szCs w:val="16"/>
    </w:rPr>
  </w:style>
  <w:style w:type="character" w:styleId="KommentartextZchn" w:customStyle="1">
    <w:name w:val="Kommentartext Zchn"/>
    <w:basedOn w:val="DefaultParagraphFont"/>
    <w:link w:val="Kommentartext"/>
    <w:uiPriority w:val="99"/>
    <w:semiHidden/>
    <w:qFormat/>
    <w:rsid w:val="000112c7"/>
    <w:rPr>
      <w:rFonts w:ascii="Arial" w:hAnsi="Arial" w:eastAsia="SimSun" w:cs="Arial"/>
      <w:color w:val="00000A"/>
      <w:szCs w:val="20"/>
      <w:lang w:val="en-GB" w:eastAsia="zh-CN"/>
    </w:rPr>
  </w:style>
  <w:style w:type="character" w:styleId="KommentarthemaZchn" w:customStyle="1">
    <w:name w:val="Kommentarthema Zchn"/>
    <w:basedOn w:val="KommentartextZchn"/>
    <w:link w:val="Kommentarthema"/>
    <w:uiPriority w:val="99"/>
    <w:semiHidden/>
    <w:qFormat/>
    <w:rsid w:val="000112c7"/>
    <w:rPr>
      <w:rFonts w:ascii="Arial" w:hAnsi="Arial" w:eastAsia="SimSun" w:cs="Arial"/>
      <w:b/>
      <w:bCs/>
      <w:color w:val="00000A"/>
      <w:szCs w:val="20"/>
      <w:lang w:val="en-GB" w:eastAsia="zh-CN"/>
    </w:rPr>
  </w:style>
  <w:style w:type="character" w:styleId="WW8Num8z0" w:customStyle="1">
    <w:name w:val="WW8Num8z0"/>
    <w:qFormat/>
    <w:rsid w:val="002908d2"/>
    <w:rPr/>
  </w:style>
  <w:style w:type="character" w:styleId="ListLabel1">
    <w:name w:val="ListLabel 1"/>
    <w:qFormat/>
    <w:rPr>
      <w:rFonts w:eastAsia="PMingLiU" w:cs="Arial"/>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eastAsia="PMingLiU" w:cs="Arial"/>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Symbol"/>
    </w:rPr>
  </w:style>
  <w:style w:type="character" w:styleId="ListLabel10">
    <w:name w:val="ListLabel 10"/>
    <w:qFormat/>
    <w:rPr>
      <w:rFonts w:cs="Symbol"/>
    </w:rPr>
  </w:style>
  <w:style w:type="paragraph" w:styleId="Heading" w:customStyle="1">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pPr>
      <w:suppressLineNumbers/>
    </w:pPr>
    <w:rPr>
      <w:rFonts w:cs="FreeSans"/>
    </w:rPr>
  </w:style>
  <w:style w:type="paragraph" w:styleId="Caption1">
    <w:name w:val="caption"/>
    <w:basedOn w:val="Normal"/>
    <w:unhideWhenUsed/>
    <w:qFormat/>
    <w:rsid w:val="005e43be"/>
    <w:pPr>
      <w:spacing w:before="0" w:after="200"/>
    </w:pPr>
    <w:rPr>
      <w:b/>
      <w:bCs/>
      <w:color w:val="4F81BD" w:themeColor="accent1"/>
      <w:sz w:val="18"/>
      <w:szCs w:val="18"/>
    </w:rPr>
  </w:style>
  <w:style w:type="paragraph" w:styleId="3GPPHeader" w:customStyle="1">
    <w:name w:val="3GPP_Header"/>
    <w:basedOn w:val="Normal"/>
    <w:qFormat/>
    <w:rsid w:val="00e703bf"/>
    <w:pPr>
      <w:tabs>
        <w:tab w:val="left" w:pos="1701" w:leader="none"/>
        <w:tab w:val="right" w:pos="9639" w:leader="none"/>
      </w:tabs>
      <w:spacing w:before="0" w:after="240"/>
    </w:pPr>
    <w:rPr>
      <w:b/>
      <w:sz w:val="24"/>
    </w:rPr>
  </w:style>
  <w:style w:type="paragraph" w:styleId="Doctext2" w:customStyle="1">
    <w:name w:val="Doc-text2"/>
    <w:basedOn w:val="Normal"/>
    <w:qFormat/>
    <w:rsid w:val="00e703bf"/>
    <w:pPr>
      <w:tabs>
        <w:tab w:val="left" w:pos="1622" w:leader="none"/>
      </w:tabs>
      <w:overflowPunct w:val="true"/>
      <w:spacing w:before="0" w:after="0"/>
      <w:ind w:left="1622" w:hanging="363"/>
      <w:jc w:val="left"/>
      <w:textAlignment w:val="auto"/>
    </w:pPr>
    <w:rPr>
      <w:rFonts w:eastAsia="MS Mincho"/>
      <w:szCs w:val="24"/>
    </w:rPr>
  </w:style>
  <w:style w:type="paragraph" w:styleId="Doctitle" w:customStyle="1">
    <w:name w:val="Doc-title"/>
    <w:basedOn w:val="Normal"/>
    <w:qFormat/>
    <w:rsid w:val="00e703bf"/>
    <w:pPr>
      <w:suppressAutoHyphens w:val="false"/>
      <w:overflowPunct w:val="true"/>
      <w:spacing w:before="60" w:after="0"/>
      <w:ind w:left="1259" w:hanging="1259"/>
      <w:jc w:val="left"/>
      <w:textAlignment w:val="auto"/>
    </w:pPr>
    <w:rPr>
      <w:rFonts w:eastAsia="MS Mincho" w:cs="" w:cstheme="minorBidi"/>
      <w:sz w:val="22"/>
      <w:szCs w:val="24"/>
      <w:lang w:eastAsia="en-GB"/>
    </w:rPr>
  </w:style>
  <w:style w:type="paragraph" w:styleId="Reference" w:customStyle="1">
    <w:name w:val="Reference"/>
    <w:basedOn w:val="Normal"/>
    <w:qFormat/>
    <w:rsid w:val="00330a56"/>
    <w:pPr>
      <w:tabs>
        <w:tab w:val="left" w:pos="1304" w:leader="none"/>
      </w:tabs>
      <w:ind w:left="1304" w:hanging="1304"/>
    </w:pPr>
    <w:rPr>
      <w:rFonts w:eastAsia="Times New Roman"/>
    </w:rPr>
  </w:style>
  <w:style w:type="paragraph" w:styleId="ListParagraph">
    <w:name w:val="List Paragraph"/>
    <w:basedOn w:val="Normal"/>
    <w:uiPriority w:val="34"/>
    <w:qFormat/>
    <w:rsid w:val="00e36f70"/>
    <w:pPr>
      <w:spacing w:before="0" w:after="120"/>
      <w:ind w:left="720" w:hanging="0"/>
      <w:contextualSpacing/>
    </w:pPr>
    <w:rPr/>
  </w:style>
  <w:style w:type="paragraph" w:styleId="BalloonText">
    <w:name w:val="Balloon Text"/>
    <w:basedOn w:val="Normal"/>
    <w:link w:val="SprechblasentextZchn"/>
    <w:uiPriority w:val="99"/>
    <w:semiHidden/>
    <w:unhideWhenUsed/>
    <w:qFormat/>
    <w:rsid w:val="00db04a6"/>
    <w:pPr>
      <w:spacing w:before="0" w:after="0"/>
    </w:pPr>
    <w:rPr>
      <w:rFonts w:ascii="Tahoma" w:hAnsi="Tahoma" w:cs="Tahoma"/>
      <w:sz w:val="16"/>
      <w:szCs w:val="16"/>
    </w:rPr>
  </w:style>
  <w:style w:type="paragraph" w:styleId="TAH" w:customStyle="1">
    <w:name w:val="TAH"/>
    <w:link w:val="TAHCar"/>
    <w:qFormat/>
    <w:rsid w:val="005c7582"/>
    <w:pPr>
      <w:widowControl w:val="false"/>
      <w:bidi w:val="0"/>
      <w:jc w:val="left"/>
    </w:pPr>
    <w:rPr>
      <w:rFonts w:ascii="Calibri" w:hAnsi="Calibri" w:eastAsia="Calibri" w:cs="" w:asciiTheme="minorHAnsi" w:cstheme="minorBidi" w:eastAsiaTheme="minorHAnsi" w:hAnsiTheme="minorHAnsi"/>
      <w:b/>
      <w:color w:val="00000A"/>
      <w:sz w:val="20"/>
      <w:szCs w:val="22"/>
      <w:lang w:val="en-US" w:eastAsia="en-US" w:bidi="ar-SA"/>
    </w:rPr>
  </w:style>
  <w:style w:type="paragraph" w:styleId="TAC" w:customStyle="1">
    <w:name w:val="TAC"/>
    <w:basedOn w:val="Normal"/>
    <w:link w:val="TACChar"/>
    <w:qFormat/>
    <w:rsid w:val="005c7582"/>
    <w:pPr>
      <w:keepNext/>
      <w:keepLines/>
      <w:suppressAutoHyphens w:val="false"/>
      <w:overflowPunct w:val="true"/>
      <w:spacing w:before="0" w:after="0"/>
      <w:jc w:val="center"/>
      <w:textAlignment w:val="auto"/>
    </w:pPr>
    <w:rPr>
      <w:rFonts w:eastAsia="Times New Roman" w:cs="Times New Roman"/>
      <w:color w:val="00000A"/>
      <w:sz w:val="18"/>
      <w:lang w:eastAsia="en-US"/>
    </w:rPr>
  </w:style>
  <w:style w:type="paragraph" w:styleId="TH" w:customStyle="1">
    <w:name w:val="TH"/>
    <w:basedOn w:val="Normal"/>
    <w:link w:val="THChar"/>
    <w:qFormat/>
    <w:rsid w:val="005c7582"/>
    <w:pPr>
      <w:keepNext/>
      <w:keepLines/>
      <w:suppressAutoHyphens w:val="false"/>
      <w:overflowPunct w:val="true"/>
      <w:spacing w:before="60" w:after="180"/>
      <w:jc w:val="center"/>
      <w:textAlignment w:val="auto"/>
    </w:pPr>
    <w:rPr>
      <w:rFonts w:eastAsia="Times New Roman" w:cs="Times New Roman"/>
      <w:b/>
      <w:color w:val="00000A"/>
      <w:lang w:eastAsia="en-US"/>
    </w:rPr>
  </w:style>
  <w:style w:type="paragraph" w:styleId="TAN" w:customStyle="1">
    <w:name w:val="TAN"/>
    <w:basedOn w:val="Normal"/>
    <w:qFormat/>
    <w:rsid w:val="005c7582"/>
    <w:pPr>
      <w:keepNext/>
      <w:keepLines/>
      <w:suppressAutoHyphens w:val="false"/>
      <w:overflowPunct w:val="true"/>
      <w:spacing w:before="0" w:after="0"/>
      <w:ind w:left="851" w:hanging="851"/>
      <w:jc w:val="left"/>
      <w:textAlignment w:val="auto"/>
    </w:pPr>
    <w:rPr>
      <w:rFonts w:eastAsia="Times New Roman" w:cs="Times New Roman"/>
      <w:color w:val="00000A"/>
      <w:sz w:val="18"/>
      <w:lang w:eastAsia="en-US"/>
    </w:rPr>
  </w:style>
  <w:style w:type="paragraph" w:styleId="Annotationtext">
    <w:name w:val="annotation text"/>
    <w:basedOn w:val="Normal"/>
    <w:link w:val="KommentartextZchn"/>
    <w:uiPriority w:val="99"/>
    <w:semiHidden/>
    <w:unhideWhenUsed/>
    <w:qFormat/>
    <w:rsid w:val="000112c7"/>
    <w:pPr/>
    <w:rPr/>
  </w:style>
  <w:style w:type="paragraph" w:styleId="Annotationsubject">
    <w:name w:val="annotation subject"/>
    <w:basedOn w:val="Annotationtext"/>
    <w:link w:val="KommentarthemaZchn"/>
    <w:uiPriority w:val="99"/>
    <w:semiHidden/>
    <w:unhideWhenUsed/>
    <w:qFormat/>
    <w:rsid w:val="000112c7"/>
    <w:pPr/>
    <w:rPr>
      <w:b/>
      <w:bCs/>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table" w:styleId="Tabellenraster">
    <w:name w:val="Table Grid"/>
    <w:basedOn w:val="NormaleTabelle"/>
    <w:uiPriority w:val="59"/>
    <w:rsid w:val="009b7d0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7C4B7-888E-4241-8DAF-4055FA8B0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LibreOffice/5.1.6.2$Linux_X86_64 LibreOffice_project/10m0$Build-2</Application>
  <Pages>10</Pages>
  <Words>3077</Words>
  <Characters>14715</Characters>
  <CharactersWithSpaces>17312</CharactersWithSpaces>
  <Paragraphs>492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2020-10-12T13:32:00Z</dcterms:created>
  <dc:creator>Christiane Dietrich</dc:creator>
  <dc:description/>
  <dc:language>en-US</dc:language>
  <cp:lastModifiedBy/>
  <dcterms:modified xsi:type="dcterms:W3CDTF">2020-10-21T09:19:09Z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y fmtid="{D5CDD505-2E9C-101B-9397-08002B2CF9AE}" pid="8" name="_DocHome">
    <vt:i4>1385972010</vt:i4>
  </property>
</Properties>
</file>