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2721F92B"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sidRPr="003E7975">
        <w:rPr>
          <w:rFonts w:ascii="Arial" w:hAnsi="Arial" w:cs="Arial"/>
          <w:b/>
          <w:bCs/>
          <w:color w:val="000000" w:themeColor="text1"/>
          <w:sz w:val="28"/>
        </w:rPr>
        <w:t>#</w:t>
      </w:r>
      <w:r w:rsidR="006F0338">
        <w:rPr>
          <w:rFonts w:ascii="Arial" w:hAnsi="Arial" w:cs="Arial" w:hint="eastAsia"/>
          <w:b/>
          <w:bCs/>
          <w:color w:val="000000" w:themeColor="text1"/>
          <w:sz w:val="28"/>
          <w:lang w:eastAsia="zh-CN"/>
        </w:rPr>
        <w:t>103e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Pr>
          <w:rFonts w:ascii="Arial" w:eastAsia="MS Mincho" w:hAnsi="Arial" w:cs="Arial"/>
          <w:b/>
          <w:bCs/>
          <w:sz w:val="28"/>
          <w:lang w:eastAsia="ja-JP"/>
        </w:rPr>
        <w:t>R1-</w:t>
      </w:r>
      <w:r w:rsidR="002348EF" w:rsidRPr="007B4F52">
        <w:rPr>
          <w:rFonts w:ascii="Arial" w:hAnsi="Arial" w:cs="Arial" w:hint="eastAsia"/>
          <w:b/>
          <w:bCs/>
          <w:sz w:val="28"/>
          <w:lang w:eastAsia="zh-CN"/>
        </w:rPr>
        <w:t>20</w:t>
      </w:r>
      <w:r w:rsidR="00867876">
        <w:rPr>
          <w:rFonts w:ascii="Arial" w:hAnsi="Arial" w:cs="Arial"/>
          <w:b/>
          <w:bCs/>
          <w:sz w:val="28"/>
          <w:lang w:eastAsia="zh-CN"/>
        </w:rPr>
        <w:t>8346</w:t>
      </w:r>
    </w:p>
    <w:p w14:paraId="4B25669D" w14:textId="341451A0" w:rsidR="00842220" w:rsidRPr="00FC0A61" w:rsidRDefault="003E797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 xml:space="preserve">E-meeting, </w:t>
      </w:r>
      <w:r w:rsidR="006F0338">
        <w:rPr>
          <w:rFonts w:ascii="Arial" w:hAnsi="Arial" w:cs="Arial"/>
          <w:b/>
          <w:bCs/>
          <w:sz w:val="28"/>
          <w:lang w:eastAsia="zh-CN"/>
        </w:rPr>
        <w:t>Oct.</w:t>
      </w:r>
      <w:r w:rsidR="00A962FC">
        <w:rPr>
          <w:rFonts w:ascii="Arial" w:hAnsi="Arial" w:cs="Arial"/>
          <w:b/>
          <w:bCs/>
          <w:sz w:val="28"/>
          <w:lang w:eastAsia="zh-CN"/>
        </w:rPr>
        <w:t>26</w:t>
      </w:r>
      <w:r w:rsidR="00355543">
        <w:rPr>
          <w:rFonts w:ascii="Arial" w:hAnsi="Arial" w:cs="Arial" w:hint="eastAsia"/>
          <w:b/>
          <w:bCs/>
          <w:sz w:val="28"/>
          <w:vertAlign w:val="superscript"/>
          <w:lang w:eastAsia="zh-CN"/>
        </w:rPr>
        <w:t>th</w:t>
      </w:r>
      <w:r>
        <w:rPr>
          <w:rFonts w:ascii="Arial" w:eastAsia="MS Mincho" w:hAnsi="Arial" w:cs="Arial"/>
          <w:b/>
          <w:bCs/>
          <w:sz w:val="28"/>
          <w:lang w:eastAsia="ja-JP"/>
        </w:rPr>
        <w:t>-</w:t>
      </w:r>
      <w:r w:rsidR="006F0338">
        <w:rPr>
          <w:rFonts w:ascii="Arial" w:eastAsia="MS Mincho" w:hAnsi="Arial" w:cs="Arial"/>
          <w:b/>
          <w:bCs/>
          <w:sz w:val="28"/>
          <w:lang w:eastAsia="ja-JP"/>
        </w:rPr>
        <w:t>Nov.</w:t>
      </w:r>
      <w:r w:rsidR="00F2457C">
        <w:rPr>
          <w:rFonts w:ascii="Arial" w:eastAsia="MS Mincho" w:hAnsi="Arial" w:cs="Arial"/>
          <w:b/>
          <w:bCs/>
          <w:sz w:val="28"/>
          <w:lang w:eastAsia="ja-JP"/>
        </w:rPr>
        <w:t>13</w:t>
      </w:r>
      <w:r w:rsidR="00930442" w:rsidRPr="00930442">
        <w:rPr>
          <w:rFonts w:ascii="Arial" w:eastAsia="MS Mincho" w:hAnsi="Arial" w:cs="Arial"/>
          <w:b/>
          <w:bCs/>
          <w:sz w:val="28"/>
          <w:vertAlign w:val="superscript"/>
          <w:lang w:eastAsia="ja-JP"/>
        </w:rPr>
        <w:t>th</w:t>
      </w:r>
      <w:r w:rsidR="00C1536B">
        <w:rPr>
          <w:rFonts w:ascii="Arial" w:eastAsia="MS Mincho" w:hAnsi="Arial" w:cs="Arial"/>
          <w:b/>
          <w:bCs/>
          <w:sz w:val="28"/>
          <w:lang w:eastAsia="ja-JP"/>
        </w:rPr>
        <w:t>,</w:t>
      </w:r>
      <w:r w:rsidR="00A83958" w:rsidRPr="00A83958">
        <w:rPr>
          <w:rFonts w:ascii="Arial" w:eastAsia="MS Mincho" w:hAnsi="Arial" w:cs="Arial"/>
          <w:b/>
          <w:bCs/>
          <w:sz w:val="28"/>
          <w:lang w:eastAsia="ja-JP"/>
        </w:rPr>
        <w:t xml:space="preserve"> 20</w:t>
      </w:r>
      <w:r w:rsidR="002348EF">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C857B8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348EF">
        <w:rPr>
          <w:b/>
          <w:kern w:val="2"/>
          <w:sz w:val="24"/>
          <w:lang w:eastAsia="zh-CN"/>
        </w:rPr>
        <w:t>1.1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7D8B35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348EF">
        <w:rPr>
          <w:b/>
          <w:kern w:val="2"/>
          <w:sz w:val="24"/>
          <w:lang w:eastAsia="zh-CN"/>
        </w:rPr>
        <w:t>Considerations</w:t>
      </w:r>
      <w:r w:rsidR="00A46A20" w:rsidRPr="00A46A20">
        <w:rPr>
          <w:b/>
          <w:kern w:val="2"/>
          <w:sz w:val="24"/>
          <w:lang w:eastAsia="zh-CN"/>
        </w:rPr>
        <w:t xml:space="preserve"> on </w:t>
      </w:r>
      <w:r w:rsidR="002348EF">
        <w:rPr>
          <w:b/>
          <w:kern w:val="2"/>
          <w:sz w:val="24"/>
          <w:lang w:eastAsia="zh-CN"/>
        </w:rPr>
        <w:t xml:space="preserve">the enhancement of </w:t>
      </w:r>
      <w:r w:rsidR="00A46A20" w:rsidRPr="00A46A20">
        <w:rPr>
          <w:b/>
          <w:kern w:val="2"/>
          <w:sz w:val="24"/>
          <w:lang w:eastAsia="zh-CN"/>
        </w:rPr>
        <w:t>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0EF1D875" w14:textId="65167621" w:rsidR="00A866FC" w:rsidRPr="00AE0D4D" w:rsidRDefault="007529CF" w:rsidP="00AE0D4D">
      <w:pPr>
        <w:spacing w:after="80"/>
        <w:rPr>
          <w:sz w:val="20"/>
          <w:lang w:eastAsia="zh-CN"/>
        </w:rPr>
      </w:pPr>
      <w:r>
        <w:rPr>
          <w:sz w:val="20"/>
          <w:lang w:eastAsia="zh-CN"/>
        </w:rPr>
        <w:t>In</w:t>
      </w:r>
      <w:r w:rsidR="00A866FC" w:rsidRPr="00C43D48">
        <w:rPr>
          <w:rFonts w:hint="eastAsia"/>
          <w:sz w:val="20"/>
          <w:lang w:eastAsia="zh-CN"/>
        </w:rPr>
        <w:t xml:space="preserve"> RANP#8</w:t>
      </w:r>
      <w:r w:rsidR="002348EF">
        <w:rPr>
          <w:sz w:val="20"/>
          <w:lang w:eastAsia="zh-CN"/>
        </w:rPr>
        <w:t>6</w:t>
      </w:r>
      <w:r w:rsidR="00C1407F" w:rsidRPr="00C43D48">
        <w:rPr>
          <w:rFonts w:hint="eastAsia"/>
          <w:sz w:val="20"/>
          <w:lang w:eastAsia="zh-CN"/>
        </w:rPr>
        <w:t xml:space="preserve"> meeting, </w:t>
      </w:r>
      <w:r w:rsidR="00C06436" w:rsidRPr="00C43D48">
        <w:rPr>
          <w:sz w:val="20"/>
          <w:lang w:eastAsia="zh-CN"/>
        </w:rPr>
        <w:t xml:space="preserve">the WID on </w:t>
      </w:r>
      <w:r w:rsidR="00B43C69">
        <w:rPr>
          <w:sz w:val="20"/>
          <w:lang w:eastAsia="zh-CN"/>
        </w:rPr>
        <w:t>multi</w:t>
      </w:r>
      <w:r w:rsidR="0080763B">
        <w:rPr>
          <w:sz w:val="20"/>
          <w:lang w:eastAsia="zh-CN"/>
        </w:rPr>
        <w:t xml:space="preserve">-beam </w:t>
      </w:r>
      <w:r w:rsidR="003D087B" w:rsidRPr="00C43D48">
        <w:rPr>
          <w:sz w:val="20"/>
          <w:lang w:eastAsia="zh-CN"/>
        </w:rPr>
        <w:t xml:space="preserve">enhancement </w:t>
      </w:r>
      <w:r w:rsidR="00AB40FD">
        <w:rPr>
          <w:sz w:val="20"/>
          <w:lang w:eastAsia="zh-CN"/>
        </w:rPr>
        <w:t>of</w:t>
      </w:r>
      <w:r w:rsidR="003D087B" w:rsidRPr="00C43D48">
        <w:rPr>
          <w:sz w:val="20"/>
          <w:lang w:eastAsia="zh-CN"/>
        </w:rPr>
        <w:t xml:space="preserve"> Rel.1</w:t>
      </w:r>
      <w:r w:rsidR="002348EF">
        <w:rPr>
          <w:sz w:val="20"/>
          <w:lang w:eastAsia="zh-CN"/>
        </w:rPr>
        <w:t>7</w:t>
      </w:r>
      <w:r w:rsidR="003D087B" w:rsidRPr="00C43D48">
        <w:rPr>
          <w:sz w:val="20"/>
          <w:lang w:eastAsia="zh-CN"/>
        </w:rPr>
        <w:t xml:space="preserve"> was</w:t>
      </w:r>
      <w:r w:rsidR="00C06436" w:rsidRPr="00C43D48">
        <w:rPr>
          <w:sz w:val="20"/>
          <w:lang w:eastAsia="zh-CN"/>
        </w:rPr>
        <w:t xml:space="preserve"> </w:t>
      </w:r>
      <w:r w:rsidR="002348EF">
        <w:rPr>
          <w:sz w:val="20"/>
          <w:lang w:eastAsia="zh-CN"/>
        </w:rPr>
        <w:t xml:space="preserve">established </w:t>
      </w:r>
      <w:r w:rsidR="003D087B" w:rsidRPr="00C43D48">
        <w:rPr>
          <w:sz w:val="20"/>
          <w:lang w:eastAsia="zh-CN"/>
        </w:rPr>
        <w:t xml:space="preserve">as </w:t>
      </w:r>
      <w:r>
        <w:rPr>
          <w:sz w:val="20"/>
          <w:lang w:eastAsia="zh-CN"/>
        </w:rPr>
        <w:t>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E0D4D" w:rsidRPr="00797A8E" w14:paraId="36CC3C6B" w14:textId="77777777" w:rsidTr="006851ED">
        <w:trPr>
          <w:trHeight w:val="1602"/>
        </w:trPr>
        <w:tc>
          <w:tcPr>
            <w:tcW w:w="9259" w:type="dxa"/>
          </w:tcPr>
          <w:p w14:paraId="51027D76" w14:textId="77777777" w:rsidR="002348EF" w:rsidRPr="002348EF" w:rsidRDefault="002348EF" w:rsidP="00135C7A">
            <w:pPr>
              <w:numPr>
                <w:ilvl w:val="0"/>
                <w:numId w:val="8"/>
              </w:numPr>
              <w:autoSpaceDE/>
              <w:autoSpaceDN/>
              <w:adjustRightInd/>
              <w:snapToGrid/>
              <w:spacing w:before="80" w:after="0"/>
              <w:ind w:left="714" w:hanging="357"/>
              <w:jc w:val="left"/>
              <w:rPr>
                <w:rFonts w:eastAsia="MS Gothic"/>
                <w:sz w:val="20"/>
                <w:szCs w:val="24"/>
                <w:lang w:val="x-none"/>
              </w:rPr>
            </w:pPr>
            <w:r w:rsidRPr="002348EF">
              <w:rPr>
                <w:rFonts w:eastAsia="MS Gothic"/>
                <w:sz w:val="20"/>
                <w:szCs w:val="24"/>
                <w:lang w:val="x-none"/>
              </w:rPr>
              <w:t xml:space="preserve">Enhancement on multi-beam operation, mainly targeting FR2 while also applicable to FR1: </w:t>
            </w:r>
          </w:p>
          <w:p w14:paraId="67940B7B" w14:textId="77777777" w:rsidR="002348EF" w:rsidRPr="002348EF" w:rsidRDefault="002348EF" w:rsidP="00135C7A">
            <w:pPr>
              <w:numPr>
                <w:ilvl w:val="1"/>
                <w:numId w:val="8"/>
              </w:numPr>
              <w:autoSpaceDE/>
              <w:autoSpaceDN/>
              <w:adjustRightInd/>
              <w:snapToGrid/>
              <w:spacing w:after="0"/>
              <w:ind w:left="1440"/>
              <w:jc w:val="left"/>
              <w:rPr>
                <w:rFonts w:eastAsia="MS Gothic"/>
                <w:sz w:val="20"/>
                <w:szCs w:val="24"/>
                <w:lang w:val="x-none"/>
              </w:rPr>
            </w:pPr>
            <w:r w:rsidRPr="002348EF">
              <w:rPr>
                <w:rFonts w:eastAsia="MS Gothic"/>
                <w:sz w:val="20"/>
                <w:szCs w:val="24"/>
                <w:lang w:val="x-none"/>
              </w:rPr>
              <w:t>Identify and specify features to facilitate more efficient (lower latency and overhead) DL/UL beam management to support higher intra- and L1/L2-centric inter-cell mobility and/or a larger number of configured TCI states:</w:t>
            </w:r>
          </w:p>
          <w:p w14:paraId="358951F0"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Common beam for data and control transmission/reception for DL and UL, especially for intra-band CA</w:t>
            </w:r>
          </w:p>
          <w:p w14:paraId="70193F5F"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Unified TCI framework for DL and UL beam indication</w:t>
            </w:r>
          </w:p>
          <w:p w14:paraId="13A121E4" w14:textId="77777777" w:rsidR="002348EF" w:rsidRPr="002348EF" w:rsidRDefault="002348EF" w:rsidP="00135C7A">
            <w:pPr>
              <w:numPr>
                <w:ilvl w:val="2"/>
                <w:numId w:val="8"/>
              </w:numPr>
              <w:autoSpaceDE/>
              <w:autoSpaceDN/>
              <w:adjustRightInd/>
              <w:snapToGrid/>
              <w:spacing w:after="0"/>
              <w:ind w:left="2160"/>
              <w:jc w:val="left"/>
              <w:rPr>
                <w:rFonts w:eastAsia="MS Gothic"/>
                <w:sz w:val="20"/>
                <w:szCs w:val="24"/>
                <w:lang w:val="x-none"/>
              </w:rPr>
            </w:pPr>
            <w:r w:rsidRPr="002348EF">
              <w:rPr>
                <w:rFonts w:eastAsia="MS Gothic"/>
                <w:sz w:val="20"/>
                <w:szCs w:val="24"/>
                <w:lang w:val="x-none"/>
              </w:rPr>
              <w:t>Enhancement on signaling mechanisms for the above features to improve latency and efficiency with more usage of dynamic control signaling (as opposed to RRC)</w:t>
            </w:r>
          </w:p>
          <w:p w14:paraId="4FBD9364" w14:textId="2C08E5BA" w:rsidR="002348EF" w:rsidRPr="002348EF" w:rsidRDefault="002348EF" w:rsidP="00135C7A">
            <w:pPr>
              <w:numPr>
                <w:ilvl w:val="1"/>
                <w:numId w:val="8"/>
              </w:numPr>
              <w:autoSpaceDE/>
              <w:autoSpaceDN/>
              <w:adjustRightInd/>
              <w:snapToGrid/>
              <w:ind w:left="1434" w:hanging="357"/>
              <w:jc w:val="left"/>
              <w:rPr>
                <w:rFonts w:eastAsia="MS Gothic"/>
                <w:sz w:val="20"/>
                <w:szCs w:val="24"/>
                <w:lang w:val="x-none"/>
              </w:rPr>
            </w:pPr>
            <w:r w:rsidRPr="002348EF">
              <w:rPr>
                <w:rFonts w:eastAsia="MS Gothic"/>
                <w:sz w:val="20"/>
                <w:szCs w:val="24"/>
                <w:lang w:val="x-none"/>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23FEBDE8" w14:textId="31B3BD6E" w:rsidR="004C12F6" w:rsidRPr="00C43D48" w:rsidRDefault="0080648E" w:rsidP="00AE0D4D">
      <w:pPr>
        <w:spacing w:before="80" w:after="80"/>
        <w:rPr>
          <w:sz w:val="20"/>
          <w:lang w:eastAsia="zh-CN"/>
        </w:rPr>
      </w:pPr>
      <w:r>
        <w:rPr>
          <w:sz w:val="20"/>
          <w:lang w:eastAsia="zh-CN"/>
        </w:rPr>
        <w:t>During RAN1#102</w:t>
      </w:r>
      <w:r w:rsidR="00E00BC0">
        <w:rPr>
          <w:sz w:val="20"/>
          <w:lang w:eastAsia="zh-CN"/>
        </w:rPr>
        <w:t xml:space="preserve">e meeting, </w:t>
      </w:r>
      <w:r w:rsidR="009403BD">
        <w:rPr>
          <w:sz w:val="20"/>
          <w:lang w:eastAsia="zh-CN"/>
        </w:rPr>
        <w:t>one</w:t>
      </w:r>
      <w:r w:rsidR="00E00BC0">
        <w:rPr>
          <w:sz w:val="20"/>
          <w:lang w:eastAsia="zh-CN"/>
        </w:rPr>
        <w:t xml:space="preserve"> skeleton </w:t>
      </w:r>
      <w:r w:rsidR="009403BD">
        <w:rPr>
          <w:sz w:val="20"/>
          <w:lang w:eastAsia="zh-CN"/>
        </w:rPr>
        <w:t xml:space="preserve">agreement </w:t>
      </w:r>
      <w:r w:rsidR="00E00BC0">
        <w:rPr>
          <w:sz w:val="20"/>
          <w:lang w:eastAsia="zh-CN"/>
        </w:rPr>
        <w:t xml:space="preserve">of Rel.17 multi-beam operation was </w:t>
      </w:r>
      <w:r w:rsidR="009403BD">
        <w:rPr>
          <w:sz w:val="20"/>
          <w:lang w:eastAsia="zh-CN"/>
        </w:rPr>
        <w:t>achieved</w:t>
      </w:r>
      <w:r w:rsidR="00E00BC0">
        <w:rPr>
          <w:sz w:val="20"/>
          <w:lang w:eastAsia="zh-CN"/>
        </w:rPr>
        <w:t xml:space="preserve">. In following sections, we will partially </w:t>
      </w:r>
      <w:r w:rsidR="005F2648">
        <w:rPr>
          <w:sz w:val="20"/>
          <w:lang w:eastAsia="zh-CN"/>
        </w:rPr>
        <w:t xml:space="preserve">(to save space) </w:t>
      </w:r>
      <w:r w:rsidR="00E00BC0">
        <w:rPr>
          <w:sz w:val="20"/>
          <w:lang w:eastAsia="zh-CN"/>
        </w:rPr>
        <w:t>captur</w:t>
      </w:r>
      <w:r>
        <w:rPr>
          <w:sz w:val="20"/>
          <w:lang w:eastAsia="zh-CN"/>
        </w:rPr>
        <w:t>e the agreement made in RAN1#102</w:t>
      </w:r>
      <w:r w:rsidR="00E00BC0">
        <w:rPr>
          <w:sz w:val="20"/>
          <w:lang w:eastAsia="zh-CN"/>
        </w:rPr>
        <w:t>e</w:t>
      </w:r>
      <w:r w:rsidR="005F2648">
        <w:rPr>
          <w:sz w:val="20"/>
          <w:lang w:eastAsia="zh-CN"/>
        </w:rPr>
        <w:t xml:space="preserve"> to remind the reader(s). </w:t>
      </w:r>
      <w:r w:rsidR="003B2085">
        <w:rPr>
          <w:sz w:val="20"/>
          <w:lang w:eastAsia="zh-CN"/>
        </w:rPr>
        <w:t xml:space="preserve">By doing so, </w:t>
      </w:r>
      <w:r w:rsidR="004C12F6" w:rsidRPr="00C43D48">
        <w:rPr>
          <w:sz w:val="20"/>
          <w:lang w:eastAsia="zh-CN"/>
        </w:rPr>
        <w:t xml:space="preserve">we </w:t>
      </w:r>
      <w:r w:rsidR="003D087B" w:rsidRPr="00C43D48">
        <w:rPr>
          <w:sz w:val="20"/>
          <w:lang w:eastAsia="zh-CN"/>
        </w:rPr>
        <w:t>present</w:t>
      </w:r>
      <w:r w:rsidR="003B4224" w:rsidRPr="00C43D48">
        <w:rPr>
          <w:rFonts w:hint="eastAsia"/>
          <w:sz w:val="20"/>
          <w:lang w:eastAsia="zh-CN"/>
        </w:rPr>
        <w:t xml:space="preserve"> </w:t>
      </w:r>
      <w:r w:rsidR="00AF224C" w:rsidRPr="00C43D48">
        <w:rPr>
          <w:sz w:val="20"/>
          <w:lang w:eastAsia="zh-CN"/>
        </w:rPr>
        <w:t xml:space="preserve">our </w:t>
      </w:r>
      <w:r w:rsidR="0080763B">
        <w:rPr>
          <w:sz w:val="20"/>
          <w:lang w:eastAsia="zh-CN"/>
        </w:rPr>
        <w:t>considerations</w:t>
      </w:r>
      <w:r w:rsidR="00AF224C" w:rsidRPr="00C43D48">
        <w:rPr>
          <w:sz w:val="20"/>
          <w:lang w:eastAsia="zh-CN"/>
        </w:rPr>
        <w:t xml:space="preserve"> </w:t>
      </w:r>
      <w:r w:rsidR="009403BD">
        <w:rPr>
          <w:sz w:val="20"/>
          <w:lang w:eastAsia="zh-CN"/>
        </w:rPr>
        <w:t>and thoughts on how to step forward</w:t>
      </w:r>
      <w:r w:rsidR="004C12F6" w:rsidRPr="00C43D48">
        <w:rPr>
          <w:sz w:val="20"/>
          <w:lang w:eastAsia="zh-CN"/>
        </w:rPr>
        <w:t>.</w:t>
      </w:r>
      <w:r w:rsidR="005F2648">
        <w:rPr>
          <w:sz w:val="20"/>
          <w:lang w:eastAsia="zh-CN"/>
        </w:rPr>
        <w:t xml:space="preserve"> </w:t>
      </w:r>
      <w:r w:rsidR="003B2085">
        <w:rPr>
          <w:sz w:val="20"/>
          <w:lang w:eastAsia="zh-CN"/>
        </w:rPr>
        <w:t>Note that t</w:t>
      </w:r>
      <w:r w:rsidR="005F2648">
        <w:rPr>
          <w:sz w:val="20"/>
          <w:lang w:eastAsia="zh-CN"/>
        </w:rPr>
        <w:t>his tdoc is revised from R1-2005560</w:t>
      </w:r>
      <w:r w:rsidR="009403BD">
        <w:rPr>
          <w:sz w:val="20"/>
          <w:lang w:eastAsia="zh-CN"/>
        </w:rPr>
        <w:t xml:space="preserve"> which was submitted to RAN1#102e</w:t>
      </w:r>
      <w:r w:rsidR="005F2648">
        <w:rPr>
          <w:sz w:val="20"/>
          <w:lang w:eastAsia="zh-CN"/>
        </w:rPr>
        <w:t>.</w:t>
      </w:r>
    </w:p>
    <w:p w14:paraId="6AA89A7C" w14:textId="2A11E5E3" w:rsidR="003E68D5" w:rsidRPr="00C925AA" w:rsidRDefault="003E68D5" w:rsidP="003E68D5">
      <w:pPr>
        <w:pStyle w:val="Heading1"/>
        <w:rPr>
          <w:sz w:val="24"/>
          <w:lang w:eastAsia="ja-JP"/>
        </w:rPr>
      </w:pPr>
      <w:bookmarkStart w:id="0" w:name="_Ref46237644"/>
      <w:r w:rsidRPr="00C925AA">
        <w:rPr>
          <w:sz w:val="24"/>
          <w:lang w:eastAsia="ja-JP"/>
        </w:rPr>
        <w:t xml:space="preserve">Unified TCI </w:t>
      </w:r>
      <w:bookmarkEnd w:id="0"/>
      <w:r w:rsidR="008A2E6E">
        <w:rPr>
          <w:sz w:val="24"/>
          <w:lang w:eastAsia="ja-JP"/>
        </w:rPr>
        <w:t>fra</w:t>
      </w:r>
      <w:bookmarkStart w:id="1" w:name="_GoBack"/>
      <w:bookmarkEnd w:id="1"/>
      <w:r w:rsidR="008A2E6E">
        <w:rPr>
          <w:sz w:val="24"/>
          <w:lang w:eastAsia="ja-JP"/>
        </w:rPr>
        <w:t>mework</w:t>
      </w:r>
    </w:p>
    <w:p w14:paraId="32772008" w14:textId="1383128A" w:rsidR="008A2E6E" w:rsidRPr="008A2E6E" w:rsidRDefault="008A2E6E" w:rsidP="00FB7FA7">
      <w:pPr>
        <w:pStyle w:val="Heading2"/>
        <w:rPr>
          <w:lang w:eastAsia="ja-JP"/>
        </w:rPr>
      </w:pPr>
      <w:r>
        <w:rPr>
          <w:lang w:eastAsia="ja-JP"/>
        </w:rPr>
        <w:t>Joint TCI state from DL and UL beam indication</w:t>
      </w:r>
    </w:p>
    <w:p w14:paraId="613B7677" w14:textId="61270EFE" w:rsidR="003E68D5" w:rsidRPr="00556B33" w:rsidRDefault="003E68D5" w:rsidP="003E68D5">
      <w:pPr>
        <w:rPr>
          <w:sz w:val="20"/>
          <w:lang w:eastAsia="ja-JP"/>
        </w:rPr>
      </w:pPr>
      <w:r w:rsidRPr="00556B33">
        <w:rPr>
          <w:sz w:val="20"/>
          <w:lang w:eastAsia="ja-JP"/>
        </w:rPr>
        <w:t xml:space="preserve">In Rel.15/16, the DL beam management depends on TCI states which can be configured in </w:t>
      </w:r>
      <w:r w:rsidRPr="00556B33">
        <w:rPr>
          <w:i/>
          <w:sz w:val="20"/>
          <w:lang w:eastAsia="ja-JP"/>
        </w:rPr>
        <w:t>PDSCH-Config</w:t>
      </w:r>
      <w:r w:rsidRPr="00556B33">
        <w:rPr>
          <w:sz w:val="20"/>
          <w:lang w:eastAsia="ja-JP"/>
        </w:rPr>
        <w:t xml:space="preserve"> per BWP and viewed as </w:t>
      </w:r>
      <w:r>
        <w:rPr>
          <w:sz w:val="20"/>
          <w:lang w:eastAsia="ja-JP"/>
        </w:rPr>
        <w:t xml:space="preserve">a </w:t>
      </w:r>
      <w:r w:rsidRPr="00556B33">
        <w:rPr>
          <w:sz w:val="20"/>
          <w:lang w:eastAsia="ja-JP"/>
        </w:rPr>
        <w:t xml:space="preserve">resource pool for </w:t>
      </w:r>
      <w:r>
        <w:rPr>
          <w:sz w:val="20"/>
          <w:lang w:eastAsia="ja-JP"/>
        </w:rPr>
        <w:t xml:space="preserve">DL Tx </w:t>
      </w:r>
      <w:r w:rsidRPr="00556B33">
        <w:rPr>
          <w:sz w:val="20"/>
          <w:lang w:eastAsia="ja-JP"/>
        </w:rPr>
        <w:t xml:space="preserve">beams. </w:t>
      </w:r>
      <w:r>
        <w:rPr>
          <w:sz w:val="20"/>
          <w:lang w:eastAsia="ja-JP"/>
        </w:rPr>
        <w:t xml:space="preserve">The essential function of </w:t>
      </w:r>
      <w:r w:rsidRPr="00556B33">
        <w:rPr>
          <w:sz w:val="20"/>
          <w:lang w:eastAsia="ja-JP"/>
        </w:rPr>
        <w:t xml:space="preserve">TCI state </w:t>
      </w:r>
      <w:r>
        <w:rPr>
          <w:sz w:val="20"/>
          <w:lang w:eastAsia="ja-JP"/>
        </w:rPr>
        <w:t>is to conduct QCL relation between two DL RSs, e.g. between CSI-RS and</w:t>
      </w:r>
      <w:r w:rsidRPr="00556B33">
        <w:rPr>
          <w:sz w:val="20"/>
          <w:lang w:eastAsia="ja-JP"/>
        </w:rPr>
        <w:t xml:space="preserve"> PDSCH</w:t>
      </w:r>
      <w:r>
        <w:rPr>
          <w:sz w:val="20"/>
          <w:lang w:eastAsia="ja-JP"/>
        </w:rPr>
        <w:t xml:space="preserve"> DMRS</w:t>
      </w:r>
      <w:r w:rsidRPr="00556B33">
        <w:rPr>
          <w:sz w:val="20"/>
          <w:lang w:eastAsia="ja-JP"/>
        </w:rPr>
        <w:t>.</w:t>
      </w:r>
      <w:r>
        <w:rPr>
          <w:sz w:val="20"/>
          <w:lang w:eastAsia="ja-JP"/>
        </w:rPr>
        <w:t xml:space="preserve"> </w:t>
      </w:r>
      <w:r w:rsidRPr="00556B33">
        <w:rPr>
          <w:sz w:val="20"/>
          <w:lang w:eastAsia="ja-JP"/>
        </w:rPr>
        <w:t xml:space="preserve"> </w:t>
      </w:r>
    </w:p>
    <w:p w14:paraId="413C90E4" w14:textId="77777777" w:rsidR="003E68D5" w:rsidRPr="00556B33" w:rsidRDefault="003E68D5" w:rsidP="003E68D5">
      <w:pPr>
        <w:rPr>
          <w:sz w:val="20"/>
          <w:lang w:eastAsia="ja-JP"/>
        </w:rPr>
      </w:pPr>
      <w:r w:rsidRPr="00556B33">
        <w:rPr>
          <w:sz w:val="20"/>
          <w:lang w:eastAsia="ja-JP"/>
        </w:rPr>
        <w:t xml:space="preserve">Apart from that of DL, the beam management of UL is built on spatial relations which are separately configured and/or activated for </w:t>
      </w:r>
      <w:r>
        <w:rPr>
          <w:sz w:val="20"/>
          <w:lang w:eastAsia="ja-JP"/>
        </w:rPr>
        <w:t>UL channels and signals</w:t>
      </w:r>
      <w:r w:rsidRPr="00556B33">
        <w:rPr>
          <w:sz w:val="20"/>
          <w:lang w:eastAsia="ja-JP"/>
        </w:rPr>
        <w:t xml:space="preserve"> in </w:t>
      </w:r>
      <w:r>
        <w:rPr>
          <w:sz w:val="20"/>
          <w:lang w:eastAsia="ja-JP"/>
        </w:rPr>
        <w:t xml:space="preserve">a per </w:t>
      </w:r>
      <w:r w:rsidRPr="00556B33">
        <w:rPr>
          <w:sz w:val="20"/>
          <w:lang w:eastAsia="ja-JP"/>
        </w:rPr>
        <w:t xml:space="preserve">resource level. </w:t>
      </w:r>
      <w:r>
        <w:rPr>
          <w:sz w:val="20"/>
          <w:lang w:eastAsia="ja-JP"/>
        </w:rPr>
        <w:t>Moreover,</w:t>
      </w:r>
      <w:r w:rsidRPr="00556B33">
        <w:rPr>
          <w:sz w:val="20"/>
          <w:lang w:eastAsia="ja-JP"/>
        </w:rPr>
        <w:t xml:space="preserve"> the spatial relation may contain an SRS resource besides DL RS as a QCL source, whereas a TCI state could </w:t>
      </w:r>
      <w:r>
        <w:rPr>
          <w:sz w:val="20"/>
          <w:lang w:eastAsia="ja-JP"/>
        </w:rPr>
        <w:t xml:space="preserve">only </w:t>
      </w:r>
      <w:r w:rsidRPr="00556B33">
        <w:rPr>
          <w:sz w:val="20"/>
          <w:lang w:eastAsia="ja-JP"/>
        </w:rPr>
        <w:t>contain a DL RS (either SSB or CSI-RS)</w:t>
      </w:r>
      <w:r>
        <w:rPr>
          <w:sz w:val="20"/>
          <w:lang w:eastAsia="ja-JP"/>
        </w:rPr>
        <w:t xml:space="preserve"> as a QCL source</w:t>
      </w:r>
      <w:r w:rsidRPr="00556B33">
        <w:rPr>
          <w:sz w:val="20"/>
          <w:lang w:eastAsia="ja-JP"/>
        </w:rPr>
        <w:t xml:space="preserve">. </w:t>
      </w:r>
    </w:p>
    <w:p w14:paraId="0FFECC42" w14:textId="71EAA833" w:rsidR="00620E2F" w:rsidRDefault="003E68D5" w:rsidP="003D537F">
      <w:pPr>
        <w:rPr>
          <w:sz w:val="20"/>
          <w:lang w:eastAsia="ja-JP"/>
        </w:rPr>
      </w:pPr>
      <w:r w:rsidRPr="00556B33">
        <w:rPr>
          <w:sz w:val="20"/>
          <w:lang w:eastAsia="ja-JP"/>
        </w:rPr>
        <w:t>Due to the fundamental difference between UL and DL beam management mechanisms in the NR system, at least two sets of beam management parameters</w:t>
      </w:r>
      <w:r w:rsidRPr="00556B33">
        <w:rPr>
          <w:sz w:val="20"/>
          <w:lang w:eastAsia="zh-CN"/>
        </w:rPr>
        <w:t>, i.e. TCI states for DL and spatial relations for UL</w:t>
      </w:r>
      <w:r w:rsidRPr="00556B33">
        <w:rPr>
          <w:sz w:val="20"/>
          <w:lang w:eastAsia="ja-JP"/>
        </w:rPr>
        <w:t xml:space="preserve">, </w:t>
      </w:r>
      <w:r>
        <w:rPr>
          <w:sz w:val="20"/>
          <w:lang w:eastAsia="ja-JP"/>
        </w:rPr>
        <w:t>should</w:t>
      </w:r>
      <w:r w:rsidRPr="00556B33">
        <w:rPr>
          <w:sz w:val="20"/>
          <w:lang w:eastAsia="ja-JP"/>
        </w:rPr>
        <w:t xml:space="preserve"> be configured, </w:t>
      </w:r>
      <w:r>
        <w:rPr>
          <w:sz w:val="20"/>
          <w:lang w:eastAsia="ja-JP"/>
        </w:rPr>
        <w:t>(de)</w:t>
      </w:r>
      <w:r w:rsidRPr="00556B33">
        <w:rPr>
          <w:sz w:val="20"/>
          <w:lang w:eastAsia="ja-JP"/>
        </w:rPr>
        <w:t xml:space="preserve">activated by NW, and maintained by UEs. Therefore, the WID of Rel.17 plans to have a unified TCI state framework which applies to both DL and UL beam management with less overhead </w:t>
      </w:r>
      <w:r>
        <w:rPr>
          <w:sz w:val="20"/>
          <w:lang w:eastAsia="ja-JP"/>
        </w:rPr>
        <w:t>and more flexibility</w:t>
      </w:r>
      <w:r w:rsidRPr="00556B33">
        <w:rPr>
          <w:sz w:val="20"/>
          <w:lang w:eastAsia="ja-JP"/>
        </w:rPr>
        <w:t xml:space="preserve">. </w:t>
      </w:r>
      <w:r>
        <w:rPr>
          <w:sz w:val="20"/>
          <w:lang w:eastAsia="ja-JP"/>
        </w:rPr>
        <w:t>To make unified TCI states compatible with legacy</w:t>
      </w:r>
      <w:r w:rsidR="00570F9E">
        <w:rPr>
          <w:sz w:val="20"/>
          <w:lang w:eastAsia="ja-JP"/>
        </w:rPr>
        <w:t xml:space="preserve"> </w:t>
      </w:r>
      <w:r>
        <w:rPr>
          <w:sz w:val="20"/>
          <w:lang w:eastAsia="ja-JP"/>
        </w:rPr>
        <w:t>beam management</w:t>
      </w:r>
      <w:r w:rsidR="00570F9E">
        <w:rPr>
          <w:sz w:val="20"/>
          <w:lang w:eastAsia="ja-JP"/>
        </w:rPr>
        <w:t>, one may have followings to consider.</w:t>
      </w:r>
    </w:p>
    <w:p w14:paraId="43786AA8" w14:textId="52439A4C" w:rsidR="002544EF" w:rsidRDefault="00620E2F" w:rsidP="003E68D5">
      <w:pPr>
        <w:rPr>
          <w:sz w:val="20"/>
          <w:lang w:eastAsia="ja-JP"/>
        </w:rPr>
      </w:pPr>
      <w:r>
        <w:rPr>
          <w:sz w:val="20"/>
          <w:lang w:eastAsia="ja-JP"/>
        </w:rPr>
        <w:t>T</w:t>
      </w:r>
      <w:r w:rsidR="003E68D5">
        <w:rPr>
          <w:sz w:val="20"/>
          <w:lang w:eastAsia="ja-JP"/>
        </w:rPr>
        <w:t xml:space="preserve">he first thing that come to </w:t>
      </w:r>
      <w:r w:rsidR="00905230">
        <w:rPr>
          <w:sz w:val="20"/>
          <w:lang w:eastAsia="ja-JP"/>
        </w:rPr>
        <w:t xml:space="preserve">our </w:t>
      </w:r>
      <w:r w:rsidR="003E68D5">
        <w:rPr>
          <w:sz w:val="20"/>
          <w:lang w:eastAsia="ja-JP"/>
        </w:rPr>
        <w:t xml:space="preserve">mind is to allow the option of an SRS resource in the unified TCI state, in addition to DL RS. </w:t>
      </w:r>
      <w:r w:rsidR="0080648E">
        <w:rPr>
          <w:sz w:val="20"/>
          <w:lang w:eastAsia="ja-JP"/>
        </w:rPr>
        <w:t>During RAN1#102</w:t>
      </w:r>
      <w:r w:rsidR="002544EF">
        <w:rPr>
          <w:sz w:val="20"/>
          <w:lang w:eastAsia="ja-JP"/>
        </w:rPr>
        <w:t xml:space="preserve">e, the following part was agreed under </w:t>
      </w:r>
      <w:r w:rsidR="002E61C2" w:rsidRPr="00043A4E">
        <w:rPr>
          <w:sz w:val="20"/>
          <w:lang w:eastAsia="ja-JP"/>
        </w:rPr>
        <w:t xml:space="preserve">Item </w:t>
      </w:r>
      <w:r w:rsidR="002E61C2" w:rsidRPr="00043A4E">
        <w:rPr>
          <w:rFonts w:hint="eastAsia"/>
          <w:sz w:val="20"/>
          <w:lang w:eastAsia="zh-CN"/>
        </w:rPr>
        <w:t>c</w:t>
      </w:r>
      <w:r w:rsidR="002544EF" w:rsidRPr="00043A4E">
        <w:rPr>
          <w:sz w:val="20"/>
          <w:lang w:eastAsia="ja-JP"/>
        </w:rPr>
        <w:t>) of</w:t>
      </w:r>
      <w:r w:rsidR="002544EF" w:rsidRPr="00FB7FA7">
        <w:rPr>
          <w:b/>
          <w:sz w:val="20"/>
          <w:lang w:eastAsia="ja-JP"/>
        </w:rPr>
        <w:t xml:space="preserve"> Issue 1</w:t>
      </w:r>
      <w:r w:rsidR="005D27E7" w:rsidRPr="00FB7FA7">
        <w:rPr>
          <w:sz w:val="20"/>
          <w:lang w:eastAsia="ja-JP"/>
        </w:rPr>
        <w:t>.</w:t>
      </w:r>
      <w:r w:rsidR="005D27E7">
        <w:rPr>
          <w:sz w:val="20"/>
          <w:lang w:eastAsia="ja-JP"/>
        </w:rPr>
        <w:t xml:space="preserve"> Specifically, </w:t>
      </w:r>
      <w:r w:rsidR="006B7CA9">
        <w:rPr>
          <w:sz w:val="20"/>
          <w:lang w:eastAsia="ja-JP"/>
        </w:rPr>
        <w:t xml:space="preserve">besides DL RS, </w:t>
      </w:r>
      <w:r w:rsidR="005D27E7">
        <w:rPr>
          <w:sz w:val="20"/>
          <w:lang w:eastAsia="ja-JP"/>
        </w:rPr>
        <w:t xml:space="preserve">the SRS for BM can be added into unified TCI </w:t>
      </w:r>
      <w:r w:rsidR="00CA4E2F">
        <w:rPr>
          <w:sz w:val="20"/>
          <w:lang w:eastAsia="ja-JP"/>
        </w:rPr>
        <w:t xml:space="preserve">as source RS </w:t>
      </w:r>
      <w:r w:rsidR="005D27E7">
        <w:rPr>
          <w:sz w:val="20"/>
          <w:lang w:eastAsia="ja-JP"/>
        </w:rPr>
        <w:t xml:space="preserve">for UL Tx </w:t>
      </w:r>
      <w:r w:rsidR="006B7CA9">
        <w:rPr>
          <w:sz w:val="20"/>
          <w:lang w:eastAsia="ja-JP"/>
        </w:rPr>
        <w:t>spatial filter determination. This enables unified TCI with the sam</w:t>
      </w:r>
      <w:r w:rsidR="00F33797">
        <w:rPr>
          <w:sz w:val="20"/>
          <w:lang w:eastAsia="ja-JP"/>
        </w:rPr>
        <w:t xml:space="preserve">e function as spatial relation for UL beam indication. As for DL beam indication of UE with UL beam sweeping (actual SRS for BM transmitted), </w:t>
      </w:r>
      <w:r w:rsidR="0055388C">
        <w:rPr>
          <w:sz w:val="20"/>
          <w:lang w:eastAsia="ja-JP"/>
        </w:rPr>
        <w:t>it seems no harm to apply</w:t>
      </w:r>
      <w:r w:rsidR="00F33797">
        <w:rPr>
          <w:sz w:val="20"/>
          <w:lang w:eastAsia="ja-JP"/>
        </w:rPr>
        <w:t xml:space="preserve"> SRS for BM</w:t>
      </w:r>
      <w:r w:rsidR="0055388C">
        <w:rPr>
          <w:sz w:val="20"/>
          <w:lang w:eastAsia="ja-JP"/>
        </w:rPr>
        <w:t>, as it has already been included into unified TCI</w:t>
      </w:r>
      <w:r w:rsidR="00F33797">
        <w:rPr>
          <w:sz w:val="20"/>
          <w:lang w:eastAsia="ja-JP"/>
        </w:rPr>
        <w:t xml:space="preserve">. </w:t>
      </w:r>
      <w:r w:rsidR="007E50D1">
        <w:rPr>
          <w:sz w:val="20"/>
          <w:lang w:eastAsia="ja-JP"/>
        </w:rPr>
        <w:t xml:space="preserve">What the indicated UE needs to do is to revert UL SRS spatial transmission filter into DL spatial reception filter.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544EF" w:rsidRPr="00797A8E" w14:paraId="0433618A" w14:textId="77777777" w:rsidTr="00D65BE2">
        <w:trPr>
          <w:trHeight w:val="1602"/>
        </w:trPr>
        <w:tc>
          <w:tcPr>
            <w:tcW w:w="9259" w:type="dxa"/>
          </w:tcPr>
          <w:p w14:paraId="29331D73" w14:textId="063C9055" w:rsidR="00AC335B" w:rsidRPr="00FB7FA7" w:rsidRDefault="00AC335B" w:rsidP="00FB7FA7">
            <w:pPr>
              <w:spacing w:before="80" w:after="0"/>
              <w:jc w:val="left"/>
              <w:rPr>
                <w:rFonts w:eastAsia="MS Gothic"/>
                <w:sz w:val="20"/>
                <w:szCs w:val="24"/>
              </w:rPr>
            </w:pPr>
            <w:r w:rsidRPr="00FB7FA7">
              <w:rPr>
                <w:rFonts w:eastAsia="MS Gothic"/>
                <w:sz w:val="20"/>
                <w:szCs w:val="24"/>
              </w:rPr>
              <w:lastRenderedPageBreak/>
              <w:t>c)</w:t>
            </w:r>
            <w:r w:rsidRPr="00FB7FA7">
              <w:rPr>
                <w:rFonts w:eastAsia="MS Gothic"/>
                <w:sz w:val="20"/>
                <w:szCs w:val="24"/>
              </w:rPr>
              <w:tab/>
              <w:t xml:space="preserve">  Support the use of SSB/CSI-RS for BM and/or SRS for BM as source RS to determine a UL TX spatial filter in the unified TCI framework</w:t>
            </w:r>
          </w:p>
          <w:p w14:paraId="20769637" w14:textId="56D9AFEB" w:rsidR="00AC335B" w:rsidRPr="00FB7FA7" w:rsidRDefault="00AC335B" w:rsidP="00FB7FA7">
            <w:pPr>
              <w:pStyle w:val="ListParagraph"/>
              <w:numPr>
                <w:ilvl w:val="0"/>
                <w:numId w:val="8"/>
              </w:numPr>
              <w:ind w:left="924" w:hanging="357"/>
              <w:jc w:val="left"/>
              <w:rPr>
                <w:rFonts w:eastAsia="MS Gothic"/>
                <w:sz w:val="20"/>
                <w:szCs w:val="24"/>
              </w:rPr>
            </w:pPr>
            <w:r w:rsidRPr="00FB7FA7">
              <w:rPr>
                <w:rFonts w:ascii="Times New Roman" w:eastAsia="MS Gothic" w:hAnsi="Times New Roman" w:cs="Times New Roman"/>
                <w:sz w:val="20"/>
                <w:szCs w:val="24"/>
              </w:rPr>
              <w:tab/>
              <w:t>Whether the UL TX spatial filter corresponds to UL TCI (separate from DL TCI) depends on the outcome of 1b) above</w:t>
            </w:r>
          </w:p>
          <w:p w14:paraId="006D8E7B" w14:textId="32EF8391" w:rsidR="00AC335B" w:rsidRPr="00FB7FA7" w:rsidRDefault="00AC335B" w:rsidP="00FB7FA7">
            <w:pPr>
              <w:pStyle w:val="ListParagraph"/>
              <w:numPr>
                <w:ilvl w:val="0"/>
                <w:numId w:val="8"/>
              </w:numPr>
              <w:ind w:left="924" w:hanging="357"/>
              <w:jc w:val="left"/>
              <w:rPr>
                <w:rFonts w:eastAsia="MS Gothic"/>
                <w:sz w:val="20"/>
                <w:szCs w:val="24"/>
              </w:rPr>
            </w:pPr>
            <w:r w:rsidRPr="00FB7FA7">
              <w:rPr>
                <w:rFonts w:ascii="Times New Roman" w:eastAsia="MS Gothic" w:hAnsi="Times New Roman" w:cs="Times New Roman"/>
                <w:sz w:val="20"/>
                <w:szCs w:val="24"/>
              </w:rPr>
              <w:t>FFS: Support the use of non-BM CSI-RS and/or non-BM SRS in addition</w:t>
            </w:r>
          </w:p>
          <w:p w14:paraId="122A84BF" w14:textId="25B84C49" w:rsidR="002544EF" w:rsidRPr="00FB7FA7" w:rsidRDefault="00AC335B" w:rsidP="00FB7FA7">
            <w:pPr>
              <w:spacing w:after="80"/>
              <w:jc w:val="left"/>
              <w:rPr>
                <w:rFonts w:eastAsia="MS Gothic"/>
                <w:sz w:val="20"/>
                <w:szCs w:val="24"/>
              </w:rPr>
            </w:pPr>
            <w:r w:rsidRPr="00FB7FA7">
              <w:rPr>
                <w:rFonts w:eastAsia="MS Gothic"/>
                <w:sz w:val="20"/>
                <w:szCs w:val="24"/>
              </w:rPr>
              <w:t>d)</w:t>
            </w:r>
            <w:r w:rsidRPr="00FB7FA7">
              <w:rPr>
                <w:rFonts w:eastAsia="MS Gothic"/>
                <w:sz w:val="20"/>
                <w:szCs w:val="24"/>
              </w:rPr>
              <w:tab/>
              <w:t xml:space="preserve">  In RAN1#103-e, decide if SRS for BM can be configured as a source RS to represent a DL RX spatial filter in the unified TCI framework</w:t>
            </w:r>
          </w:p>
        </w:tc>
      </w:tr>
    </w:tbl>
    <w:p w14:paraId="28194C7F" w14:textId="01978AEF" w:rsidR="005D27E7" w:rsidRDefault="007E50D1" w:rsidP="00FB7FA7">
      <w:pPr>
        <w:spacing w:before="80"/>
        <w:rPr>
          <w:sz w:val="20"/>
          <w:lang w:eastAsia="ja-JP"/>
        </w:rPr>
      </w:pPr>
      <w:r>
        <w:rPr>
          <w:sz w:val="20"/>
          <w:lang w:eastAsia="ja-JP"/>
        </w:rPr>
        <w:t>Therefore, the unified TCI can handle DL and UL beam indication with full function, so we have following</w:t>
      </w:r>
    </w:p>
    <w:p w14:paraId="2DB9A447" w14:textId="5F63F4C9" w:rsidR="007E50D1" w:rsidRPr="00FB7FA7" w:rsidRDefault="007E50D1" w:rsidP="00FB7FA7">
      <w:pPr>
        <w:pStyle w:val="ListParagraph"/>
        <w:numPr>
          <w:ilvl w:val="0"/>
          <w:numId w:val="32"/>
        </w:numPr>
        <w:spacing w:after="80"/>
        <w:rPr>
          <w:b/>
          <w:sz w:val="22"/>
          <w:szCs w:val="24"/>
        </w:rPr>
      </w:pPr>
      <w:r>
        <w:rPr>
          <w:rFonts w:ascii="Times New Roman" w:hAnsi="Times New Roman" w:cs="Times New Roman"/>
          <w:b/>
          <w:sz w:val="22"/>
          <w:szCs w:val="24"/>
        </w:rPr>
        <w:t>:</w:t>
      </w:r>
      <w:r w:rsidR="00043A4E">
        <w:rPr>
          <w:rFonts w:ascii="Times New Roman" w:hAnsi="Times New Roman" w:cs="Times New Roman"/>
          <w:b/>
          <w:sz w:val="22"/>
          <w:szCs w:val="24"/>
        </w:rPr>
        <w:t xml:space="preserve"> Support SRS for beam management configured in unified TCI to serve as a source RS for determining DL Rx beam</w:t>
      </w:r>
      <w:r w:rsidR="003F59D7">
        <w:rPr>
          <w:rFonts w:ascii="Times New Roman" w:hAnsi="Times New Roman" w:cs="Times New Roman"/>
          <w:b/>
          <w:sz w:val="22"/>
          <w:szCs w:val="24"/>
        </w:rPr>
        <w:t xml:space="preserve"> at UE</w:t>
      </w:r>
      <w:r w:rsidRPr="00556B33">
        <w:rPr>
          <w:rFonts w:ascii="Times New Roman" w:hAnsi="Times New Roman" w:cs="Times New Roman"/>
          <w:b/>
          <w:sz w:val="22"/>
          <w:szCs w:val="24"/>
        </w:rPr>
        <w:t>.</w:t>
      </w:r>
    </w:p>
    <w:p w14:paraId="175A2FFD" w14:textId="77777777" w:rsidR="00743FC1" w:rsidRDefault="003E68D5" w:rsidP="003E68D5">
      <w:pPr>
        <w:rPr>
          <w:sz w:val="20"/>
          <w:lang w:eastAsia="ja-JP"/>
        </w:rPr>
      </w:pPr>
      <w:r>
        <w:rPr>
          <w:sz w:val="20"/>
          <w:lang w:eastAsia="ja-JP"/>
        </w:rPr>
        <w:t xml:space="preserve">Secondly, it is needed to allow UL beam indication by using the unified TCI states along with the spatial relation. Therefore, one arising question would be how to align these two parallel beam indication mechanisms for UL with as less standard impact as possible. We believe RAN1 may need to comprehensively discuss this issue to have an aligned solution that takes back compatibility, overhead, latency, etc. into consideration. </w:t>
      </w:r>
    </w:p>
    <w:p w14:paraId="4014D12B" w14:textId="06833380" w:rsidR="00570F9E" w:rsidRDefault="009A4AD9" w:rsidP="003E68D5">
      <w:pPr>
        <w:rPr>
          <w:sz w:val="20"/>
          <w:lang w:eastAsia="ja-JP"/>
        </w:rPr>
      </w:pPr>
      <w:r>
        <w:rPr>
          <w:sz w:val="20"/>
          <w:lang w:eastAsia="ja-JP"/>
        </w:rPr>
        <w:t>W</w:t>
      </w:r>
      <w:r w:rsidR="003E68D5">
        <w:rPr>
          <w:sz w:val="20"/>
          <w:lang w:eastAsia="zh-CN"/>
        </w:rPr>
        <w:t xml:space="preserve">ith the unified TCI states, one may wonder </w:t>
      </w:r>
      <w:r w:rsidR="003E68D5">
        <w:rPr>
          <w:sz w:val="20"/>
          <w:lang w:eastAsia="ja-JP"/>
        </w:rPr>
        <w:t xml:space="preserve">whether DL and UL share a common TCI state pool, e.g. </w:t>
      </w:r>
      <w:r w:rsidR="003E68D5">
        <w:rPr>
          <w:i/>
          <w:sz w:val="20"/>
          <w:lang w:eastAsia="ja-JP"/>
        </w:rPr>
        <w:t>tci-StatesToAddModList</w:t>
      </w:r>
      <w:r w:rsidR="003E68D5">
        <w:rPr>
          <w:sz w:val="20"/>
          <w:lang w:eastAsia="ja-JP"/>
        </w:rPr>
        <w:t xml:space="preserve"> configured in </w:t>
      </w:r>
      <w:r w:rsidR="003E68D5">
        <w:rPr>
          <w:i/>
          <w:sz w:val="20"/>
          <w:lang w:eastAsia="ja-JP"/>
        </w:rPr>
        <w:t>PDSCH-Config</w:t>
      </w:r>
      <w:r w:rsidR="003E68D5">
        <w:rPr>
          <w:iCs/>
          <w:sz w:val="20"/>
          <w:lang w:eastAsia="ja-JP"/>
        </w:rPr>
        <w:t>,</w:t>
      </w:r>
      <w:r w:rsidR="003E68D5">
        <w:rPr>
          <w:sz w:val="20"/>
          <w:lang w:eastAsia="ja-JP"/>
        </w:rPr>
        <w:t xml:space="preserve"> or whether NW configures a similar unified TCI state pool in </w:t>
      </w:r>
      <w:r w:rsidR="003E68D5">
        <w:rPr>
          <w:i/>
          <w:sz w:val="20"/>
          <w:lang w:eastAsia="ja-JP"/>
        </w:rPr>
        <w:t>PUSCH-Config</w:t>
      </w:r>
      <w:r w:rsidR="003E68D5">
        <w:rPr>
          <w:sz w:val="20"/>
          <w:lang w:eastAsia="ja-JP"/>
        </w:rPr>
        <w:t xml:space="preserve"> for UL separately. </w:t>
      </w:r>
      <w:r w:rsidR="0080648E">
        <w:rPr>
          <w:sz w:val="20"/>
          <w:lang w:eastAsia="ja-JP"/>
        </w:rPr>
        <w:t>In RAN1#102</w:t>
      </w:r>
      <w:r w:rsidR="00570F9E">
        <w:rPr>
          <w:sz w:val="20"/>
          <w:lang w:eastAsia="ja-JP"/>
        </w:rPr>
        <w:t xml:space="preserve">e, the related part of the </w:t>
      </w:r>
      <w:r w:rsidR="003D537F">
        <w:rPr>
          <w:sz w:val="20"/>
          <w:lang w:eastAsia="ja-JP"/>
        </w:rPr>
        <w:t xml:space="preserve">agreement, i.e. Item b) of Issue 1 </w:t>
      </w:r>
      <w:r w:rsidR="002335A8">
        <w:rPr>
          <w:sz w:val="20"/>
          <w:lang w:eastAsia="ja-JP"/>
        </w:rPr>
        <w:t>is listed as 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2335A8" w:rsidRPr="00797A8E" w14:paraId="0B3266AE" w14:textId="77777777" w:rsidTr="00D65BE2">
        <w:trPr>
          <w:trHeight w:val="1602"/>
        </w:trPr>
        <w:tc>
          <w:tcPr>
            <w:tcW w:w="9259" w:type="dxa"/>
          </w:tcPr>
          <w:p w14:paraId="111F52F5" w14:textId="7CE77377" w:rsidR="002335A8" w:rsidRPr="009A4AD9" w:rsidRDefault="009A4AD9" w:rsidP="00FB7FA7">
            <w:pPr>
              <w:spacing w:before="80"/>
              <w:contextualSpacing/>
              <w:jc w:val="left"/>
              <w:rPr>
                <w:rFonts w:eastAsia="Batang"/>
                <w:sz w:val="20"/>
                <w:szCs w:val="20"/>
                <w:lang w:val="en-GB"/>
              </w:rPr>
            </w:pPr>
            <w:r>
              <w:rPr>
                <w:rFonts w:eastAsia="Batang"/>
                <w:sz w:val="20"/>
                <w:szCs w:val="20"/>
                <w:lang w:val="en-GB"/>
              </w:rPr>
              <w:t xml:space="preserve">b)  </w:t>
            </w:r>
            <w:r w:rsidR="002335A8" w:rsidRPr="009A4AD9">
              <w:rPr>
                <w:rFonts w:eastAsia="Batang"/>
                <w:sz w:val="20"/>
                <w:szCs w:val="20"/>
                <w:lang w:val="en-GB"/>
              </w:rPr>
              <w:t xml:space="preserve">In RAN1#103-e, investigate, for the purpose of down selection, the following alternatives for accommodating the case of </w:t>
            </w:r>
            <w:r w:rsidR="002335A8" w:rsidRPr="00FB7FA7">
              <w:rPr>
                <w:rFonts w:eastAsia="Batang"/>
                <w:sz w:val="20"/>
                <w:szCs w:val="20"/>
                <w:lang w:val="en-GB"/>
              </w:rPr>
              <w:t>separate beam indication for UL and DL</w:t>
            </w:r>
          </w:p>
          <w:p w14:paraId="79BE3839" w14:textId="77777777" w:rsidR="002335A8" w:rsidRPr="005047E1"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Alt1.</w:t>
            </w:r>
            <w:r w:rsidRPr="003D537F">
              <w:rPr>
                <w:rFonts w:eastAsia="Batang"/>
                <w:sz w:val="20"/>
                <w:szCs w:val="20"/>
                <w:lang w:val="en-GB"/>
              </w:rPr>
              <w:t xml:space="preserve"> Utilize the joint TCI </w:t>
            </w:r>
            <w:r w:rsidRPr="003D537F">
              <w:rPr>
                <w:rFonts w:eastAsia="Times New Roman"/>
                <w:sz w:val="20"/>
                <w:szCs w:val="20"/>
                <w:lang w:val="en-GB" w:eastAsia="zh-CN"/>
              </w:rPr>
              <w:t>to include references for both DL and UL beams</w:t>
            </w:r>
          </w:p>
          <w:p w14:paraId="117FDDE4" w14:textId="77777777" w:rsidR="002335A8" w:rsidRPr="003D537F"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Alt2.</w:t>
            </w:r>
            <w:r w:rsidRPr="003D537F">
              <w:rPr>
                <w:rFonts w:eastAsia="Batang"/>
                <w:sz w:val="20"/>
                <w:szCs w:val="20"/>
                <w:lang w:val="en-GB"/>
              </w:rPr>
              <w:t xml:space="preserve"> Utilize two separate TCI states, one for DL and one for UL. The TCI state for the DL is the same as agreed in 1a. The TCI state for the UL can be newly introduced.</w:t>
            </w:r>
          </w:p>
          <w:p w14:paraId="7A2D0423" w14:textId="77777777" w:rsidR="002335A8" w:rsidRPr="003D537F" w:rsidRDefault="002335A8" w:rsidP="00FB7FA7">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2-1:</w:t>
            </w:r>
            <w:r w:rsidRPr="003D537F">
              <w:rPr>
                <w:rFonts w:eastAsia="Batang"/>
                <w:sz w:val="20"/>
                <w:szCs w:val="20"/>
                <w:lang w:val="en-GB"/>
              </w:rPr>
              <w:t xml:space="preserve"> The UL TCI state is taken from the same pool of TCI states as the DL TCI state</w:t>
            </w:r>
          </w:p>
          <w:p w14:paraId="2C04B4B8" w14:textId="77777777" w:rsidR="002335A8" w:rsidRPr="003D537F" w:rsidRDefault="002335A8" w:rsidP="00FB7FA7">
            <w:pPr>
              <w:numPr>
                <w:ilvl w:val="3"/>
                <w:numId w:val="26"/>
              </w:numPr>
              <w:autoSpaceDE/>
              <w:autoSpaceDN/>
              <w:adjustRightInd/>
              <w:snapToGrid/>
              <w:spacing w:after="0"/>
              <w:ind w:left="1491" w:hanging="357"/>
              <w:contextualSpacing/>
              <w:jc w:val="left"/>
              <w:rPr>
                <w:rFonts w:eastAsia="Batang"/>
                <w:sz w:val="20"/>
                <w:szCs w:val="20"/>
                <w:lang w:val="en-GB"/>
              </w:rPr>
            </w:pPr>
            <w:r w:rsidRPr="00FB7FA7">
              <w:rPr>
                <w:rFonts w:eastAsia="Batang"/>
                <w:sz w:val="20"/>
                <w:szCs w:val="20"/>
                <w:lang w:val="en-GB"/>
              </w:rPr>
              <w:t>Alt 2-2:</w:t>
            </w:r>
            <w:r w:rsidRPr="003D537F">
              <w:rPr>
                <w:rFonts w:eastAsia="Batang"/>
                <w:sz w:val="20"/>
                <w:szCs w:val="20"/>
                <w:lang w:val="en-GB"/>
              </w:rPr>
              <w:t xml:space="preserve"> The UL TCI state is taken from another pool of TCI states than the DL TCI state</w:t>
            </w:r>
          </w:p>
          <w:p w14:paraId="488E53A2" w14:textId="77777777" w:rsidR="002335A8" w:rsidRPr="005047E1"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3D537F">
              <w:rPr>
                <w:rFonts w:eastAsia="Batang"/>
                <w:sz w:val="20"/>
                <w:szCs w:val="20"/>
                <w:lang w:val="en-GB"/>
              </w:rPr>
              <w:t>Note: The resulting beam indication directly refers to the associated source RS(s)</w:t>
            </w:r>
          </w:p>
          <w:p w14:paraId="172B40F3" w14:textId="77777777" w:rsidR="002335A8" w:rsidRPr="003D537F" w:rsidRDefault="002335A8" w:rsidP="00FB7FA7">
            <w:pPr>
              <w:numPr>
                <w:ilvl w:val="2"/>
                <w:numId w:val="26"/>
              </w:numPr>
              <w:autoSpaceDE/>
              <w:autoSpaceDN/>
              <w:adjustRightInd/>
              <w:snapToGrid/>
              <w:spacing w:after="0"/>
              <w:ind w:left="924" w:hanging="357"/>
              <w:contextualSpacing/>
              <w:jc w:val="left"/>
              <w:rPr>
                <w:rFonts w:eastAsia="Batang"/>
                <w:sz w:val="20"/>
                <w:szCs w:val="20"/>
                <w:lang w:val="en-GB"/>
              </w:rPr>
            </w:pPr>
            <w:r w:rsidRPr="00FB7FA7">
              <w:rPr>
                <w:rFonts w:eastAsia="Batang"/>
                <w:sz w:val="20"/>
                <w:szCs w:val="20"/>
                <w:lang w:val="en-GB"/>
              </w:rPr>
              <w:t>FFS</w:t>
            </w:r>
            <w:r w:rsidRPr="003D537F">
              <w:rPr>
                <w:rFonts w:eastAsia="Batang"/>
                <w:sz w:val="20"/>
                <w:szCs w:val="20"/>
                <w:lang w:val="en-GB"/>
              </w:rPr>
              <w:t xml:space="preserve"> (RAN1#103-e): Details on extension to intra- and inter-band CA</w:t>
            </w:r>
          </w:p>
          <w:p w14:paraId="3E7AE1BA" w14:textId="3A9DFEC8" w:rsidR="002335A8" w:rsidRPr="00FB7FA7" w:rsidRDefault="002335A8" w:rsidP="00FB7FA7">
            <w:pPr>
              <w:numPr>
                <w:ilvl w:val="2"/>
                <w:numId w:val="26"/>
              </w:numPr>
              <w:autoSpaceDE/>
              <w:autoSpaceDN/>
              <w:adjustRightInd/>
              <w:spacing w:after="80"/>
              <w:ind w:left="924" w:hanging="357"/>
              <w:jc w:val="left"/>
              <w:rPr>
                <w:rFonts w:eastAsia="Batang"/>
                <w:sz w:val="20"/>
                <w:szCs w:val="20"/>
                <w:lang w:val="en-GB"/>
              </w:rPr>
            </w:pPr>
            <w:r w:rsidRPr="003D537F">
              <w:rPr>
                <w:rFonts w:eastAsia="Batang"/>
                <w:sz w:val="20"/>
                <w:szCs w:val="20"/>
                <w:lang w:val="en-GB"/>
              </w:rPr>
              <w:t xml:space="preserve">Note: This may be related to issue 5 as well as </w:t>
            </w:r>
            <w:r w:rsidRPr="005047E1">
              <w:rPr>
                <w:rFonts w:eastAsia="Batang"/>
                <w:sz w:val="20"/>
                <w:szCs w:val="20"/>
                <w:lang w:val="en-GB" w:eastAsia="zh-CN"/>
              </w:rPr>
              <w:t>other reasons for different TCIs such as network flexibility/scheduling</w:t>
            </w:r>
          </w:p>
        </w:tc>
      </w:tr>
    </w:tbl>
    <w:p w14:paraId="409C616A" w14:textId="299BF305" w:rsidR="00010160" w:rsidRPr="00FB7FA7" w:rsidRDefault="003E68D5" w:rsidP="001A51DA">
      <w:pPr>
        <w:rPr>
          <w:b/>
          <w:sz w:val="18"/>
          <w:lang w:eastAsia="ja-JP"/>
        </w:rPr>
      </w:pPr>
      <w:r>
        <w:rPr>
          <w:sz w:val="20"/>
          <w:lang w:eastAsia="zh-CN"/>
        </w:rPr>
        <w:t>Ou</w:t>
      </w:r>
      <w:r>
        <w:rPr>
          <w:sz w:val="20"/>
          <w:lang w:eastAsia="ja-JP"/>
        </w:rPr>
        <w:t xml:space="preserve">r thought </w:t>
      </w:r>
      <w:r w:rsidR="005047E1">
        <w:rPr>
          <w:sz w:val="20"/>
          <w:lang w:eastAsia="ja-JP"/>
        </w:rPr>
        <w:t xml:space="preserve">is </w:t>
      </w:r>
      <w:r>
        <w:rPr>
          <w:sz w:val="20"/>
          <w:lang w:eastAsia="ja-JP"/>
        </w:rPr>
        <w:t xml:space="preserve">to maintain flexibility of DL and UL beam </w:t>
      </w:r>
      <w:r w:rsidR="00FF27D0">
        <w:rPr>
          <w:sz w:val="20"/>
          <w:lang w:eastAsia="ja-JP"/>
        </w:rPr>
        <w:t>indication</w:t>
      </w:r>
      <w:r w:rsidR="00010160">
        <w:rPr>
          <w:sz w:val="20"/>
          <w:lang w:eastAsia="ja-JP"/>
        </w:rPr>
        <w:t xml:space="preserve"> </w:t>
      </w:r>
      <w:r w:rsidR="00EA6AA2">
        <w:rPr>
          <w:sz w:val="20"/>
          <w:lang w:eastAsia="ja-JP"/>
        </w:rPr>
        <w:t xml:space="preserve">as much </w:t>
      </w:r>
      <w:r w:rsidR="00010160">
        <w:rPr>
          <w:sz w:val="20"/>
          <w:lang w:eastAsia="ja-JP"/>
        </w:rPr>
        <w:t>as possible</w:t>
      </w:r>
      <w:r w:rsidR="00EA6AA2">
        <w:rPr>
          <w:sz w:val="20"/>
          <w:lang w:eastAsia="ja-JP"/>
        </w:rPr>
        <w:t xml:space="preserve"> and we illustrate</w:t>
      </w:r>
      <w:r w:rsidR="009A4AD9">
        <w:rPr>
          <w:sz w:val="20"/>
          <w:lang w:eastAsia="ja-JP"/>
        </w:rPr>
        <w:t xml:space="preserve"> </w:t>
      </w:r>
      <w:r w:rsidR="00EA6AA2">
        <w:rPr>
          <w:sz w:val="20"/>
          <w:lang w:eastAsia="ja-JP"/>
        </w:rPr>
        <w:t xml:space="preserve">it </w:t>
      </w:r>
      <w:r w:rsidR="009A4AD9">
        <w:rPr>
          <w:sz w:val="20"/>
          <w:lang w:eastAsia="ja-JP"/>
        </w:rPr>
        <w:t xml:space="preserve">in </w:t>
      </w:r>
      <w:r w:rsidR="009A4AD9">
        <w:rPr>
          <w:sz w:val="20"/>
          <w:lang w:eastAsia="ja-JP"/>
        </w:rPr>
        <w:fldChar w:fldCharType="begin"/>
      </w:r>
      <w:r w:rsidR="009A4AD9">
        <w:rPr>
          <w:sz w:val="20"/>
          <w:lang w:eastAsia="ja-JP"/>
        </w:rPr>
        <w:instrText xml:space="preserve"> REF _Ref44259174 \r \h  \* MERGEFORMAT </w:instrText>
      </w:r>
      <w:r w:rsidR="009A4AD9">
        <w:rPr>
          <w:sz w:val="20"/>
          <w:lang w:eastAsia="ja-JP"/>
        </w:rPr>
      </w:r>
      <w:r w:rsidR="009A4AD9">
        <w:rPr>
          <w:sz w:val="20"/>
          <w:lang w:eastAsia="ja-JP"/>
        </w:rPr>
        <w:fldChar w:fldCharType="separate"/>
      </w:r>
      <w:r w:rsidR="006D01BF">
        <w:rPr>
          <w:sz w:val="20"/>
          <w:lang w:eastAsia="ja-JP"/>
        </w:rPr>
        <w:t>Figure 1</w:t>
      </w:r>
      <w:r w:rsidR="009A4AD9">
        <w:rPr>
          <w:sz w:val="20"/>
          <w:lang w:eastAsia="ja-JP"/>
        </w:rPr>
        <w:fldChar w:fldCharType="end"/>
      </w:r>
      <w:r w:rsidR="009A4AD9">
        <w:rPr>
          <w:sz w:val="20"/>
          <w:lang w:eastAsia="ja-JP"/>
        </w:rPr>
        <w:t xml:space="preserve">. </w:t>
      </w:r>
      <w:r w:rsidR="00010160">
        <w:rPr>
          <w:sz w:val="20"/>
          <w:lang w:eastAsia="ja-JP"/>
        </w:rPr>
        <w:t>Two separate TCI state pools</w:t>
      </w:r>
      <w:r w:rsidR="00EA6AA2">
        <w:rPr>
          <w:sz w:val="20"/>
          <w:lang w:eastAsia="ja-JP"/>
        </w:rPr>
        <w:t xml:space="preserve"> can be </w:t>
      </w:r>
      <w:r w:rsidR="00A07D81">
        <w:rPr>
          <w:sz w:val="20"/>
          <w:lang w:eastAsia="ja-JP"/>
        </w:rPr>
        <w:t>implemented</w:t>
      </w:r>
      <w:r w:rsidR="00010160">
        <w:rPr>
          <w:sz w:val="20"/>
          <w:lang w:eastAsia="ja-JP"/>
        </w:rPr>
        <w:t xml:space="preserve">, </w:t>
      </w:r>
      <w:r w:rsidR="00EA6AA2">
        <w:rPr>
          <w:sz w:val="20"/>
          <w:lang w:eastAsia="ja-JP"/>
        </w:rPr>
        <w:t>meaning one configured for DL and the other one configured for UL.</w:t>
      </w:r>
      <w:r w:rsidR="00A07D81">
        <w:rPr>
          <w:sz w:val="20"/>
          <w:lang w:eastAsia="ja-JP"/>
        </w:rPr>
        <w:t xml:space="preserve"> Each configured TCI state pool can be activated/deactivated by MAC CE and indicated by DCI. Considering the common beam operation between DL and UL, this scheme surely allows the same unified TCI states configured in both pools. </w:t>
      </w:r>
      <w:r w:rsidR="00DD2C15">
        <w:rPr>
          <w:sz w:val="20"/>
          <w:lang w:eastAsia="ja-JP"/>
        </w:rPr>
        <w:t>So we have following proposal</w:t>
      </w:r>
    </w:p>
    <w:p w14:paraId="309C074B" w14:textId="25C5C0B3" w:rsidR="003E68D5" w:rsidRDefault="00010160" w:rsidP="003E68D5">
      <w:pPr>
        <w:jc w:val="center"/>
        <w:rPr>
          <w:lang w:eastAsia="ja-JP"/>
        </w:rPr>
      </w:pPr>
      <w:r>
        <w:object w:dxaOrig="13890" w:dyaOrig="8476" w14:anchorId="7D6D71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1pt;height:173.3pt" o:ole="">
            <v:imagedata r:id="rId9" o:title=""/>
          </v:shape>
          <o:OLEObject Type="Embed" ProgID="Visio.Drawing.15" ShapeID="_x0000_i1025" DrawAspect="Content" ObjectID="_1664980306" r:id="rId10"/>
        </w:object>
      </w:r>
    </w:p>
    <w:p w14:paraId="6CD0A036" w14:textId="69DB1EE0" w:rsidR="003E68D5" w:rsidRDefault="003E68D5" w:rsidP="003E68D5">
      <w:pPr>
        <w:pStyle w:val="ListParagraph"/>
        <w:numPr>
          <w:ilvl w:val="0"/>
          <w:numId w:val="13"/>
        </w:numPr>
        <w:spacing w:after="120"/>
        <w:ind w:left="357" w:hanging="357"/>
        <w:jc w:val="center"/>
        <w:rPr>
          <w:rFonts w:ascii="Times New Roman" w:hAnsi="Times New Roman" w:cs="Times New Roman"/>
          <w:b/>
          <w:sz w:val="18"/>
          <w:lang w:eastAsia="ja-JP"/>
        </w:rPr>
      </w:pPr>
      <w:bookmarkStart w:id="2" w:name="_Ref44259174"/>
      <w:r w:rsidRPr="00556B33">
        <w:rPr>
          <w:rFonts w:ascii="Times New Roman" w:hAnsi="Times New Roman" w:cs="Times New Roman"/>
          <w:b/>
          <w:sz w:val="18"/>
          <w:lang w:eastAsia="ja-JP"/>
        </w:rPr>
        <w:t>: Unified TCI state framework for both DL and UL</w:t>
      </w:r>
      <w:bookmarkEnd w:id="2"/>
    </w:p>
    <w:p w14:paraId="1A9F1AE6" w14:textId="3F73395C" w:rsidR="003E68D5" w:rsidRPr="003E68D5" w:rsidRDefault="003E68D5" w:rsidP="00FB7FA7">
      <w:pPr>
        <w:pStyle w:val="ListParagraph"/>
        <w:numPr>
          <w:ilvl w:val="0"/>
          <w:numId w:val="32"/>
        </w:numPr>
        <w:spacing w:after="80"/>
        <w:rPr>
          <w:sz w:val="22"/>
          <w:szCs w:val="24"/>
        </w:rPr>
      </w:pPr>
      <w:r>
        <w:rPr>
          <w:rFonts w:ascii="Times New Roman" w:hAnsi="Times New Roman" w:cs="Times New Roman"/>
          <w:b/>
          <w:sz w:val="22"/>
          <w:szCs w:val="24"/>
        </w:rPr>
        <w:t>:</w:t>
      </w:r>
      <w:r w:rsidR="00010160">
        <w:rPr>
          <w:rFonts w:ascii="Times New Roman" w:hAnsi="Times New Roman" w:cs="Times New Roman"/>
          <w:b/>
          <w:sz w:val="22"/>
          <w:szCs w:val="24"/>
        </w:rPr>
        <w:t xml:space="preserve"> </w:t>
      </w:r>
      <w:r w:rsidR="00F94529">
        <w:rPr>
          <w:rFonts w:ascii="Times New Roman" w:hAnsi="Times New Roman" w:cs="Times New Roman"/>
          <w:b/>
          <w:sz w:val="22"/>
          <w:szCs w:val="24"/>
        </w:rPr>
        <w:t xml:space="preserve">To maintain the flexibility of DL and UL beam indication, support separate unified TCI state pools </w:t>
      </w:r>
      <w:r w:rsidR="00DD2C15">
        <w:rPr>
          <w:rFonts w:ascii="Times New Roman" w:hAnsi="Times New Roman" w:cs="Times New Roman"/>
          <w:b/>
          <w:sz w:val="22"/>
          <w:szCs w:val="24"/>
        </w:rPr>
        <w:t xml:space="preserve">(Alt. 2-2) </w:t>
      </w:r>
      <w:r w:rsidR="00F94529">
        <w:rPr>
          <w:rFonts w:ascii="Times New Roman" w:hAnsi="Times New Roman" w:cs="Times New Roman"/>
          <w:b/>
          <w:sz w:val="22"/>
          <w:szCs w:val="24"/>
        </w:rPr>
        <w:t>for DL and UL beam indication</w:t>
      </w:r>
      <w:r w:rsidR="00010160">
        <w:rPr>
          <w:rFonts w:ascii="Times New Roman" w:hAnsi="Times New Roman" w:cs="Times New Roman"/>
          <w:b/>
          <w:sz w:val="22"/>
          <w:szCs w:val="24"/>
        </w:rPr>
        <w:t>.</w:t>
      </w:r>
    </w:p>
    <w:p w14:paraId="001A78E5" w14:textId="426C575D" w:rsidR="003F75CC" w:rsidRDefault="00E802AB" w:rsidP="00FB7FA7">
      <w:pPr>
        <w:pStyle w:val="Heading2"/>
        <w:rPr>
          <w:lang w:eastAsia="ja-JP"/>
        </w:rPr>
      </w:pPr>
      <w:r w:rsidRPr="00415610">
        <w:rPr>
          <w:lang w:eastAsia="ja-JP"/>
        </w:rPr>
        <w:lastRenderedPageBreak/>
        <w:t xml:space="preserve">Common beam </w:t>
      </w:r>
      <w:r w:rsidR="001A51DA">
        <w:rPr>
          <w:lang w:eastAsia="ja-JP"/>
        </w:rPr>
        <w:t>operation</w:t>
      </w:r>
      <w:r w:rsidR="001E558C">
        <w:rPr>
          <w:lang w:eastAsia="ja-JP"/>
        </w:rPr>
        <w:t xml:space="preserve"> </w:t>
      </w:r>
      <w:r w:rsidR="001E558C">
        <w:rPr>
          <w:lang w:eastAsia="ja-JP"/>
        </w:rPr>
        <w:t>(inter-band)</w:t>
      </w:r>
    </w:p>
    <w:p w14:paraId="6B394158" w14:textId="77777777" w:rsidR="00AC0F43" w:rsidRPr="00C80538" w:rsidRDefault="00AC0F43" w:rsidP="0084059C">
      <w:pPr>
        <w:autoSpaceDE/>
        <w:adjustRightInd/>
        <w:snapToGrid/>
        <w:rPr>
          <w:rFonts w:eastAsia="MS Gothic"/>
          <w:sz w:val="20"/>
          <w:szCs w:val="20"/>
          <w:lang w:eastAsia="ja-JP"/>
        </w:rPr>
      </w:pPr>
      <w:r w:rsidRPr="00C80538">
        <w:rPr>
          <w:rFonts w:eastAsia="MS Gothic"/>
          <w:sz w:val="20"/>
          <w:szCs w:val="20"/>
          <w:lang w:eastAsia="ja-JP"/>
        </w:rPr>
        <w:t>For the case of multiple CCs in different bands, i.e., inter-band CCs, there are, as well, opportunities to reduce the burden of signaling overhead. With no optimizations, multiple beam management procedures may be required in the inter-band case to cater for multiple CCs, BWPs and UE panels, as illustrated for the intra-band case. This has several adverse effects:</w:t>
      </w:r>
    </w:p>
    <w:p w14:paraId="0E8CBEF0"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Time-frequency resources need to be reserved for initial beam establishment and beam refinement on multiple CCs.</w:t>
      </w:r>
    </w:p>
    <w:p w14:paraId="4885BB4E" w14:textId="77777777" w:rsidR="00AC0F43" w:rsidRPr="00C80538" w:rsidRDefault="00AC0F43" w:rsidP="00AC0F43">
      <w:pPr>
        <w:pStyle w:val="ListParagraph"/>
        <w:numPr>
          <w:ilvl w:val="0"/>
          <w:numId w:val="17"/>
        </w:numPr>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burden of signaling overhead, e.g., to configure suitable TCI states, increases with the number of CCs and UE panels.</w:t>
      </w:r>
    </w:p>
    <w:p w14:paraId="461E80D3" w14:textId="20818DA2" w:rsidR="00AC0F43" w:rsidRPr="00C80538" w:rsidRDefault="00AC0F43" w:rsidP="00C80538">
      <w:pPr>
        <w:pStyle w:val="ListParagraph"/>
        <w:numPr>
          <w:ilvl w:val="0"/>
          <w:numId w:val="17"/>
        </w:numPr>
        <w:spacing w:after="120"/>
        <w:ind w:left="726" w:hanging="357"/>
        <w:jc w:val="left"/>
        <w:rPr>
          <w:rFonts w:ascii="Times New Roman" w:eastAsia="MS Gothic" w:hAnsi="Times New Roman" w:cs="Times New Roman"/>
          <w:sz w:val="20"/>
          <w:szCs w:val="20"/>
          <w:lang w:eastAsia="ja-JP"/>
        </w:rPr>
      </w:pPr>
      <w:r w:rsidRPr="00C80538">
        <w:rPr>
          <w:rFonts w:ascii="Times New Roman" w:eastAsia="MS Gothic" w:hAnsi="Times New Roman" w:cs="Times New Roman"/>
          <w:sz w:val="20"/>
          <w:szCs w:val="20"/>
          <w:lang w:eastAsia="ja-JP"/>
        </w:rPr>
        <w:t>The UE burden and energy consumption associated with additional beam management procedures scales up with the number of CCs, UE panels and BWPs.</w:t>
      </w:r>
    </w:p>
    <w:p w14:paraId="1B40FBB7" w14:textId="3B6B39E0" w:rsidR="00AC0F43" w:rsidRDefault="00AC0F43" w:rsidP="0084059C">
      <w:pPr>
        <w:autoSpaceDE/>
        <w:adjustRightInd/>
        <w:snapToGrid/>
        <w:rPr>
          <w:rFonts w:eastAsia="MS Gothic"/>
          <w:sz w:val="20"/>
          <w:szCs w:val="20"/>
          <w:lang w:eastAsia="ja-JP"/>
        </w:rPr>
      </w:pPr>
      <w:r w:rsidRPr="00C80538">
        <w:rPr>
          <w:rFonts w:eastAsia="MS Gothic"/>
          <w:sz w:val="20"/>
          <w:szCs w:val="20"/>
          <w:lang w:eastAsia="ja-JP"/>
        </w:rPr>
        <w:t>It is possible, however, to reuse beam management procedures across bands. For instance, when TRPs of different bands (e.g., 28 GHz and 39 GHz bands) are co-located, signals be</w:t>
      </w:r>
      <w:r w:rsidR="0084059C">
        <w:rPr>
          <w:rFonts w:eastAsia="MS Gothic"/>
          <w:sz w:val="20"/>
          <w:szCs w:val="20"/>
          <w:lang w:eastAsia="ja-JP"/>
        </w:rPr>
        <w:t>tween NW</w:t>
      </w:r>
      <w:r w:rsidRPr="00C80538">
        <w:rPr>
          <w:rFonts w:eastAsia="MS Gothic"/>
          <w:sz w:val="20"/>
          <w:szCs w:val="20"/>
          <w:lang w:eastAsia="ja-JP"/>
        </w:rPr>
        <w:t xml:space="preserve"> and UE tend to propagate through the same physical directions. In this case, a beam sweep procedure common to multiple CCs may be feasible, including the reuse of TCI states. To harbor opportunities for optimizations, we make the following proposal:</w:t>
      </w:r>
      <w:r>
        <w:rPr>
          <w:rFonts w:eastAsia="MS Gothic"/>
          <w:sz w:val="20"/>
          <w:szCs w:val="20"/>
          <w:lang w:eastAsia="ja-JP"/>
        </w:rPr>
        <w:t xml:space="preserve"> </w:t>
      </w:r>
    </w:p>
    <w:p w14:paraId="1522771B" w14:textId="2822958A" w:rsidR="00AC0F43" w:rsidRPr="00C80538" w:rsidRDefault="00097E22" w:rsidP="00FB7FA7">
      <w:pPr>
        <w:pStyle w:val="ListParagraph"/>
        <w:numPr>
          <w:ilvl w:val="0"/>
          <w:numId w:val="32"/>
        </w:numPr>
        <w:spacing w:after="80"/>
        <w:rPr>
          <w:sz w:val="22"/>
          <w:szCs w:val="22"/>
        </w:rPr>
      </w:pPr>
      <w:bookmarkStart w:id="3" w:name="_Ref47597982"/>
      <w:r>
        <w:rPr>
          <w:rFonts w:ascii="Times New Roman" w:hAnsi="Times New Roman" w:cs="Times New Roman"/>
          <w:b/>
          <w:sz w:val="22"/>
          <w:szCs w:val="22"/>
        </w:rPr>
        <w:t>:</w:t>
      </w:r>
      <w:r w:rsidR="00C80538">
        <w:rPr>
          <w:rFonts w:ascii="Times New Roman" w:hAnsi="Times New Roman" w:cs="Times New Roman"/>
          <w:b/>
          <w:sz w:val="22"/>
          <w:szCs w:val="22"/>
        </w:rPr>
        <w:t xml:space="preserve"> </w:t>
      </w:r>
      <w:r w:rsidR="00C80538"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00C80538" w:rsidRPr="00C80538">
        <w:rPr>
          <w:rFonts w:ascii="Times New Roman" w:hAnsi="Times New Roman" w:cs="Times New Roman"/>
          <w:b/>
          <w:bCs/>
          <w:sz w:val="22"/>
          <w:szCs w:val="22"/>
        </w:rPr>
        <w:t>.</w:t>
      </w:r>
      <w:bookmarkEnd w:id="3"/>
      <w:r w:rsidR="00C80538" w:rsidRPr="00C80538">
        <w:rPr>
          <w:rFonts w:ascii="Times New Roman" w:hAnsi="Times New Roman" w:cs="Times New Roman"/>
          <w:b/>
          <w:bCs/>
          <w:sz w:val="22"/>
          <w:szCs w:val="22"/>
        </w:rPr>
        <w:t xml:space="preserve"> </w:t>
      </w:r>
    </w:p>
    <w:p w14:paraId="401E0C6F" w14:textId="70CFC42C" w:rsidR="00AC0F43" w:rsidRPr="00C80538" w:rsidRDefault="00E85217" w:rsidP="00E85217">
      <w:pPr>
        <w:autoSpaceDE/>
        <w:adjustRightInd/>
        <w:snapToGrid/>
        <w:rPr>
          <w:rFonts w:eastAsia="MS Gothic"/>
          <w:sz w:val="20"/>
          <w:szCs w:val="20"/>
          <w:lang w:eastAsia="ja-JP"/>
        </w:rPr>
      </w:pPr>
      <w:bookmarkStart w:id="4" w:name="_Hlk31791006"/>
      <w:r>
        <w:rPr>
          <w:rFonts w:eastAsia="MS Gothic"/>
          <w:sz w:val="20"/>
          <w:szCs w:val="20"/>
          <w:lang w:eastAsia="ja-JP"/>
        </w:rPr>
        <w:t xml:space="preserve">The feasibility of the above proposal depends, of course, on the UE ability to simultaneously produce beams in different bands </w:t>
      </w:r>
      <w:bookmarkEnd w:id="4"/>
      <w:r>
        <w:rPr>
          <w:rFonts w:eastAsia="MS Gothic"/>
          <w:sz w:val="20"/>
          <w:szCs w:val="20"/>
          <w:lang w:eastAsia="ja-JP"/>
        </w:rPr>
        <w:t xml:space="preserve">which roughly point in the same directions. It is apparent that the ability to do so will depend on the UE implementation. For example, some UEs might not be able to simultaneously control directions of beams in different bands, or they might be able to do so for certain band combinations, but not for others. Therefore, the achievable savings depend on certain UE capabilities. RAN4 has been discussing a potential new UE capability on independent beam management (IBM) and/or common beam management (CBM) for inter band CA operation. Note that if such capability would be eventually agreed, </w:t>
      </w:r>
      <w:r w:rsidR="00097E22">
        <w:rPr>
          <w:rFonts w:eastAsia="MS Gothic"/>
          <w:sz w:val="20"/>
          <w:szCs w:val="20"/>
          <w:lang w:eastAsia="ja-JP"/>
        </w:rPr>
        <w:fldChar w:fldCharType="begin"/>
      </w:r>
      <w:r w:rsidR="00097E22">
        <w:rPr>
          <w:rFonts w:eastAsia="MS Gothic"/>
          <w:sz w:val="20"/>
          <w:szCs w:val="20"/>
          <w:lang w:eastAsia="ja-JP"/>
        </w:rPr>
        <w:instrText xml:space="preserve"> REF _Ref47597982 \r \h </w:instrText>
      </w:r>
      <w:r w:rsidR="00097E22">
        <w:rPr>
          <w:rFonts w:eastAsia="MS Gothic"/>
          <w:sz w:val="20"/>
          <w:szCs w:val="20"/>
          <w:lang w:eastAsia="ja-JP"/>
        </w:rPr>
      </w:r>
      <w:r w:rsidR="00097E22">
        <w:rPr>
          <w:rFonts w:eastAsia="MS Gothic"/>
          <w:sz w:val="20"/>
          <w:szCs w:val="20"/>
          <w:lang w:eastAsia="ja-JP"/>
        </w:rPr>
        <w:fldChar w:fldCharType="separate"/>
      </w:r>
      <w:r w:rsidR="006D01BF">
        <w:rPr>
          <w:rFonts w:eastAsia="MS Gothic"/>
          <w:sz w:val="20"/>
          <w:szCs w:val="20"/>
          <w:lang w:eastAsia="ja-JP"/>
        </w:rPr>
        <w:t>Proposal 4</w:t>
      </w:r>
      <w:r w:rsidR="00097E22">
        <w:rPr>
          <w:rFonts w:eastAsia="MS Gothic"/>
          <w:sz w:val="20"/>
          <w:szCs w:val="20"/>
          <w:lang w:eastAsia="ja-JP"/>
        </w:rPr>
        <w:fldChar w:fldCharType="end"/>
      </w:r>
      <w:r>
        <w:rPr>
          <w:rFonts w:eastAsia="MS Gothic"/>
          <w:sz w:val="20"/>
          <w:szCs w:val="20"/>
          <w:lang w:eastAsia="ja-JP"/>
        </w:rPr>
        <w:t xml:space="preserve"> supporting a common beam management procedure states across bands would then become necessary.</w:t>
      </w:r>
    </w:p>
    <w:p w14:paraId="4D03F331" w14:textId="67E6C07A" w:rsidR="00AC0F43" w:rsidRPr="00C80538" w:rsidRDefault="00097E22" w:rsidP="00FB7FA7">
      <w:pPr>
        <w:pStyle w:val="ListParagraph"/>
        <w:numPr>
          <w:ilvl w:val="0"/>
          <w:numId w:val="32"/>
        </w:numPr>
        <w:spacing w:after="120"/>
        <w:rPr>
          <w:sz w:val="22"/>
          <w:szCs w:val="20"/>
        </w:rPr>
      </w:pPr>
      <w:r>
        <w:rPr>
          <w:rFonts w:ascii="Times New Roman" w:hAnsi="Times New Roman" w:cs="Times New Roman"/>
          <w:b/>
          <w:sz w:val="22"/>
          <w:szCs w:val="20"/>
        </w:rPr>
        <w:t>:</w:t>
      </w:r>
      <w:r w:rsid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 xml:space="preserve">The </w:t>
      </w:r>
      <w:r w:rsidR="00F41B62" w:rsidRPr="00C80538">
        <w:rPr>
          <w:rFonts w:ascii="Times New Roman" w:hAnsi="Times New Roman" w:cs="Times New Roman"/>
          <w:b/>
          <w:sz w:val="22"/>
          <w:szCs w:val="20"/>
        </w:rPr>
        <w:t xml:space="preserve">UE capabilities </w:t>
      </w:r>
      <w:r w:rsidR="00AC0F43" w:rsidRPr="00C80538">
        <w:rPr>
          <w:rFonts w:ascii="Times New Roman" w:hAnsi="Times New Roman" w:cs="Times New Roman"/>
          <w:b/>
          <w:sz w:val="22"/>
          <w:szCs w:val="20"/>
        </w:rPr>
        <w:t>reporting related to simultaneously steer</w:t>
      </w:r>
      <w:r w:rsidR="00F41B62">
        <w:rPr>
          <w:rFonts w:ascii="Times New Roman" w:hAnsi="Times New Roman" w:cs="Times New Roman"/>
          <w:b/>
          <w:sz w:val="22"/>
          <w:szCs w:val="20"/>
        </w:rPr>
        <w:t>ing</w:t>
      </w:r>
      <w:r w:rsidR="00AC0F43" w:rsidRPr="00C80538">
        <w:rPr>
          <w:rFonts w:ascii="Times New Roman" w:hAnsi="Times New Roman" w:cs="Times New Roman"/>
          <w:b/>
          <w:sz w:val="22"/>
          <w:szCs w:val="20"/>
        </w:rPr>
        <w:t xml:space="preserve"> in the same direction beams belonging to CCs in different bands should be considered.</w:t>
      </w:r>
    </w:p>
    <w:p w14:paraId="20F9F4FA" w14:textId="2385DBDF" w:rsidR="00AC0F43" w:rsidRPr="00C80538" w:rsidRDefault="00E85217" w:rsidP="00C80538">
      <w:pPr>
        <w:pStyle w:val="ListParagraph"/>
        <w:spacing w:after="120"/>
        <w:ind w:left="0"/>
        <w:rPr>
          <w:rFonts w:ascii="Times New Roman" w:hAnsi="Times New Roman" w:cs="Times New Roman"/>
          <w:sz w:val="22"/>
          <w:szCs w:val="22"/>
        </w:rPr>
      </w:pPr>
      <w:r>
        <w:rPr>
          <w:rFonts w:ascii="Times New Roman" w:eastAsia="MS Gothic" w:hAnsi="Times New Roman" w:cs="Times New Roman"/>
          <w:sz w:val="20"/>
          <w:szCs w:val="20"/>
          <w:lang w:eastAsia="ja-JP"/>
        </w:rPr>
        <w:t>Furthermore, RAN4 is discussing possible test setups for inter-band CCs wherein the beams of different CCs may be configured to use different polarization directions. In addition, some UEs may only be able to have independent beam control on different CCs with different polarizations due to limitations from the RF implementation. Therefore, when optimizing TCI states across bands, polarization needs to be taken into account. In particular, the polarization property of beams shall not impair optimizations of the TCI states while, at the same time, it should be possible to select orthogonal polarizations for beams in different bands pointing in the same/different directions.</w:t>
      </w:r>
    </w:p>
    <w:p w14:paraId="326AF5CD" w14:textId="7B7B6CCE" w:rsidR="00A92315" w:rsidRDefault="00097E22" w:rsidP="00FB7FA7">
      <w:pPr>
        <w:pStyle w:val="ListParagraph"/>
        <w:numPr>
          <w:ilvl w:val="0"/>
          <w:numId w:val="32"/>
        </w:numPr>
        <w:spacing w:after="40"/>
        <w:rPr>
          <w:sz w:val="22"/>
          <w:szCs w:val="20"/>
        </w:rPr>
      </w:pPr>
      <w:r>
        <w:rPr>
          <w:rFonts w:ascii="Times New Roman" w:hAnsi="Times New Roman" w:cs="Times New Roman"/>
          <w:b/>
          <w:sz w:val="22"/>
          <w:szCs w:val="20"/>
        </w:rPr>
        <w:t>:</w:t>
      </w:r>
      <w:r w:rsidR="00C80538" w:rsidRPr="00C80538">
        <w:rPr>
          <w:rFonts w:ascii="Times New Roman" w:hAnsi="Times New Roman" w:cs="Times New Roman"/>
          <w:b/>
          <w:sz w:val="22"/>
          <w:szCs w:val="20"/>
        </w:rPr>
        <w:t xml:space="preserve"> </w:t>
      </w:r>
      <w:r w:rsidR="00AC0F43" w:rsidRPr="00C80538">
        <w:rPr>
          <w:rFonts w:ascii="Times New Roman" w:hAnsi="Times New Roman" w:cs="Times New Roman"/>
          <w:b/>
          <w:sz w:val="22"/>
          <w:szCs w:val="20"/>
        </w:rPr>
        <w:t>For the optimization of TCI states across bands, the polarization property of beams should be considered.</w:t>
      </w:r>
    </w:p>
    <w:p w14:paraId="21C516F0" w14:textId="341A900C" w:rsidR="00A92315" w:rsidRDefault="00A92315" w:rsidP="00A92315">
      <w:pPr>
        <w:pStyle w:val="Heading2"/>
        <w:rPr>
          <w:lang w:eastAsia="ja-JP"/>
        </w:rPr>
      </w:pPr>
      <w:r>
        <w:rPr>
          <w:lang w:eastAsia="ja-JP"/>
        </w:rPr>
        <w:t xml:space="preserve">Dynamic </w:t>
      </w:r>
      <w:r w:rsidR="00DF6813">
        <w:rPr>
          <w:lang w:eastAsia="ja-JP"/>
        </w:rPr>
        <w:t>TCI state updating</w:t>
      </w:r>
      <w:r>
        <w:rPr>
          <w:lang w:eastAsia="ja-JP"/>
        </w:rPr>
        <w:t xml:space="preserve"> (DCI vs. MAC CE)</w:t>
      </w:r>
    </w:p>
    <w:p w14:paraId="062BBB25" w14:textId="77777777" w:rsidR="0059391C" w:rsidRDefault="00815B62" w:rsidP="00FB7FA7">
      <w:pPr>
        <w:rPr>
          <w:sz w:val="20"/>
          <w:lang w:eastAsia="ja-JP"/>
        </w:rPr>
      </w:pPr>
      <w:r>
        <w:rPr>
          <w:sz w:val="20"/>
          <w:lang w:eastAsia="ja-JP"/>
        </w:rPr>
        <w:t>In Rel.15/16 NR,</w:t>
      </w:r>
      <w:r w:rsidR="003942DC">
        <w:rPr>
          <w:sz w:val="20"/>
          <w:lang w:eastAsia="ja-JP"/>
        </w:rPr>
        <w:t xml:space="preserve"> </w:t>
      </w:r>
      <w:r w:rsidR="00D00873">
        <w:rPr>
          <w:sz w:val="20"/>
          <w:lang w:eastAsia="ja-JP"/>
        </w:rPr>
        <w:t>only data channels are allowed to take the benefits of dynamic beam indication</w:t>
      </w:r>
      <w:r w:rsidR="006F0016">
        <w:rPr>
          <w:sz w:val="20"/>
          <w:lang w:eastAsia="ja-JP"/>
        </w:rPr>
        <w:t xml:space="preserve"> to response the effect of channel change or UE rotation, etc</w:t>
      </w:r>
      <w:r w:rsidR="00745599">
        <w:rPr>
          <w:sz w:val="20"/>
          <w:lang w:eastAsia="ja-JP"/>
        </w:rPr>
        <w:t xml:space="preserve"> in a timely manner</w:t>
      </w:r>
      <w:r w:rsidR="00D00873">
        <w:rPr>
          <w:sz w:val="20"/>
          <w:lang w:eastAsia="ja-JP"/>
        </w:rPr>
        <w:t>. Specifically, for PDSCH and PUSCH, TCI field and SRI field in DCI fo</w:t>
      </w:r>
      <w:r w:rsidR="00621E18">
        <w:rPr>
          <w:sz w:val="20"/>
          <w:lang w:eastAsia="ja-JP"/>
        </w:rPr>
        <w:t>rmat 1</w:t>
      </w:r>
      <w:r w:rsidR="00621E18" w:rsidRPr="00FB7FA7">
        <w:rPr>
          <w:b/>
          <w:sz w:val="20"/>
          <w:lang w:eastAsia="zh-CN"/>
        </w:rPr>
        <w:t>_</w:t>
      </w:r>
      <w:r w:rsidR="00D00873">
        <w:rPr>
          <w:sz w:val="20"/>
          <w:lang w:eastAsia="ja-JP"/>
        </w:rPr>
        <w:t>1</w:t>
      </w:r>
      <w:r w:rsidR="00621E18">
        <w:rPr>
          <w:sz w:val="20"/>
          <w:lang w:eastAsia="ja-JP"/>
        </w:rPr>
        <w:t>/1</w:t>
      </w:r>
      <w:r w:rsidR="00621E18" w:rsidRPr="00FB7FA7">
        <w:rPr>
          <w:b/>
          <w:sz w:val="20"/>
          <w:lang w:eastAsia="ja-JP"/>
        </w:rPr>
        <w:t>_</w:t>
      </w:r>
      <w:r w:rsidR="00621E18">
        <w:rPr>
          <w:sz w:val="20"/>
          <w:lang w:eastAsia="ja-JP"/>
        </w:rPr>
        <w:t>2</w:t>
      </w:r>
      <w:r w:rsidR="00D00873">
        <w:rPr>
          <w:sz w:val="20"/>
          <w:lang w:eastAsia="ja-JP"/>
        </w:rPr>
        <w:t xml:space="preserve"> and 0</w:t>
      </w:r>
      <w:r w:rsidR="00D00873" w:rsidRPr="00FB7FA7">
        <w:rPr>
          <w:b/>
          <w:sz w:val="20"/>
          <w:lang w:eastAsia="ja-JP"/>
        </w:rPr>
        <w:t>_</w:t>
      </w:r>
      <w:r w:rsidR="00D00873">
        <w:rPr>
          <w:sz w:val="20"/>
          <w:lang w:eastAsia="ja-JP"/>
        </w:rPr>
        <w:t>1</w:t>
      </w:r>
      <w:r w:rsidR="00621E18">
        <w:rPr>
          <w:sz w:val="20"/>
          <w:lang w:eastAsia="ja-JP"/>
        </w:rPr>
        <w:t>/0</w:t>
      </w:r>
      <w:r w:rsidR="00621E18" w:rsidRPr="00FB7FA7">
        <w:rPr>
          <w:b/>
          <w:sz w:val="20"/>
          <w:lang w:eastAsia="ja-JP"/>
        </w:rPr>
        <w:t>_</w:t>
      </w:r>
      <w:r w:rsidR="00621E18">
        <w:rPr>
          <w:sz w:val="20"/>
          <w:lang w:eastAsia="ja-JP"/>
        </w:rPr>
        <w:t>2</w:t>
      </w:r>
      <w:r w:rsidR="00D00873">
        <w:rPr>
          <w:sz w:val="20"/>
          <w:lang w:eastAsia="ja-JP"/>
        </w:rPr>
        <w:t xml:space="preserve"> </w:t>
      </w:r>
      <w:r w:rsidR="006F0016">
        <w:rPr>
          <w:sz w:val="20"/>
          <w:lang w:eastAsia="ja-JP"/>
        </w:rPr>
        <w:t>conducts</w:t>
      </w:r>
      <w:r w:rsidR="00971ABA">
        <w:rPr>
          <w:sz w:val="20"/>
          <w:lang w:eastAsia="ja-JP"/>
        </w:rPr>
        <w:t xml:space="preserve"> </w:t>
      </w:r>
      <w:r w:rsidR="006F0016">
        <w:rPr>
          <w:sz w:val="20"/>
          <w:lang w:eastAsia="ja-JP"/>
        </w:rPr>
        <w:t xml:space="preserve">QCL information </w:t>
      </w:r>
      <w:r w:rsidR="00745599">
        <w:rPr>
          <w:sz w:val="20"/>
          <w:lang w:eastAsia="ja-JP"/>
        </w:rPr>
        <w:t xml:space="preserve">and spatial relation information </w:t>
      </w:r>
      <w:r w:rsidR="006F0016">
        <w:rPr>
          <w:sz w:val="20"/>
          <w:lang w:eastAsia="ja-JP"/>
        </w:rPr>
        <w:t xml:space="preserve">in a dynamic </w:t>
      </w:r>
      <w:r w:rsidR="0059391C">
        <w:rPr>
          <w:sz w:val="20"/>
          <w:lang w:eastAsia="ja-JP"/>
        </w:rPr>
        <w:t>manner</w:t>
      </w:r>
      <w:r w:rsidR="006F0016">
        <w:rPr>
          <w:sz w:val="20"/>
          <w:lang w:eastAsia="ja-JP"/>
        </w:rPr>
        <w:t xml:space="preserve"> for </w:t>
      </w:r>
      <w:r w:rsidR="00971ABA">
        <w:rPr>
          <w:sz w:val="20"/>
          <w:lang w:eastAsia="ja-JP"/>
        </w:rPr>
        <w:t xml:space="preserve">DL and UL </w:t>
      </w:r>
      <w:r w:rsidR="00D00873">
        <w:rPr>
          <w:sz w:val="20"/>
          <w:lang w:eastAsia="ja-JP"/>
        </w:rPr>
        <w:t>respectively</w:t>
      </w:r>
      <w:r w:rsidR="00971ABA">
        <w:rPr>
          <w:sz w:val="20"/>
          <w:lang w:eastAsia="ja-JP"/>
        </w:rPr>
        <w:t>.</w:t>
      </w:r>
      <w:r w:rsidR="006F0016">
        <w:rPr>
          <w:sz w:val="20"/>
          <w:lang w:eastAsia="ja-JP"/>
        </w:rPr>
        <w:t xml:space="preserve"> </w:t>
      </w:r>
    </w:p>
    <w:p w14:paraId="3C8C5C7E" w14:textId="552A1B90" w:rsidR="00745599" w:rsidRDefault="006F0016" w:rsidP="00FB7FA7">
      <w:pPr>
        <w:rPr>
          <w:sz w:val="20"/>
          <w:lang w:eastAsia="ja-JP"/>
        </w:rPr>
      </w:pPr>
      <w:r>
        <w:rPr>
          <w:sz w:val="20"/>
          <w:lang w:eastAsia="ja-JP"/>
        </w:rPr>
        <w:t xml:space="preserve">As for other channels or signals, </w:t>
      </w:r>
      <w:r w:rsidR="00745599">
        <w:rPr>
          <w:sz w:val="20"/>
          <w:lang w:eastAsia="ja-JP"/>
        </w:rPr>
        <w:t xml:space="preserve">e.g. PDCCH, </w:t>
      </w:r>
      <w:r>
        <w:rPr>
          <w:sz w:val="20"/>
          <w:lang w:eastAsia="ja-JP"/>
        </w:rPr>
        <w:t xml:space="preserve">only </w:t>
      </w:r>
      <w:r w:rsidR="008B138F">
        <w:rPr>
          <w:sz w:val="20"/>
          <w:lang w:eastAsia="ja-JP"/>
        </w:rPr>
        <w:t xml:space="preserve">conventional </w:t>
      </w:r>
      <w:r>
        <w:rPr>
          <w:sz w:val="20"/>
          <w:lang w:eastAsia="ja-JP"/>
        </w:rPr>
        <w:t xml:space="preserve">MAC CE signaling are </w:t>
      </w:r>
      <w:r w:rsidR="00745599">
        <w:rPr>
          <w:sz w:val="20"/>
          <w:lang w:eastAsia="ja-JP"/>
        </w:rPr>
        <w:t>leveraged</w:t>
      </w:r>
      <w:r w:rsidR="00E70656">
        <w:rPr>
          <w:sz w:val="20"/>
          <w:lang w:eastAsia="ja-JP"/>
        </w:rPr>
        <w:t xml:space="preserve"> to facilitate beam </w:t>
      </w:r>
      <w:r w:rsidR="0059391C">
        <w:rPr>
          <w:sz w:val="20"/>
          <w:lang w:eastAsia="ja-JP"/>
        </w:rPr>
        <w:t>update</w:t>
      </w:r>
      <w:r w:rsidR="000F19F6">
        <w:rPr>
          <w:sz w:val="20"/>
          <w:lang w:eastAsia="ja-JP"/>
        </w:rPr>
        <w:t xml:space="preserve"> with considerable signaling latency</w:t>
      </w:r>
      <w:r w:rsidR="00745599">
        <w:rPr>
          <w:sz w:val="20"/>
          <w:lang w:eastAsia="ja-JP"/>
        </w:rPr>
        <w:t>. Speaking the MAC CE latency, RAN1 and RAN4 are still facing divergent description of latency, for instance, in RAN1</w:t>
      </w:r>
      <w:r w:rsidR="0059391C">
        <w:rPr>
          <w:sz w:val="20"/>
          <w:lang w:eastAsia="ja-JP"/>
        </w:rPr>
        <w:t>’s spec</w:t>
      </w:r>
      <w:r w:rsidR="00745599">
        <w:rPr>
          <w:sz w:val="20"/>
          <w:lang w:eastAsia="ja-JP"/>
        </w:rPr>
        <w:t xml:space="preserve"> only 3ms is needed for MAC CE to take effect</w:t>
      </w:r>
      <w:r w:rsidR="0059391C">
        <w:rPr>
          <w:sz w:val="20"/>
          <w:lang w:eastAsia="ja-JP"/>
        </w:rPr>
        <w:t xml:space="preserve"> after HARQ-ACK transmitted for the PDSCH carrying the MAC CE activating TCI states</w:t>
      </w:r>
      <w:r w:rsidR="00745599">
        <w:rPr>
          <w:sz w:val="20"/>
          <w:lang w:eastAsia="ja-JP"/>
        </w:rPr>
        <w:t xml:space="preserve">, whereas in RAN4’s spec, one may need to </w:t>
      </w:r>
      <w:r w:rsidR="005D425F">
        <w:rPr>
          <w:sz w:val="20"/>
          <w:lang w:eastAsia="ja-JP"/>
        </w:rPr>
        <w:t xml:space="preserve">take account more factors, e.g. the </w:t>
      </w:r>
      <w:r w:rsidR="0059391C">
        <w:rPr>
          <w:sz w:val="20"/>
          <w:lang w:eastAsia="ja-JP"/>
        </w:rPr>
        <w:t xml:space="preserve">the RSRP of </w:t>
      </w:r>
      <w:r w:rsidR="005D425F">
        <w:rPr>
          <w:sz w:val="20"/>
          <w:lang w:eastAsia="ja-JP"/>
        </w:rPr>
        <w:t xml:space="preserve">first QCLed SSB, known or unknown </w:t>
      </w:r>
      <w:r w:rsidR="005D425F">
        <w:rPr>
          <w:rFonts w:hint="eastAsia"/>
          <w:sz w:val="20"/>
          <w:lang w:eastAsia="zh-CN"/>
        </w:rPr>
        <w:t>TCI</w:t>
      </w:r>
      <w:r w:rsidR="005D425F">
        <w:rPr>
          <w:sz w:val="20"/>
          <w:lang w:eastAsia="ja-JP"/>
        </w:rPr>
        <w:t xml:space="preserve"> state, etc, which may yield larger time budget for the MAC CE to be applied when compared with the interpretation of RAN1’s spec. </w:t>
      </w:r>
    </w:p>
    <w:p w14:paraId="490A0DED" w14:textId="0DFE2A40" w:rsidR="00A92315" w:rsidRDefault="0080648E" w:rsidP="00FB7FA7">
      <w:pPr>
        <w:rPr>
          <w:sz w:val="20"/>
          <w:lang w:eastAsia="ja-JP"/>
        </w:rPr>
      </w:pPr>
      <w:r>
        <w:rPr>
          <w:sz w:val="20"/>
          <w:lang w:eastAsia="ja-JP"/>
        </w:rPr>
        <w:t>In RAN1#102</w:t>
      </w:r>
      <w:r w:rsidR="006F0016">
        <w:rPr>
          <w:sz w:val="20"/>
          <w:lang w:eastAsia="ja-JP"/>
        </w:rPr>
        <w:t xml:space="preserve">e, </w:t>
      </w:r>
      <w:r w:rsidR="00E70656">
        <w:rPr>
          <w:sz w:val="20"/>
          <w:lang w:eastAsia="ja-JP"/>
        </w:rPr>
        <w:t xml:space="preserve">Item a) of </w:t>
      </w:r>
      <w:r w:rsidR="00E70656" w:rsidRPr="00FB7FA7">
        <w:rPr>
          <w:b/>
          <w:sz w:val="20"/>
          <w:lang w:eastAsia="ja-JP"/>
        </w:rPr>
        <w:t>Issue 3</w:t>
      </w:r>
      <w:r w:rsidR="00E70656">
        <w:rPr>
          <w:b/>
          <w:sz w:val="20"/>
          <w:lang w:eastAsia="ja-JP"/>
        </w:rPr>
        <w:t xml:space="preserve"> </w:t>
      </w:r>
      <w:r w:rsidR="00E70656" w:rsidRPr="00FB7FA7">
        <w:rPr>
          <w:sz w:val="20"/>
          <w:lang w:eastAsia="ja-JP"/>
        </w:rPr>
        <w:t xml:space="preserve">was </w:t>
      </w:r>
      <w:r w:rsidR="00E70656">
        <w:rPr>
          <w:sz w:val="20"/>
          <w:lang w:eastAsia="ja-JP"/>
        </w:rPr>
        <w:t>achieved as following</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6F0016" w:rsidRPr="00797A8E" w14:paraId="773B2A18" w14:textId="77777777" w:rsidTr="00D65BE2">
        <w:trPr>
          <w:trHeight w:val="1602"/>
        </w:trPr>
        <w:tc>
          <w:tcPr>
            <w:tcW w:w="9259" w:type="dxa"/>
          </w:tcPr>
          <w:p w14:paraId="7CF82C2A" w14:textId="197B87A5" w:rsidR="00E70656" w:rsidRPr="00FB7FA7" w:rsidRDefault="00E70656" w:rsidP="00FB7FA7">
            <w:pPr>
              <w:spacing w:before="80" w:after="0"/>
              <w:contextualSpacing/>
              <w:jc w:val="left"/>
              <w:rPr>
                <w:b/>
                <w:sz w:val="20"/>
                <w:szCs w:val="20"/>
                <w:lang w:val="en-GB"/>
              </w:rPr>
            </w:pPr>
            <w:r w:rsidRPr="00FB7FA7">
              <w:rPr>
                <w:rFonts w:cs="Calibri"/>
                <w:b/>
                <w:sz w:val="20"/>
                <w:szCs w:val="20"/>
                <w:lang w:val="en-GB" w:eastAsia="zh-CN"/>
              </w:rPr>
              <w:lastRenderedPageBreak/>
              <w:t>[Issue 3] For Rel.17 NR FeMIMO, on dynamic TCI state update signaling medium:</w:t>
            </w:r>
          </w:p>
          <w:p w14:paraId="1C31F2A1" w14:textId="224CF24D" w:rsidR="006F0016" w:rsidRPr="00FB7FA7" w:rsidRDefault="00E70656" w:rsidP="00FB7FA7">
            <w:pPr>
              <w:spacing w:after="0"/>
              <w:ind w:left="454"/>
              <w:contextualSpacing/>
              <w:jc w:val="left"/>
              <w:rPr>
                <w:sz w:val="20"/>
                <w:szCs w:val="20"/>
              </w:rPr>
            </w:pPr>
            <w:r w:rsidRPr="00FB7FA7">
              <w:rPr>
                <w:rFonts w:cs="Calibri"/>
                <w:sz w:val="20"/>
                <w:szCs w:val="20"/>
                <w:lang w:eastAsia="zh-CN"/>
              </w:rPr>
              <w:t>a)</w:t>
            </w:r>
            <w:r>
              <w:rPr>
                <w:sz w:val="20"/>
                <w:szCs w:val="20"/>
              </w:rPr>
              <w:t xml:space="preserve"> </w:t>
            </w:r>
            <w:r w:rsidR="006F0016" w:rsidRPr="00FB7FA7">
              <w:rPr>
                <w:sz w:val="20"/>
                <w:szCs w:val="20"/>
              </w:rPr>
              <w:t>In RAN1#103-e, investigate, for the purpose of down selection, the following alternatives:</w:t>
            </w:r>
          </w:p>
          <w:p w14:paraId="4335CCA6" w14:textId="77777777" w:rsidR="006F0016" w:rsidRPr="00FB7FA7" w:rsidRDefault="006F0016" w:rsidP="00FB7FA7">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Alt1. DCI</w:t>
            </w:r>
          </w:p>
          <w:p w14:paraId="01F8E50F" w14:textId="77777777" w:rsidR="006F0016" w:rsidRPr="00FB7FA7" w:rsidRDefault="006F0016" w:rsidP="00FB7FA7">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Alt2. MAC CE</w:t>
            </w:r>
          </w:p>
          <w:p w14:paraId="4FA5512B" w14:textId="77777777" w:rsidR="006F0016" w:rsidRPr="00FB7FA7" w:rsidRDefault="006F0016" w:rsidP="00FB7FA7">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Combination between DCI and MAC CE for, e.g. different use cases or control information partitioning can also be considered </w:t>
            </w:r>
          </w:p>
          <w:p w14:paraId="1427C1AE" w14:textId="77777777" w:rsidR="006F0016" w:rsidRPr="00FB7FA7" w:rsidRDefault="006F0016" w:rsidP="00FB7FA7">
            <w:pPr>
              <w:pStyle w:val="ListParagraph"/>
              <w:numPr>
                <w:ilvl w:val="2"/>
                <w:numId w:val="26"/>
              </w:numPr>
              <w:snapToGrid w:val="0"/>
              <w:ind w:left="1378" w:hanging="357"/>
              <w:contextualSpacing/>
              <w:jc w:val="left"/>
              <w:rPr>
                <w:rFonts w:ascii="Times New Roman" w:hAnsi="Times New Roman"/>
                <w:sz w:val="20"/>
                <w:szCs w:val="20"/>
              </w:rPr>
            </w:pPr>
            <w:r w:rsidRPr="00FB7FA7">
              <w:rPr>
                <w:rFonts w:ascii="Times New Roman" w:hAnsi="Times New Roman"/>
                <w:sz w:val="20"/>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47F4039B" w14:textId="79C9ABE1" w:rsidR="006F0016" w:rsidRPr="00FB7FA7" w:rsidRDefault="006F0016" w:rsidP="00FB7FA7">
            <w:pPr>
              <w:pStyle w:val="ListParagraph"/>
              <w:numPr>
                <w:ilvl w:val="2"/>
                <w:numId w:val="26"/>
              </w:numPr>
              <w:snapToGrid w:val="0"/>
              <w:spacing w:after="80"/>
              <w:ind w:left="1378" w:hanging="357"/>
              <w:contextualSpacing/>
              <w:jc w:val="left"/>
              <w:rPr>
                <w:sz w:val="20"/>
                <w:szCs w:val="20"/>
              </w:rPr>
            </w:pPr>
            <w:r w:rsidRPr="00FB7FA7">
              <w:rPr>
                <w:rFonts w:ascii="Times New Roman" w:hAnsi="Times New Roman"/>
                <w:sz w:val="20"/>
                <w:szCs w:val="20"/>
              </w:rPr>
              <w:t>Note: This may be related to outcome of issue 1a), 1b), and 6a)</w:t>
            </w:r>
          </w:p>
        </w:tc>
      </w:tr>
    </w:tbl>
    <w:p w14:paraId="56F799FC" w14:textId="767154AD" w:rsidR="00604278" w:rsidRDefault="001B3A1B" w:rsidP="00FB7FA7">
      <w:pPr>
        <w:spacing w:before="80"/>
        <w:rPr>
          <w:sz w:val="20"/>
          <w:lang w:eastAsia="ja-JP"/>
        </w:rPr>
      </w:pPr>
      <w:r w:rsidRPr="00FB7FA7">
        <w:rPr>
          <w:sz w:val="20"/>
          <w:lang w:eastAsia="ja-JP"/>
        </w:rPr>
        <w:t xml:space="preserve">In our view, </w:t>
      </w:r>
      <w:r>
        <w:rPr>
          <w:sz w:val="20"/>
          <w:lang w:eastAsia="ja-JP"/>
        </w:rPr>
        <w:t xml:space="preserve">the MAC CE based approach can be applied </w:t>
      </w:r>
      <w:r w:rsidR="0059391C">
        <w:rPr>
          <w:sz w:val="20"/>
          <w:lang w:eastAsia="ja-JP"/>
        </w:rPr>
        <w:t xml:space="preserve">similarly </w:t>
      </w:r>
      <w:r w:rsidR="00DF6813">
        <w:rPr>
          <w:sz w:val="20"/>
          <w:lang w:eastAsia="ja-JP"/>
        </w:rPr>
        <w:t>as in Rel.15/16. It includes pure MAC CE based signaling approach and MAC CE plus DCI based signaling approach.</w:t>
      </w:r>
      <w:r>
        <w:rPr>
          <w:sz w:val="20"/>
          <w:lang w:eastAsia="ja-JP"/>
        </w:rPr>
        <w:t xml:space="preserve"> As for the DCI based new approach, </w:t>
      </w:r>
      <w:r w:rsidR="00604278">
        <w:rPr>
          <w:sz w:val="20"/>
          <w:lang w:eastAsia="ja-JP"/>
        </w:rPr>
        <w:t xml:space="preserve">if the impacts on reliability, overhead, etc can be properly </w:t>
      </w:r>
      <w:r w:rsidR="00DF6813">
        <w:rPr>
          <w:sz w:val="20"/>
          <w:lang w:eastAsia="ja-JP"/>
        </w:rPr>
        <w:t xml:space="preserve">investigated and </w:t>
      </w:r>
      <w:r w:rsidR="00604278">
        <w:rPr>
          <w:sz w:val="20"/>
          <w:lang w:eastAsia="ja-JP"/>
        </w:rPr>
        <w:t xml:space="preserve">justified, it can be </w:t>
      </w:r>
      <w:r w:rsidR="00DF6813">
        <w:rPr>
          <w:sz w:val="20"/>
          <w:lang w:eastAsia="ja-JP"/>
        </w:rPr>
        <w:t>supported</w:t>
      </w:r>
      <w:r w:rsidR="00604278">
        <w:rPr>
          <w:sz w:val="20"/>
          <w:lang w:eastAsia="ja-JP"/>
        </w:rPr>
        <w:t xml:space="preserve"> as well. </w:t>
      </w:r>
    </w:p>
    <w:p w14:paraId="5F7410A7" w14:textId="55CF493A" w:rsidR="00604278" w:rsidRPr="00FB7FA7" w:rsidRDefault="00604278" w:rsidP="00FB7FA7">
      <w:pPr>
        <w:pStyle w:val="ListParagraph"/>
        <w:numPr>
          <w:ilvl w:val="0"/>
          <w:numId w:val="32"/>
        </w:numPr>
        <w:spacing w:after="40"/>
        <w:rPr>
          <w:sz w:val="22"/>
          <w:szCs w:val="20"/>
        </w:rPr>
      </w:pPr>
      <w:r>
        <w:rPr>
          <w:rFonts w:ascii="Times New Roman" w:hAnsi="Times New Roman" w:cs="Times New Roman"/>
          <w:b/>
          <w:sz w:val="22"/>
          <w:szCs w:val="20"/>
        </w:rPr>
        <w:t>:</w:t>
      </w:r>
      <w:r w:rsidR="00C0761E">
        <w:rPr>
          <w:rFonts w:ascii="Times New Roman" w:hAnsi="Times New Roman" w:cs="Times New Roman"/>
          <w:b/>
          <w:sz w:val="22"/>
          <w:szCs w:val="20"/>
        </w:rPr>
        <w:t xml:space="preserve"> </w:t>
      </w:r>
      <w:r w:rsidR="001E558C">
        <w:rPr>
          <w:rFonts w:ascii="Times New Roman" w:hAnsi="Times New Roman" w:cs="Times New Roman"/>
          <w:b/>
          <w:sz w:val="22"/>
          <w:szCs w:val="20"/>
        </w:rPr>
        <w:t>Investigate</w:t>
      </w:r>
      <w:r w:rsidR="00C0761E">
        <w:rPr>
          <w:rFonts w:ascii="Times New Roman" w:hAnsi="Times New Roman" w:cs="Times New Roman"/>
          <w:b/>
          <w:sz w:val="22"/>
          <w:szCs w:val="20"/>
        </w:rPr>
        <w:t xml:space="preserve"> </w:t>
      </w:r>
      <w:r w:rsidR="009A015A">
        <w:rPr>
          <w:rFonts w:ascii="Times New Roman" w:hAnsi="Times New Roman" w:cs="Times New Roman"/>
          <w:b/>
          <w:sz w:val="22"/>
          <w:szCs w:val="20"/>
        </w:rPr>
        <w:t xml:space="preserve">and specify (if the overall performance including overhead, latency and flexibility, reliability can be justified) </w:t>
      </w:r>
      <w:r w:rsidR="00C0761E">
        <w:rPr>
          <w:rFonts w:ascii="Times New Roman" w:hAnsi="Times New Roman" w:cs="Times New Roman"/>
          <w:b/>
          <w:sz w:val="22"/>
          <w:szCs w:val="20"/>
        </w:rPr>
        <w:t xml:space="preserve">the DCI based </w:t>
      </w:r>
      <w:r w:rsidR="009A015A">
        <w:rPr>
          <w:rFonts w:ascii="Times New Roman" w:hAnsi="Times New Roman" w:cs="Times New Roman"/>
          <w:b/>
          <w:sz w:val="22"/>
          <w:szCs w:val="20"/>
        </w:rPr>
        <w:t>TCI state updating</w:t>
      </w:r>
      <w:r w:rsidR="00C0761E">
        <w:rPr>
          <w:rFonts w:ascii="Times New Roman" w:hAnsi="Times New Roman" w:cs="Times New Roman"/>
          <w:b/>
          <w:sz w:val="22"/>
          <w:szCs w:val="20"/>
        </w:rPr>
        <w:t xml:space="preserve"> for </w:t>
      </w:r>
      <w:r w:rsidR="009A015A">
        <w:rPr>
          <w:rFonts w:ascii="Times New Roman" w:hAnsi="Times New Roman" w:cs="Times New Roman"/>
          <w:b/>
          <w:sz w:val="22"/>
          <w:szCs w:val="20"/>
        </w:rPr>
        <w:t xml:space="preserve">DL and UL </w:t>
      </w:r>
      <w:r w:rsidR="00C0761E">
        <w:rPr>
          <w:rFonts w:ascii="Times New Roman" w:hAnsi="Times New Roman" w:cs="Times New Roman"/>
          <w:b/>
          <w:sz w:val="22"/>
          <w:szCs w:val="20"/>
        </w:rPr>
        <w:t>channels/signals</w:t>
      </w:r>
      <w:r w:rsidRPr="00C80538">
        <w:rPr>
          <w:rFonts w:ascii="Times New Roman" w:hAnsi="Times New Roman" w:cs="Times New Roman"/>
          <w:b/>
          <w:sz w:val="22"/>
          <w:szCs w:val="20"/>
        </w:rPr>
        <w:t>.</w:t>
      </w:r>
    </w:p>
    <w:p w14:paraId="7B4F1C8D" w14:textId="5CA323FD" w:rsidR="003E68D5" w:rsidRPr="00C925AA" w:rsidRDefault="003E68D5" w:rsidP="00A5707B">
      <w:pPr>
        <w:pStyle w:val="Heading1"/>
        <w:rPr>
          <w:sz w:val="24"/>
          <w:lang w:eastAsia="ja-JP"/>
        </w:rPr>
      </w:pPr>
      <w:r w:rsidRPr="00C925AA">
        <w:rPr>
          <w:sz w:val="24"/>
          <w:lang w:eastAsia="ja-JP"/>
        </w:rPr>
        <w:t>L1/L2 inter-cell mobility</w:t>
      </w:r>
    </w:p>
    <w:p w14:paraId="250753A5" w14:textId="73736E6B" w:rsidR="003E68D5" w:rsidRDefault="003E68D5" w:rsidP="003E68D5">
      <w:pPr>
        <w:rPr>
          <w:sz w:val="20"/>
          <w:lang w:eastAsia="ja-JP"/>
        </w:rPr>
      </w:pPr>
      <w:r>
        <w:rPr>
          <w:sz w:val="20"/>
          <w:lang w:eastAsia="ja-JP"/>
        </w:rPr>
        <w:t xml:space="preserve">In Rel.15/16 NR, the intra-cell mobility was supported on a per-beam basis. In the WID of Rel.17, RAN plans to support the inter-cell mobility with as less latency as possible, i.e. by using the L1/L2 signaling, not relying on conventional handover procedure which involves RRC signaling and </w:t>
      </w:r>
      <w:r w:rsidR="007D727B">
        <w:rPr>
          <w:sz w:val="20"/>
          <w:lang w:eastAsia="ja-JP"/>
        </w:rPr>
        <w:t xml:space="preserve">therefore </w:t>
      </w:r>
      <w:r>
        <w:rPr>
          <w:sz w:val="20"/>
          <w:lang w:eastAsia="ja-JP"/>
        </w:rPr>
        <w:t>suffers from large</w:t>
      </w:r>
      <w:r w:rsidR="000E4919">
        <w:rPr>
          <w:sz w:val="20"/>
          <w:lang w:eastAsia="ja-JP"/>
        </w:rPr>
        <w:t>r</w:t>
      </w:r>
      <w:r>
        <w:rPr>
          <w:sz w:val="20"/>
          <w:lang w:eastAsia="ja-JP"/>
        </w:rPr>
        <w:t xml:space="preserve"> latency</w:t>
      </w:r>
      <w:r w:rsidR="007D727B">
        <w:rPr>
          <w:sz w:val="20"/>
          <w:lang w:eastAsia="ja-JP"/>
        </w:rPr>
        <w:t xml:space="preserve"> of higher layer signaling</w:t>
      </w:r>
      <w:r>
        <w:rPr>
          <w:sz w:val="20"/>
          <w:lang w:eastAsia="ja-JP"/>
        </w:rPr>
        <w:t xml:space="preserve">. The handover procedure for UE in RRC_CONNECTED in TS 38.300 can be found in </w:t>
      </w:r>
      <w:r>
        <w:rPr>
          <w:sz w:val="20"/>
          <w:lang w:eastAsia="ja-JP"/>
        </w:rPr>
        <w:fldChar w:fldCharType="begin"/>
      </w:r>
      <w:r>
        <w:rPr>
          <w:sz w:val="20"/>
          <w:lang w:eastAsia="ja-JP"/>
        </w:rPr>
        <w:instrText xml:space="preserve"> REF _Ref44231954 \r \h </w:instrText>
      </w:r>
      <w:r>
        <w:rPr>
          <w:sz w:val="20"/>
          <w:lang w:eastAsia="ja-JP"/>
        </w:rPr>
      </w:r>
      <w:r>
        <w:rPr>
          <w:sz w:val="20"/>
          <w:lang w:eastAsia="ja-JP"/>
        </w:rPr>
        <w:fldChar w:fldCharType="separate"/>
      </w:r>
      <w:r w:rsidR="006D01BF">
        <w:rPr>
          <w:sz w:val="20"/>
          <w:lang w:eastAsia="ja-JP"/>
        </w:rPr>
        <w:t>Figure 2</w:t>
      </w:r>
      <w:r>
        <w:rPr>
          <w:sz w:val="20"/>
          <w:lang w:eastAsia="ja-JP"/>
        </w:rPr>
        <w:fldChar w:fldCharType="end"/>
      </w:r>
      <w:r>
        <w:rPr>
          <w:sz w:val="20"/>
          <w:lang w:eastAsia="ja-JP"/>
        </w:rPr>
        <w:t>.</w:t>
      </w:r>
    </w:p>
    <w:p w14:paraId="2520B5B0" w14:textId="77777777" w:rsidR="003E68D5" w:rsidRDefault="003E68D5" w:rsidP="003E68D5">
      <w:pPr>
        <w:jc w:val="center"/>
        <w:rPr>
          <w:noProof/>
        </w:rPr>
      </w:pPr>
      <w:r w:rsidRPr="00653C72">
        <w:rPr>
          <w:noProof/>
        </w:rPr>
        <w:object w:dxaOrig="9360" w:dyaOrig="4140" w14:anchorId="2A4D875F">
          <v:shape id="_x0000_i1026" type="#_x0000_t75" style="width:328.05pt;height:145pt" o:ole="">
            <v:imagedata r:id="rId11" o:title=""/>
          </v:shape>
          <o:OLEObject Type="Embed" ProgID="Mscgen.Chart" ShapeID="_x0000_i1026" DrawAspect="Content" ObjectID="_1664980307" r:id="rId12"/>
        </w:object>
      </w:r>
    </w:p>
    <w:p w14:paraId="72E6E51F" w14:textId="77777777" w:rsidR="003E68D5" w:rsidRPr="00C925AA" w:rsidRDefault="003E68D5" w:rsidP="003E68D5">
      <w:pPr>
        <w:pStyle w:val="ListParagraph"/>
        <w:numPr>
          <w:ilvl w:val="0"/>
          <w:numId w:val="13"/>
        </w:numPr>
        <w:spacing w:after="120"/>
        <w:ind w:left="357" w:hanging="357"/>
        <w:jc w:val="center"/>
        <w:rPr>
          <w:rFonts w:ascii="Times New Roman" w:hAnsi="Times New Roman" w:cs="Times New Roman"/>
          <w:b/>
          <w:sz w:val="18"/>
          <w:lang w:eastAsia="ja-JP"/>
        </w:rPr>
      </w:pPr>
      <w:bookmarkStart w:id="5" w:name="_Ref44231954"/>
      <w:r w:rsidRPr="00C925AA">
        <w:rPr>
          <w:rFonts w:ascii="Times New Roman" w:hAnsi="Times New Roman" w:cs="Times New Roman"/>
          <w:b/>
          <w:sz w:val="18"/>
          <w:lang w:eastAsia="ja-JP"/>
        </w:rPr>
        <w:t xml:space="preserve">: </w:t>
      </w:r>
      <w:bookmarkStart w:id="6" w:name="_Ref44231903"/>
      <w:r w:rsidRPr="00C925AA">
        <w:rPr>
          <w:rFonts w:ascii="Times New Roman" w:hAnsi="Times New Roman" w:cs="Times New Roman"/>
          <w:b/>
          <w:sz w:val="18"/>
          <w:lang w:eastAsia="ja-JP"/>
        </w:rPr>
        <w:t>RRC involved inter-cell mobility</w:t>
      </w:r>
      <w:bookmarkEnd w:id="5"/>
      <w:bookmarkEnd w:id="6"/>
    </w:p>
    <w:p w14:paraId="0AECE27C" w14:textId="25DD4E88" w:rsidR="002A3CE3" w:rsidRDefault="003E68D5" w:rsidP="003E68D5">
      <w:pPr>
        <w:rPr>
          <w:sz w:val="20"/>
          <w:lang w:eastAsia="ja-JP"/>
        </w:rPr>
      </w:pPr>
      <w:r>
        <w:rPr>
          <w:sz w:val="20"/>
          <w:lang w:eastAsia="ja-JP"/>
        </w:rPr>
        <w:t xml:space="preserve">The motivation for introducing L1/L2-centric inter-cell mobility is to address an issue associated with a moderate- to high-speed UE that intends to </w:t>
      </w:r>
      <w:r w:rsidR="00562BAD">
        <w:rPr>
          <w:sz w:val="20"/>
          <w:lang w:eastAsia="ja-JP"/>
        </w:rPr>
        <w:t>move a</w:t>
      </w:r>
      <w:r>
        <w:rPr>
          <w:sz w:val="20"/>
          <w:lang w:eastAsia="ja-JP"/>
        </w:rPr>
        <w:t xml:space="preserve">cross the border of its serving cell and enter the coverage of a non-serving cell. The benefit comes from avoiding the undesirably large latency of RRC signaling before the UE establishes beam-level connection with a target cell. </w:t>
      </w:r>
      <w:r w:rsidR="00BF3265">
        <w:rPr>
          <w:sz w:val="20"/>
          <w:lang w:eastAsia="ja-JP"/>
        </w:rPr>
        <w:t xml:space="preserve">By reusing the initial RRC configuration (no need to re-configure), L1/L2 signaling can be applied to conduct beam management with the target cell as early as possible. </w:t>
      </w:r>
    </w:p>
    <w:p w14:paraId="78C179CB" w14:textId="36E4275F" w:rsidR="00C01D14" w:rsidRPr="00FB7FA7" w:rsidRDefault="00C01D14" w:rsidP="00FB7FA7">
      <w:pPr>
        <w:pStyle w:val="Heading2"/>
        <w:rPr>
          <w:b w:val="0"/>
          <w:lang w:eastAsia="ja-JP"/>
        </w:rPr>
      </w:pPr>
      <w:r w:rsidRPr="00C01D14">
        <w:rPr>
          <w:sz w:val="22"/>
          <w:lang w:eastAsia="ja-JP"/>
        </w:rPr>
        <w:t>Prerequisite for L1/L2 mobility</w:t>
      </w:r>
    </w:p>
    <w:p w14:paraId="379DEE40" w14:textId="08106A0F" w:rsidR="006E38DA" w:rsidRPr="00FB7FA7" w:rsidRDefault="006E38DA" w:rsidP="003E68D5">
      <w:pPr>
        <w:rPr>
          <w:b/>
          <w:sz w:val="20"/>
          <w:u w:val="single"/>
          <w:lang w:eastAsia="ja-JP"/>
        </w:rPr>
      </w:pPr>
      <w:r>
        <w:rPr>
          <w:b/>
          <w:sz w:val="20"/>
          <w:u w:val="single"/>
          <w:lang w:eastAsia="ja-JP"/>
        </w:rPr>
        <w:t>RRC configuration</w:t>
      </w:r>
    </w:p>
    <w:p w14:paraId="1EF0BB58" w14:textId="4AA13C2F" w:rsidR="003E68D5" w:rsidRDefault="00D4147F" w:rsidP="003E68D5">
      <w:pPr>
        <w:rPr>
          <w:sz w:val="20"/>
          <w:lang w:eastAsia="ja-JP"/>
        </w:rPr>
      </w:pPr>
      <w:r>
        <w:rPr>
          <w:sz w:val="20"/>
          <w:lang w:eastAsia="ja-JP"/>
        </w:rPr>
        <w:t xml:space="preserve">To avoid </w:t>
      </w:r>
      <w:r w:rsidRPr="00FB7FA7">
        <w:rPr>
          <w:i/>
          <w:sz w:val="20"/>
          <w:lang w:eastAsia="ja-JP"/>
        </w:rPr>
        <w:t>RRCReconfiguration</w:t>
      </w:r>
      <w:r w:rsidR="00BF3265">
        <w:rPr>
          <w:sz w:val="20"/>
          <w:lang w:eastAsia="ja-JP"/>
        </w:rPr>
        <w:t xml:space="preserve"> (L3 signaling)</w:t>
      </w:r>
      <w:r>
        <w:rPr>
          <w:sz w:val="20"/>
          <w:lang w:eastAsia="ja-JP"/>
        </w:rPr>
        <w:t xml:space="preserve">, </w:t>
      </w:r>
      <w:r w:rsidR="005A6227">
        <w:rPr>
          <w:sz w:val="20"/>
          <w:lang w:eastAsia="ja-JP"/>
        </w:rPr>
        <w:t xml:space="preserve">one implementation would be that the NW pre-configures the </w:t>
      </w:r>
      <w:r w:rsidR="002A3CE3">
        <w:rPr>
          <w:sz w:val="20"/>
          <w:lang w:eastAsia="ja-JP"/>
        </w:rPr>
        <w:t xml:space="preserve">UE with </w:t>
      </w:r>
      <w:r w:rsidR="00BF3265">
        <w:rPr>
          <w:sz w:val="20"/>
          <w:lang w:eastAsia="ja-JP"/>
        </w:rPr>
        <w:t xml:space="preserve">all necessary </w:t>
      </w:r>
      <w:r w:rsidR="002A3CE3">
        <w:rPr>
          <w:sz w:val="20"/>
          <w:lang w:eastAsia="ja-JP"/>
        </w:rPr>
        <w:t xml:space="preserve">RRC parameters of </w:t>
      </w:r>
      <w:r w:rsidR="005A6227">
        <w:rPr>
          <w:sz w:val="20"/>
          <w:lang w:eastAsia="ja-JP"/>
        </w:rPr>
        <w:t xml:space="preserve">target cells along the UE’s </w:t>
      </w:r>
      <w:r w:rsidR="005A6227" w:rsidRPr="005A6227">
        <w:rPr>
          <w:sz w:val="20"/>
          <w:lang w:eastAsia="ja-JP"/>
        </w:rPr>
        <w:t>trajectory</w:t>
      </w:r>
      <w:r w:rsidR="002A3CE3">
        <w:rPr>
          <w:sz w:val="20"/>
          <w:lang w:eastAsia="ja-JP"/>
        </w:rPr>
        <w:t xml:space="preserve">. This approach could </w:t>
      </w:r>
      <w:r w:rsidR="00BF3265">
        <w:rPr>
          <w:sz w:val="20"/>
          <w:lang w:eastAsia="ja-JP"/>
        </w:rPr>
        <w:t>fit</w:t>
      </w:r>
      <w:r w:rsidR="002A3CE3">
        <w:rPr>
          <w:sz w:val="20"/>
          <w:lang w:eastAsia="ja-JP"/>
        </w:rPr>
        <w:t xml:space="preserve"> </w:t>
      </w:r>
      <w:r w:rsidR="00BF3265">
        <w:rPr>
          <w:sz w:val="20"/>
          <w:lang w:eastAsia="ja-JP"/>
        </w:rPr>
        <w:t xml:space="preserve">well </w:t>
      </w:r>
      <w:r w:rsidR="00994928">
        <w:rPr>
          <w:sz w:val="20"/>
          <w:lang w:eastAsia="ja-JP"/>
        </w:rPr>
        <w:t xml:space="preserve">for </w:t>
      </w:r>
      <w:r w:rsidR="002A3CE3">
        <w:rPr>
          <w:sz w:val="20"/>
          <w:lang w:eastAsia="ja-JP"/>
        </w:rPr>
        <w:t xml:space="preserve">the UE with predictable trajectory, e.g. UE in high way or high speed train. Another approach is to configure all </w:t>
      </w:r>
      <w:r w:rsidR="00D924CA">
        <w:rPr>
          <w:sz w:val="20"/>
          <w:lang w:eastAsia="ja-JP"/>
        </w:rPr>
        <w:t>cells</w:t>
      </w:r>
      <w:r w:rsidR="002A3CE3">
        <w:rPr>
          <w:sz w:val="20"/>
          <w:lang w:eastAsia="ja-JP"/>
        </w:rPr>
        <w:t xml:space="preserve"> with </w:t>
      </w:r>
      <w:r w:rsidR="00D924CA">
        <w:rPr>
          <w:sz w:val="20"/>
          <w:lang w:eastAsia="ja-JP"/>
        </w:rPr>
        <w:t xml:space="preserve">exactly </w:t>
      </w:r>
      <w:r w:rsidR="002A3CE3">
        <w:rPr>
          <w:sz w:val="20"/>
          <w:lang w:eastAsia="ja-JP"/>
        </w:rPr>
        <w:t xml:space="preserve">the same RRC </w:t>
      </w:r>
      <w:r w:rsidR="0007139E">
        <w:rPr>
          <w:sz w:val="20"/>
          <w:lang w:eastAsia="ja-JP"/>
        </w:rPr>
        <w:t>parameters</w:t>
      </w:r>
      <w:r w:rsidR="00D924CA">
        <w:rPr>
          <w:sz w:val="20"/>
          <w:lang w:eastAsia="ja-JP"/>
        </w:rPr>
        <w:t>. B</w:t>
      </w:r>
      <w:r w:rsidR="0007139E">
        <w:rPr>
          <w:sz w:val="20"/>
          <w:lang w:eastAsia="ja-JP"/>
        </w:rPr>
        <w:t xml:space="preserve">ut </w:t>
      </w:r>
      <w:r w:rsidR="00D924CA">
        <w:rPr>
          <w:sz w:val="20"/>
          <w:lang w:eastAsia="ja-JP"/>
        </w:rPr>
        <w:t xml:space="preserve">from NW perspective </w:t>
      </w:r>
      <w:r w:rsidR="0007139E">
        <w:rPr>
          <w:sz w:val="20"/>
          <w:lang w:eastAsia="ja-JP"/>
        </w:rPr>
        <w:t xml:space="preserve">it seems </w:t>
      </w:r>
      <w:r w:rsidR="00D924CA">
        <w:rPr>
          <w:sz w:val="20"/>
          <w:lang w:eastAsia="ja-JP"/>
        </w:rPr>
        <w:t>too restrictive to</w:t>
      </w:r>
      <w:r w:rsidR="0007139E">
        <w:rPr>
          <w:sz w:val="20"/>
          <w:lang w:eastAsia="ja-JP"/>
        </w:rPr>
        <w:t xml:space="preserve"> </w:t>
      </w:r>
      <w:r w:rsidR="00D924CA">
        <w:rPr>
          <w:sz w:val="20"/>
          <w:lang w:eastAsia="ja-JP"/>
        </w:rPr>
        <w:t>have all cells configured in the same format</w:t>
      </w:r>
      <w:r w:rsidR="0007139E">
        <w:rPr>
          <w:sz w:val="20"/>
          <w:lang w:eastAsia="ja-JP"/>
        </w:rPr>
        <w:t>.</w:t>
      </w:r>
      <w:r w:rsidR="00A45A81">
        <w:rPr>
          <w:sz w:val="20"/>
          <w:lang w:eastAsia="ja-JP"/>
        </w:rPr>
        <w:t xml:space="preserve"> </w:t>
      </w:r>
      <w:r w:rsidR="00725275">
        <w:rPr>
          <w:sz w:val="20"/>
          <w:lang w:eastAsia="ja-JP"/>
        </w:rPr>
        <w:t>So we don’t think the second approach is reasonable.</w:t>
      </w:r>
    </w:p>
    <w:p w14:paraId="06FBFEB3" w14:textId="05BEC4DD" w:rsidR="00A45A81" w:rsidRDefault="00725275" w:rsidP="003E68D5">
      <w:pPr>
        <w:rPr>
          <w:sz w:val="20"/>
          <w:lang w:eastAsia="zh-CN"/>
        </w:rPr>
      </w:pPr>
      <w:r>
        <w:rPr>
          <w:sz w:val="20"/>
          <w:lang w:eastAsia="zh-CN"/>
        </w:rPr>
        <w:t xml:space="preserve">Another issue on TCI configuration is </w:t>
      </w:r>
      <w:r w:rsidR="00F60010">
        <w:rPr>
          <w:sz w:val="20"/>
          <w:lang w:eastAsia="zh-CN"/>
        </w:rPr>
        <w:t xml:space="preserve">actually </w:t>
      </w:r>
      <w:r>
        <w:rPr>
          <w:sz w:val="20"/>
          <w:lang w:eastAsia="zh-CN"/>
        </w:rPr>
        <w:t xml:space="preserve">from </w:t>
      </w:r>
      <w:r w:rsidR="00F60010" w:rsidRPr="00F60010">
        <w:rPr>
          <w:sz w:val="20"/>
          <w:lang w:eastAsia="zh-CN"/>
        </w:rPr>
        <w:t>artificial</w:t>
      </w:r>
      <w:r w:rsidR="00F60010">
        <w:rPr>
          <w:sz w:val="20"/>
          <w:lang w:eastAsia="zh-CN"/>
        </w:rPr>
        <w:t xml:space="preserve"> constrain in </w:t>
      </w:r>
      <w:r>
        <w:rPr>
          <w:sz w:val="20"/>
          <w:lang w:eastAsia="zh-CN"/>
        </w:rPr>
        <w:t xml:space="preserve">Rel.15/16 spec. </w:t>
      </w:r>
      <w:r w:rsidR="00F60010">
        <w:rPr>
          <w:sz w:val="20"/>
          <w:lang w:eastAsia="zh-CN"/>
        </w:rPr>
        <w:t xml:space="preserve">Specifically a UE can only be configured with TCI states from serving cell(s). </w:t>
      </w:r>
      <w:r w:rsidR="00F60010">
        <w:rPr>
          <w:sz w:val="20"/>
          <w:lang w:eastAsia="zh-CN"/>
        </w:rPr>
        <w:t>To the end of enabling</w:t>
      </w:r>
      <w:r w:rsidR="00994928">
        <w:rPr>
          <w:sz w:val="20"/>
          <w:lang w:eastAsia="zh-CN"/>
        </w:rPr>
        <w:t xml:space="preserve"> beam operation</w:t>
      </w:r>
      <w:r w:rsidR="00A45A81">
        <w:rPr>
          <w:sz w:val="20"/>
          <w:lang w:eastAsia="zh-CN"/>
        </w:rPr>
        <w:t xml:space="preserve"> </w:t>
      </w:r>
      <w:r w:rsidR="00994928">
        <w:rPr>
          <w:sz w:val="20"/>
          <w:lang w:eastAsia="zh-CN"/>
        </w:rPr>
        <w:t>with</w:t>
      </w:r>
      <w:r w:rsidR="00A45A81">
        <w:rPr>
          <w:sz w:val="20"/>
          <w:lang w:eastAsia="zh-CN"/>
        </w:rPr>
        <w:t xml:space="preserve"> non-serving cell(s)</w:t>
      </w:r>
      <w:r w:rsidR="00F96856">
        <w:rPr>
          <w:sz w:val="20"/>
          <w:lang w:eastAsia="zh-CN"/>
        </w:rPr>
        <w:t>, one simple method</w:t>
      </w:r>
      <w:r w:rsidR="00994928">
        <w:rPr>
          <w:sz w:val="20"/>
          <w:lang w:eastAsia="zh-CN"/>
        </w:rPr>
        <w:t xml:space="preserve"> is to include</w:t>
      </w:r>
      <w:r w:rsidR="00F96856">
        <w:rPr>
          <w:sz w:val="20"/>
          <w:lang w:eastAsia="zh-CN"/>
        </w:rPr>
        <w:t xml:space="preserve"> or associate</w:t>
      </w:r>
      <w:r w:rsidR="00994928">
        <w:rPr>
          <w:sz w:val="20"/>
          <w:lang w:eastAsia="zh-CN"/>
        </w:rPr>
        <w:t xml:space="preserve"> TCI states from </w:t>
      </w:r>
      <w:r w:rsidR="00F60010">
        <w:rPr>
          <w:sz w:val="20"/>
          <w:lang w:eastAsia="zh-CN"/>
        </w:rPr>
        <w:t>non-serving cell(s)</w:t>
      </w:r>
      <w:r w:rsidR="00F96856">
        <w:rPr>
          <w:sz w:val="20"/>
          <w:lang w:eastAsia="zh-CN"/>
        </w:rPr>
        <w:t xml:space="preserve"> for a UE</w:t>
      </w:r>
      <w:r w:rsidR="00A45A81">
        <w:rPr>
          <w:sz w:val="20"/>
          <w:lang w:eastAsia="zh-CN"/>
        </w:rPr>
        <w:t>. Taking DL as example, it can be done by optionally allowing PCI (either from serving cell or non-serving cell) into QCL-info during initial RRC configuration.</w:t>
      </w:r>
    </w:p>
    <w:p w14:paraId="4E7BC5B8" w14:textId="134B9773" w:rsidR="00A45A81" w:rsidRDefault="00F96856" w:rsidP="00A45A81">
      <w:pPr>
        <w:rPr>
          <w:sz w:val="20"/>
          <w:lang w:eastAsia="zh-CN"/>
        </w:rPr>
      </w:pPr>
      <w:r>
        <w:rPr>
          <w:sz w:val="20"/>
          <w:lang w:eastAsia="zh-CN"/>
        </w:rPr>
        <w:t>Considering the progress of unified TCI</w:t>
      </w:r>
      <w:r w:rsidR="00A45A81">
        <w:rPr>
          <w:sz w:val="20"/>
          <w:lang w:eastAsia="zh-CN"/>
        </w:rPr>
        <w:t xml:space="preserve">, we have following </w:t>
      </w:r>
    </w:p>
    <w:p w14:paraId="7D5CFC1B" w14:textId="0724D02E" w:rsidR="00A45A81" w:rsidRPr="00556B33" w:rsidRDefault="00A45A81" w:rsidP="00FB7FA7">
      <w:pPr>
        <w:pStyle w:val="ListParagraph"/>
        <w:numPr>
          <w:ilvl w:val="0"/>
          <w:numId w:val="32"/>
        </w:numPr>
        <w:rPr>
          <w:sz w:val="22"/>
          <w:szCs w:val="24"/>
        </w:rPr>
      </w:pPr>
      <w:r>
        <w:rPr>
          <w:rFonts w:ascii="Times New Roman" w:hAnsi="Times New Roman" w:cs="Times New Roman"/>
          <w:b/>
          <w:sz w:val="22"/>
          <w:szCs w:val="24"/>
        </w:rPr>
        <w:lastRenderedPageBreak/>
        <w:t xml:space="preserve">: </w:t>
      </w:r>
      <w:r w:rsidRPr="00556B33">
        <w:rPr>
          <w:rFonts w:ascii="Times New Roman" w:hAnsi="Times New Roman" w:cs="Times New Roman"/>
          <w:b/>
          <w:sz w:val="22"/>
          <w:szCs w:val="24"/>
        </w:rPr>
        <w:t xml:space="preserve">Study and specify (if necessary) the L1/L2-centric approach </w:t>
      </w:r>
      <w:r w:rsidR="00A90225">
        <w:rPr>
          <w:rFonts w:ascii="Times New Roman" w:hAnsi="Times New Roman" w:cs="Times New Roman"/>
          <w:b/>
          <w:sz w:val="22"/>
          <w:szCs w:val="24"/>
        </w:rPr>
        <w:t>for</w:t>
      </w:r>
      <w:r w:rsidRPr="00556B33">
        <w:rPr>
          <w:rFonts w:ascii="Times New Roman" w:hAnsi="Times New Roman" w:cs="Times New Roman"/>
          <w:b/>
          <w:sz w:val="22"/>
          <w:szCs w:val="24"/>
        </w:rPr>
        <w:t xml:space="preserve"> inter-cell mobility</w:t>
      </w:r>
    </w:p>
    <w:p w14:paraId="734096F6" w14:textId="2A533AEC" w:rsidR="00A45A81" w:rsidRPr="00556B33" w:rsidRDefault="00A45A81" w:rsidP="00FB7FA7">
      <w:pPr>
        <w:pStyle w:val="ListParagraph"/>
        <w:numPr>
          <w:ilvl w:val="0"/>
          <w:numId w:val="8"/>
        </w:numPr>
        <w:ind w:left="924" w:hanging="357"/>
        <w:rPr>
          <w:sz w:val="22"/>
          <w:szCs w:val="24"/>
        </w:rPr>
      </w:pPr>
      <w:r w:rsidRPr="00556B33">
        <w:rPr>
          <w:rFonts w:ascii="Times New Roman" w:hAnsi="Times New Roman" w:cs="Times New Roman"/>
          <w:b/>
          <w:sz w:val="22"/>
          <w:szCs w:val="24"/>
        </w:rPr>
        <w:t>Incorporate</w:t>
      </w:r>
      <w:r w:rsidR="00A90225">
        <w:rPr>
          <w:rFonts w:ascii="Times New Roman" w:hAnsi="Times New Roman" w:cs="Times New Roman"/>
          <w:b/>
          <w:sz w:val="22"/>
          <w:szCs w:val="24"/>
        </w:rPr>
        <w:t>/associate</w:t>
      </w:r>
      <w:r w:rsidRPr="00556B33">
        <w:rPr>
          <w:rFonts w:ascii="Times New Roman" w:hAnsi="Times New Roman" w:cs="Times New Roman"/>
          <w:b/>
          <w:sz w:val="22"/>
          <w:szCs w:val="24"/>
        </w:rPr>
        <w:t xml:space="preserve"> PCI </w:t>
      </w:r>
      <w:r w:rsidR="00A90225">
        <w:rPr>
          <w:rFonts w:ascii="Times New Roman" w:hAnsi="Times New Roman" w:cs="Times New Roman"/>
          <w:b/>
          <w:sz w:val="22"/>
          <w:szCs w:val="24"/>
        </w:rPr>
        <w:t xml:space="preserve">with unified </w:t>
      </w:r>
      <w:r w:rsidRPr="00556B33">
        <w:rPr>
          <w:rFonts w:ascii="Times New Roman" w:hAnsi="Times New Roman" w:cs="Times New Roman"/>
          <w:b/>
          <w:sz w:val="22"/>
          <w:szCs w:val="24"/>
        </w:rPr>
        <w:t>TCI state for DL beam management</w:t>
      </w:r>
    </w:p>
    <w:p w14:paraId="6509AD6A" w14:textId="125DF33B" w:rsidR="00A45A81" w:rsidRPr="00FB7FA7" w:rsidRDefault="00A45A81" w:rsidP="00FB7FA7">
      <w:pPr>
        <w:pStyle w:val="ListParagraph"/>
        <w:numPr>
          <w:ilvl w:val="0"/>
          <w:numId w:val="8"/>
        </w:numPr>
        <w:spacing w:after="80"/>
        <w:ind w:left="924" w:hanging="357"/>
        <w:rPr>
          <w:sz w:val="20"/>
          <w:lang w:eastAsia="ja-JP"/>
        </w:rPr>
      </w:pPr>
      <w:r w:rsidRPr="00556B33">
        <w:rPr>
          <w:rFonts w:ascii="Times New Roman" w:hAnsi="Times New Roman" w:cs="Times New Roman"/>
          <w:b/>
          <w:sz w:val="22"/>
          <w:szCs w:val="24"/>
        </w:rPr>
        <w:t>Incorporate</w:t>
      </w:r>
      <w:r w:rsidR="00A90225">
        <w:rPr>
          <w:rFonts w:ascii="Times New Roman" w:hAnsi="Times New Roman" w:cs="Times New Roman"/>
          <w:b/>
          <w:sz w:val="22"/>
          <w:szCs w:val="24"/>
        </w:rPr>
        <w:t>/associate</w:t>
      </w:r>
      <w:r w:rsidRPr="00556B33">
        <w:rPr>
          <w:rFonts w:ascii="Times New Roman" w:hAnsi="Times New Roman" w:cs="Times New Roman"/>
          <w:b/>
          <w:sz w:val="22"/>
          <w:szCs w:val="24"/>
        </w:rPr>
        <w:t xml:space="preserve"> PCI </w:t>
      </w:r>
      <w:r w:rsidR="00A90225">
        <w:rPr>
          <w:rFonts w:ascii="Times New Roman" w:hAnsi="Times New Roman" w:cs="Times New Roman"/>
          <w:b/>
          <w:sz w:val="22"/>
          <w:szCs w:val="24"/>
        </w:rPr>
        <w:t xml:space="preserve">with unified TCI state or </w:t>
      </w:r>
      <w:r w:rsidRPr="00556B33">
        <w:rPr>
          <w:rFonts w:ascii="Times New Roman" w:hAnsi="Times New Roman" w:cs="Times New Roman"/>
          <w:b/>
          <w:sz w:val="22"/>
          <w:szCs w:val="24"/>
        </w:rPr>
        <w:t>Spatial Relation for UL beam management</w:t>
      </w:r>
    </w:p>
    <w:p w14:paraId="4D5DDA64" w14:textId="489CCCA0" w:rsidR="00C01D14" w:rsidRPr="00FB7FA7" w:rsidRDefault="00C01D14" w:rsidP="00FB7FA7">
      <w:pPr>
        <w:pStyle w:val="Heading2"/>
        <w:rPr>
          <w:b w:val="0"/>
          <w:lang w:eastAsia="ja-JP"/>
        </w:rPr>
      </w:pPr>
      <w:r>
        <w:rPr>
          <w:sz w:val="22"/>
          <w:lang w:eastAsia="ja-JP"/>
        </w:rPr>
        <w:t xml:space="preserve">Beam management </w:t>
      </w:r>
      <w:r w:rsidRPr="00622449">
        <w:rPr>
          <w:sz w:val="22"/>
          <w:lang w:eastAsia="ja-JP"/>
        </w:rPr>
        <w:t>for L1/L2 mobility</w:t>
      </w:r>
    </w:p>
    <w:p w14:paraId="2FC761CE" w14:textId="77777777" w:rsidR="00C01D14" w:rsidRPr="00C925AA" w:rsidRDefault="00C01D14" w:rsidP="00C01D14">
      <w:pPr>
        <w:rPr>
          <w:color w:val="808080" w:themeColor="background1" w:themeShade="80"/>
          <w:sz w:val="20"/>
          <w:lang w:eastAsia="ja-JP"/>
        </w:rPr>
      </w:pPr>
      <w:r>
        <w:rPr>
          <w:color w:val="000000" w:themeColor="text1"/>
          <w:sz w:val="20"/>
          <w:lang w:eastAsia="ja-JP"/>
        </w:rPr>
        <w:t>Conventionally, t</w:t>
      </w:r>
      <w:r w:rsidRPr="00C925AA">
        <w:rPr>
          <w:color w:val="000000" w:themeColor="text1"/>
          <w:sz w:val="20"/>
          <w:lang w:eastAsia="ja-JP"/>
        </w:rPr>
        <w:t xml:space="preserve">he </w:t>
      </w:r>
      <w:r>
        <w:rPr>
          <w:color w:val="000000" w:themeColor="text1"/>
          <w:sz w:val="20"/>
          <w:lang w:eastAsia="ja-JP"/>
        </w:rPr>
        <w:t xml:space="preserve">procedure of </w:t>
      </w:r>
      <w:r w:rsidRPr="00C925AA">
        <w:rPr>
          <w:color w:val="000000" w:themeColor="text1"/>
          <w:sz w:val="20"/>
          <w:lang w:eastAsia="ja-JP"/>
        </w:rPr>
        <w:t xml:space="preserve">beam management </w:t>
      </w:r>
      <w:r>
        <w:rPr>
          <w:color w:val="000000" w:themeColor="text1"/>
          <w:sz w:val="20"/>
          <w:lang w:eastAsia="ja-JP"/>
        </w:rPr>
        <w:t xml:space="preserve">in L1 may </w:t>
      </w:r>
      <w:r w:rsidRPr="00C925AA">
        <w:rPr>
          <w:color w:val="000000" w:themeColor="text1"/>
          <w:sz w:val="20"/>
          <w:lang w:eastAsia="ja-JP"/>
        </w:rPr>
        <w:t>include the following steps</w:t>
      </w:r>
      <w:r>
        <w:rPr>
          <w:color w:val="000000" w:themeColor="text1"/>
          <w:sz w:val="20"/>
          <w:lang w:eastAsia="ja-JP"/>
        </w:rPr>
        <w:t>:</w:t>
      </w:r>
      <w:r w:rsidRPr="00C925AA">
        <w:rPr>
          <w:color w:val="000000" w:themeColor="text1"/>
          <w:sz w:val="20"/>
          <w:lang w:eastAsia="ja-JP"/>
        </w:rPr>
        <w:t xml:space="preserve"> beam measurement, beam reporting and beam indication. </w:t>
      </w:r>
      <w:r>
        <w:rPr>
          <w:sz w:val="20"/>
          <w:lang w:eastAsia="ja-JP"/>
        </w:rPr>
        <w:t>Without the involvement of L3 signaling during handover procedure, let’s reconsider these aspects.</w:t>
      </w:r>
    </w:p>
    <w:p w14:paraId="557CEEC2" w14:textId="6885A96F" w:rsidR="003E68D5" w:rsidRPr="00FB7FA7" w:rsidRDefault="003E68D5" w:rsidP="00FB7FA7">
      <w:pPr>
        <w:pStyle w:val="Heading3"/>
        <w:rPr>
          <w:b w:val="0"/>
          <w:lang w:eastAsia="ja-JP"/>
        </w:rPr>
      </w:pPr>
      <w:r w:rsidRPr="00FB7FA7">
        <w:rPr>
          <w:lang w:eastAsia="ja-JP"/>
        </w:rPr>
        <w:t>Beam measurement</w:t>
      </w:r>
    </w:p>
    <w:p w14:paraId="34E0646A" w14:textId="33604349" w:rsidR="003E68D5" w:rsidRDefault="003E68D5" w:rsidP="003E68D5">
      <w:pPr>
        <w:rPr>
          <w:sz w:val="20"/>
          <w:lang w:eastAsia="zh-CN"/>
        </w:rPr>
      </w:pPr>
      <w:r>
        <w:rPr>
          <w:sz w:val="20"/>
          <w:lang w:eastAsia="ja-JP"/>
        </w:rPr>
        <w:t xml:space="preserve">Without QCL assumption or TCI states configuration from </w:t>
      </w:r>
      <w:r w:rsidRPr="000333ED">
        <w:rPr>
          <w:i/>
          <w:sz w:val="20"/>
          <w:lang w:eastAsia="ja-JP"/>
        </w:rPr>
        <w:t>RRCReconfiguration</w:t>
      </w:r>
      <w:r>
        <w:rPr>
          <w:sz w:val="20"/>
          <w:lang w:eastAsia="ja-JP"/>
        </w:rPr>
        <w:t>, the measurement setting of RRM can be leveraged by a UE to find out proper DL</w:t>
      </w:r>
      <w:r w:rsidR="0068602B">
        <w:rPr>
          <w:sz w:val="20"/>
          <w:lang w:eastAsia="ja-JP"/>
        </w:rPr>
        <w:t xml:space="preserve"> Rx/UL Tx</w:t>
      </w:r>
      <w:r>
        <w:rPr>
          <w:sz w:val="20"/>
          <w:lang w:eastAsia="ja-JP"/>
        </w:rPr>
        <w:t xml:space="preserve"> beam(s) from non-serving cell(s). More specifically during initial RRC configuration, </w:t>
      </w:r>
      <w:r>
        <w:rPr>
          <w:rFonts w:hint="eastAsia"/>
          <w:sz w:val="20"/>
          <w:lang w:eastAsia="zh-CN"/>
        </w:rPr>
        <w:t>the</w:t>
      </w:r>
      <w:r>
        <w:rPr>
          <w:sz w:val="20"/>
          <w:lang w:eastAsia="zh-CN"/>
        </w:rPr>
        <w:t xml:space="preserve"> UE can be pre-configured to measure </w:t>
      </w:r>
      <w:r w:rsidR="00640F35">
        <w:rPr>
          <w:sz w:val="20"/>
          <w:lang w:eastAsia="zh-CN"/>
        </w:rPr>
        <w:t xml:space="preserve">mobility RS, i.e. </w:t>
      </w:r>
      <w:r>
        <w:rPr>
          <w:sz w:val="20"/>
          <w:lang w:eastAsia="zh-CN"/>
        </w:rPr>
        <w:t xml:space="preserve">SSB and/or CSI-RS resources from non-serving cell(s). </w:t>
      </w:r>
      <w:r w:rsidR="0068602B">
        <w:rPr>
          <w:sz w:val="20"/>
          <w:lang w:eastAsia="zh-CN"/>
        </w:rPr>
        <w:t>In our understanding</w:t>
      </w:r>
      <w:r>
        <w:rPr>
          <w:sz w:val="20"/>
          <w:lang w:eastAsia="zh-CN"/>
        </w:rPr>
        <w:t xml:space="preserve">, if these RS associated with RRM or detected by UE </w:t>
      </w:r>
      <w:r w:rsidR="00D65BE2">
        <w:rPr>
          <w:sz w:val="20"/>
          <w:lang w:eastAsia="zh-CN"/>
        </w:rPr>
        <w:t xml:space="preserve">itself </w:t>
      </w:r>
      <w:r>
        <w:rPr>
          <w:sz w:val="20"/>
          <w:lang w:eastAsia="zh-CN"/>
        </w:rPr>
        <w:t xml:space="preserve">can be </w:t>
      </w:r>
      <w:r w:rsidR="005F2479">
        <w:rPr>
          <w:sz w:val="20"/>
          <w:lang w:eastAsia="zh-CN"/>
        </w:rPr>
        <w:t>pre-</w:t>
      </w:r>
      <w:r>
        <w:rPr>
          <w:sz w:val="20"/>
          <w:lang w:eastAsia="zh-CN"/>
        </w:rPr>
        <w:t>configured in</w:t>
      </w:r>
      <w:r w:rsidR="005F2479">
        <w:rPr>
          <w:sz w:val="20"/>
          <w:lang w:eastAsia="zh-CN"/>
        </w:rPr>
        <w:t xml:space="preserve">to or associated with </w:t>
      </w:r>
      <w:r w:rsidR="00D65BE2">
        <w:rPr>
          <w:sz w:val="20"/>
          <w:lang w:eastAsia="zh-CN"/>
        </w:rPr>
        <w:t xml:space="preserve">[unified] </w:t>
      </w:r>
      <w:r>
        <w:rPr>
          <w:sz w:val="20"/>
          <w:lang w:eastAsia="zh-CN"/>
        </w:rPr>
        <w:t xml:space="preserve">TCI states in DL and/or spatial relation in UL, the L1/L2 method can </w:t>
      </w:r>
      <w:r w:rsidR="0068602B">
        <w:rPr>
          <w:sz w:val="20"/>
          <w:lang w:eastAsia="zh-CN"/>
        </w:rPr>
        <w:t xml:space="preserve">thus </w:t>
      </w:r>
      <w:r>
        <w:rPr>
          <w:sz w:val="20"/>
          <w:lang w:eastAsia="zh-CN"/>
        </w:rPr>
        <w:t xml:space="preserve">be enabled accordingly. </w:t>
      </w:r>
    </w:p>
    <w:p w14:paraId="1F790B7B" w14:textId="77777777" w:rsidR="003E68D5" w:rsidRPr="00FB7FA7" w:rsidRDefault="003E68D5" w:rsidP="00FB7FA7">
      <w:pPr>
        <w:pStyle w:val="Heading3"/>
        <w:rPr>
          <w:b w:val="0"/>
          <w:lang w:eastAsia="ja-JP"/>
        </w:rPr>
      </w:pPr>
      <w:r w:rsidRPr="00FB7FA7">
        <w:rPr>
          <w:lang w:eastAsia="ja-JP"/>
        </w:rPr>
        <w:t>Beam reporting</w:t>
      </w:r>
    </w:p>
    <w:p w14:paraId="541B973F" w14:textId="6D112D83" w:rsidR="00C47424" w:rsidRDefault="00BC0D3C" w:rsidP="003E68D5">
      <w:pPr>
        <w:rPr>
          <w:sz w:val="20"/>
          <w:lang w:eastAsia="ja-JP"/>
        </w:rPr>
      </w:pPr>
      <w:r>
        <w:rPr>
          <w:sz w:val="20"/>
          <w:lang w:eastAsia="ja-JP"/>
        </w:rPr>
        <w:t>In current spec of L3 mobility, w</w:t>
      </w:r>
      <w:r w:rsidR="003E68D5" w:rsidRPr="00E3020B">
        <w:rPr>
          <w:sz w:val="20"/>
          <w:lang w:eastAsia="ja-JP"/>
        </w:rPr>
        <w:t>hen</w:t>
      </w:r>
      <w:r w:rsidR="003E68D5">
        <w:rPr>
          <w:sz w:val="20"/>
          <w:lang w:eastAsia="ja-JP"/>
        </w:rPr>
        <w:t xml:space="preserve"> any of triggering conditions of inter-cell handover has been satisfied, a UE may report the L3-filtered RSRP to NW. </w:t>
      </w:r>
      <w:r>
        <w:rPr>
          <w:sz w:val="20"/>
          <w:lang w:eastAsia="ja-JP"/>
        </w:rPr>
        <w:t>Following the same way</w:t>
      </w:r>
      <w:r w:rsidR="003E68D5">
        <w:rPr>
          <w:sz w:val="20"/>
          <w:lang w:eastAsia="ja-JP"/>
        </w:rPr>
        <w:t xml:space="preserve">, </w:t>
      </w:r>
      <w:r>
        <w:rPr>
          <w:sz w:val="20"/>
          <w:lang w:eastAsia="ja-JP"/>
        </w:rPr>
        <w:t xml:space="preserve">if corresponding L1 events can be defined, </w:t>
      </w:r>
      <w:r w:rsidR="003E68D5">
        <w:rPr>
          <w:sz w:val="20"/>
          <w:lang w:eastAsia="ja-JP"/>
        </w:rPr>
        <w:t xml:space="preserve">the results of L1-related measurement </w:t>
      </w:r>
      <w:r>
        <w:rPr>
          <w:sz w:val="20"/>
          <w:lang w:eastAsia="ja-JP"/>
        </w:rPr>
        <w:t xml:space="preserve">results </w:t>
      </w:r>
      <w:r w:rsidR="003E68D5">
        <w:rPr>
          <w:sz w:val="20"/>
          <w:lang w:eastAsia="ja-JP"/>
        </w:rPr>
        <w:t xml:space="preserve">can be reported as well. From </w:t>
      </w:r>
      <w:r w:rsidR="005F2479">
        <w:rPr>
          <w:sz w:val="20"/>
          <w:lang w:eastAsia="ja-JP"/>
        </w:rPr>
        <w:t xml:space="preserve">latency </w:t>
      </w:r>
      <w:r w:rsidR="003E68D5">
        <w:rPr>
          <w:sz w:val="20"/>
          <w:lang w:eastAsia="ja-JP"/>
        </w:rPr>
        <w:t>perspective,</w:t>
      </w:r>
      <w:r w:rsidR="005F2479">
        <w:rPr>
          <w:sz w:val="20"/>
          <w:lang w:eastAsia="ja-JP"/>
        </w:rPr>
        <w:t xml:space="preserve"> </w:t>
      </w:r>
      <w:r w:rsidR="003E68D5">
        <w:rPr>
          <w:sz w:val="20"/>
          <w:lang w:eastAsia="ja-JP"/>
        </w:rPr>
        <w:t xml:space="preserve">L3-RSRP reporting normally takes </w:t>
      </w:r>
      <w:r w:rsidR="002C7C6F">
        <w:rPr>
          <w:sz w:val="20"/>
          <w:lang w:eastAsia="ja-JP"/>
        </w:rPr>
        <w:t xml:space="preserve">more </w:t>
      </w:r>
      <w:r w:rsidR="003E68D5">
        <w:rPr>
          <w:sz w:val="20"/>
          <w:lang w:eastAsia="ja-JP"/>
        </w:rPr>
        <w:t xml:space="preserve">time than L1-RSRP reporting. But on the other hand, the stability of L3-RSRP is better than that of L1-RSRP in making handover decision. </w:t>
      </w:r>
      <w:r w:rsidR="00635AFD">
        <w:rPr>
          <w:sz w:val="20"/>
          <w:lang w:eastAsia="ja-JP"/>
        </w:rPr>
        <w:t>There seems no harm to allow both L3-RSRP and L1-RSRP reporting in current spec and it could be up to NW to select either L1 or L3 measurement results for inter-cell mobility purpose. But s</w:t>
      </w:r>
      <w:r w:rsidR="004C0C74">
        <w:rPr>
          <w:sz w:val="20"/>
          <w:lang w:eastAsia="ja-JP"/>
        </w:rPr>
        <w:t xml:space="preserve">ince we focus on L1/L2 approach of inter-cell mobility, </w:t>
      </w:r>
      <w:r w:rsidR="00635AFD">
        <w:rPr>
          <w:sz w:val="20"/>
          <w:lang w:eastAsia="ja-JP"/>
        </w:rPr>
        <w:t xml:space="preserve">let’s assume the L1-RSRP reporting for discussion. </w:t>
      </w:r>
    </w:p>
    <w:p w14:paraId="41861D09" w14:textId="4B4736BB" w:rsidR="00C47424" w:rsidRDefault="00C47424" w:rsidP="00C47424">
      <w:pPr>
        <w:rPr>
          <w:sz w:val="20"/>
          <w:lang w:eastAsia="zh-CN"/>
        </w:rPr>
      </w:pPr>
      <w:r>
        <w:rPr>
          <w:sz w:val="20"/>
          <w:lang w:eastAsia="zh-CN"/>
        </w:rPr>
        <w:t xml:space="preserve">Afterwards, NW in serving cell is able to apply the L2 approach, i.e. MAC CE to activate the particular TCI state(s) which contains the target cell’s PCI for the UE’s reception of PDCCH and/or PDSCH from target cell(s). Another L1 approach would be that based on </w:t>
      </w:r>
      <w:r w:rsidR="00BC0D3C">
        <w:rPr>
          <w:sz w:val="20"/>
          <w:lang w:eastAsia="zh-CN"/>
        </w:rPr>
        <w:t>newly defined L1 events</w:t>
      </w:r>
      <w:r>
        <w:rPr>
          <w:sz w:val="20"/>
          <w:lang w:eastAsia="zh-CN"/>
        </w:rPr>
        <w:t xml:space="preserve">, the reported </w:t>
      </w:r>
      <w:r w:rsidR="00D10BA2">
        <w:rPr>
          <w:sz w:val="20"/>
          <w:lang w:eastAsia="zh-CN"/>
        </w:rPr>
        <w:t>beam index</w:t>
      </w:r>
      <w:r>
        <w:rPr>
          <w:sz w:val="20"/>
          <w:lang w:eastAsia="zh-CN"/>
        </w:rPr>
        <w:t xml:space="preserve"> from target cell can be deemed as automatically activated</w:t>
      </w:r>
      <w:r w:rsidR="00D10BA2">
        <w:rPr>
          <w:sz w:val="20"/>
          <w:lang w:eastAsia="zh-CN"/>
        </w:rPr>
        <w:t xml:space="preserve"> in TCI state</w:t>
      </w:r>
      <w:r>
        <w:rPr>
          <w:sz w:val="20"/>
          <w:lang w:eastAsia="zh-CN"/>
        </w:rPr>
        <w:t xml:space="preserve">. As for NW, it could interpret such automatic TCI state activation from UE’s beam reporting. So we have following </w:t>
      </w:r>
    </w:p>
    <w:p w14:paraId="01BA206A" w14:textId="6A38F155" w:rsidR="003E68D5" w:rsidRPr="00FB7FA7" w:rsidRDefault="00C47424" w:rsidP="00FB7FA7">
      <w:pPr>
        <w:pStyle w:val="ListParagraph"/>
        <w:numPr>
          <w:ilvl w:val="0"/>
          <w:numId w:val="32"/>
        </w:numPr>
        <w:spacing w:after="80"/>
        <w:rPr>
          <w:b/>
        </w:rPr>
      </w:pPr>
      <w:r w:rsidRPr="00097E22">
        <w:rPr>
          <w:rFonts w:ascii="Times New Roman" w:hAnsi="Times New Roman" w:cs="Times New Roman"/>
          <w:b/>
          <w:bCs/>
          <w:sz w:val="22"/>
          <w:szCs w:val="20"/>
        </w:rPr>
        <w:t>:</w:t>
      </w:r>
      <w:r w:rsidR="00532FF0">
        <w:rPr>
          <w:rFonts w:ascii="Times New Roman" w:hAnsi="Times New Roman" w:cs="Times New Roman"/>
          <w:b/>
          <w:bCs/>
          <w:sz w:val="22"/>
          <w:szCs w:val="20"/>
        </w:rPr>
        <w:t xml:space="preserve"> RAN1 studies and specifies if necessary the L1</w:t>
      </w:r>
      <w:r w:rsidR="00D10BA2">
        <w:rPr>
          <w:rFonts w:ascii="Times New Roman" w:hAnsi="Times New Roman" w:cs="Times New Roman"/>
          <w:b/>
          <w:bCs/>
          <w:sz w:val="22"/>
          <w:szCs w:val="20"/>
        </w:rPr>
        <w:t>-event</w:t>
      </w:r>
      <w:r w:rsidR="00532FF0">
        <w:rPr>
          <w:rFonts w:ascii="Times New Roman" w:hAnsi="Times New Roman" w:cs="Times New Roman"/>
          <w:b/>
          <w:bCs/>
          <w:sz w:val="22"/>
          <w:szCs w:val="20"/>
        </w:rPr>
        <w:t xml:space="preserve"> based TCI state </w:t>
      </w:r>
      <w:r w:rsidR="006C3C89" w:rsidRPr="006C3C89">
        <w:rPr>
          <w:rFonts w:ascii="Times New Roman" w:hAnsi="Times New Roman" w:cs="Times New Roman"/>
          <w:b/>
          <w:bCs/>
          <w:sz w:val="22"/>
          <w:szCs w:val="20"/>
        </w:rPr>
        <w:t xml:space="preserve">automatic </w:t>
      </w:r>
      <w:r w:rsidR="00532FF0">
        <w:rPr>
          <w:rFonts w:ascii="Times New Roman" w:hAnsi="Times New Roman" w:cs="Times New Roman"/>
          <w:b/>
          <w:bCs/>
          <w:sz w:val="22"/>
          <w:szCs w:val="20"/>
        </w:rPr>
        <w:t>activation from non-serving cell</w:t>
      </w:r>
      <w:r w:rsidRPr="00556B33">
        <w:rPr>
          <w:rFonts w:ascii="Times New Roman" w:hAnsi="Times New Roman" w:cs="Times New Roman"/>
          <w:b/>
          <w:sz w:val="22"/>
          <w:szCs w:val="22"/>
        </w:rPr>
        <w:t>.</w:t>
      </w:r>
    </w:p>
    <w:p w14:paraId="5C7A34DC" w14:textId="77777777" w:rsidR="003E68D5" w:rsidRPr="00FB7FA7" w:rsidRDefault="003E68D5" w:rsidP="00FB7FA7">
      <w:pPr>
        <w:pStyle w:val="Heading3"/>
        <w:rPr>
          <w:b w:val="0"/>
          <w:lang w:eastAsia="ja-JP"/>
        </w:rPr>
      </w:pPr>
      <w:r w:rsidRPr="00FB7FA7">
        <w:rPr>
          <w:lang w:eastAsia="ja-JP"/>
        </w:rPr>
        <w:t>Beam indication</w:t>
      </w:r>
    </w:p>
    <w:p w14:paraId="574AB829" w14:textId="04CF262A" w:rsidR="003E68D5" w:rsidRDefault="00C47424" w:rsidP="003E68D5">
      <w:pPr>
        <w:rPr>
          <w:sz w:val="20"/>
          <w:lang w:eastAsia="zh-CN"/>
        </w:rPr>
      </w:pPr>
      <w:r>
        <w:rPr>
          <w:sz w:val="20"/>
          <w:lang w:eastAsia="zh-CN"/>
        </w:rPr>
        <w:t>O</w:t>
      </w:r>
      <w:r w:rsidR="003E68D5">
        <w:rPr>
          <w:sz w:val="20"/>
          <w:lang w:eastAsia="zh-CN"/>
        </w:rPr>
        <w:t xml:space="preserve">ne DCI in target cell may indicate the Tx beam(s) for PDSCH from target cell. That’s the so called L1 approach. As a consequence, the UE then can receive PDCCH/PDSCH in advance from target cell with aligned Rx beam(s). Since the UE can be configured with TCI states including any PCI in the network, this kind of TCI state can be given a name, such as “universal” TCI state which is just for discussion purpose, not to be included into Spec. </w:t>
      </w:r>
    </w:p>
    <w:p w14:paraId="6887DE60" w14:textId="3D1A69CD" w:rsidR="003E68D5" w:rsidRDefault="003E68D5" w:rsidP="003E68D5">
      <w:pPr>
        <w:rPr>
          <w:sz w:val="20"/>
          <w:lang w:eastAsia="zh-CN"/>
        </w:rPr>
      </w:pPr>
      <w:r>
        <w:rPr>
          <w:sz w:val="20"/>
          <w:lang w:eastAsia="zh-CN"/>
        </w:rPr>
        <w:t xml:space="preserve">For UL in non-serving cell, it is also reasonable to add PCI of one target cell into spatial relation, e.g. </w:t>
      </w:r>
      <w:r w:rsidRPr="003D2037">
        <w:rPr>
          <w:i/>
          <w:sz w:val="20"/>
          <w:lang w:eastAsia="zh-CN"/>
        </w:rPr>
        <w:t>PUCCH-SpatialRelationInfo</w:t>
      </w:r>
      <w:r>
        <w:rPr>
          <w:sz w:val="20"/>
          <w:lang w:eastAsia="zh-CN"/>
        </w:rPr>
        <w:t xml:space="preserve"> and </w:t>
      </w:r>
      <w:r w:rsidRPr="003D2037">
        <w:rPr>
          <w:i/>
          <w:sz w:val="20"/>
          <w:lang w:eastAsia="zh-CN"/>
        </w:rPr>
        <w:t>SRS-Spatial</w:t>
      </w:r>
      <w:r w:rsidRPr="003D2037">
        <w:rPr>
          <w:rFonts w:hint="eastAsia"/>
          <w:i/>
          <w:sz w:val="20"/>
          <w:lang w:eastAsia="zh-CN"/>
        </w:rPr>
        <w:t>R</w:t>
      </w:r>
      <w:r w:rsidRPr="003D2037">
        <w:rPr>
          <w:i/>
          <w:sz w:val="20"/>
          <w:lang w:eastAsia="zh-CN"/>
        </w:rPr>
        <w:t>elationInfo</w:t>
      </w:r>
      <w:r>
        <w:rPr>
          <w:sz w:val="20"/>
          <w:lang w:eastAsia="zh-CN"/>
        </w:rPr>
        <w:t xml:space="preserve">. With such configuration and activation if needed, the UE can access the target cell in UL too with as less latency as possible. </w:t>
      </w:r>
    </w:p>
    <w:p w14:paraId="32706900" w14:textId="1597FFF3" w:rsidR="005F0811" w:rsidRPr="00B22FAB" w:rsidRDefault="005F0811" w:rsidP="00C925AA">
      <w:pPr>
        <w:pStyle w:val="Heading1"/>
        <w:rPr>
          <w:i/>
          <w:lang w:eastAsia="ja-JP"/>
        </w:rPr>
      </w:pPr>
      <w:r w:rsidRPr="00C925AA">
        <w:rPr>
          <w:sz w:val="24"/>
          <w:lang w:eastAsia="ja-JP"/>
        </w:rPr>
        <w:t xml:space="preserve">Uplink </w:t>
      </w:r>
      <w:r w:rsidR="00AF67B5">
        <w:rPr>
          <w:sz w:val="24"/>
          <w:lang w:eastAsia="ja-JP"/>
        </w:rPr>
        <w:t xml:space="preserve">multi-panel fast operation </w:t>
      </w:r>
    </w:p>
    <w:p w14:paraId="3F88728D" w14:textId="565962EB" w:rsidR="00C2789D" w:rsidRDefault="00C2789D" w:rsidP="00C2789D">
      <w:pPr>
        <w:spacing w:after="80"/>
        <w:rPr>
          <w:sz w:val="20"/>
          <w:lang w:eastAsia="ja-JP"/>
        </w:rPr>
      </w:pPr>
      <w:r w:rsidRPr="00C43D48">
        <w:rPr>
          <w:sz w:val="20"/>
          <w:szCs w:val="20"/>
          <w:lang w:eastAsia="zh-CN"/>
        </w:rPr>
        <w:t xml:space="preserve">Regarding the </w:t>
      </w:r>
      <w:r>
        <w:rPr>
          <w:sz w:val="20"/>
          <w:szCs w:val="20"/>
          <w:lang w:eastAsia="zh-CN"/>
        </w:rPr>
        <w:t xml:space="preserve">UL </w:t>
      </w:r>
      <w:r w:rsidRPr="00C43D48">
        <w:rPr>
          <w:sz w:val="20"/>
          <w:szCs w:val="20"/>
          <w:lang w:eastAsia="zh-CN"/>
        </w:rPr>
        <w:t xml:space="preserve">panel-specific beam selection, </w:t>
      </w:r>
      <w:r w:rsidR="001826AB">
        <w:rPr>
          <w:sz w:val="20"/>
          <w:szCs w:val="20"/>
          <w:lang w:eastAsia="zh-CN"/>
        </w:rPr>
        <w:t>good</w:t>
      </w:r>
      <w:r w:rsidRPr="00C43D48">
        <w:rPr>
          <w:sz w:val="20"/>
          <w:szCs w:val="20"/>
          <w:lang w:eastAsia="zh-CN"/>
        </w:rPr>
        <w:t xml:space="preserve"> </w:t>
      </w:r>
      <w:r w:rsidR="00EF232A">
        <w:rPr>
          <w:sz w:val="20"/>
          <w:szCs w:val="20"/>
          <w:lang w:eastAsia="zh-CN"/>
        </w:rPr>
        <w:t xml:space="preserve">progress was </w:t>
      </w:r>
      <w:r w:rsidR="001826AB">
        <w:rPr>
          <w:sz w:val="20"/>
          <w:szCs w:val="20"/>
          <w:lang w:eastAsia="zh-CN"/>
        </w:rPr>
        <w:t xml:space="preserve">made </w:t>
      </w:r>
      <w:r w:rsidR="00EF232A">
        <w:rPr>
          <w:sz w:val="20"/>
          <w:szCs w:val="20"/>
          <w:lang w:eastAsia="zh-CN"/>
        </w:rPr>
        <w:t>until RAN1#98 and then the conclusion came suddenly that this feature may be postponed to Rel.17 due to no</w:t>
      </w:r>
      <w:r w:rsidR="001B7512">
        <w:rPr>
          <w:sz w:val="20"/>
          <w:szCs w:val="20"/>
          <w:lang w:eastAsia="zh-CN"/>
        </w:rPr>
        <w:t xml:space="preserve"> </w:t>
      </w:r>
      <w:r w:rsidR="00EF232A">
        <w:rPr>
          <w:sz w:val="20"/>
          <w:szCs w:val="20"/>
          <w:lang w:eastAsia="zh-CN"/>
        </w:rPr>
        <w:t xml:space="preserve">consensus. </w:t>
      </w:r>
      <w:r w:rsidR="00B47E15">
        <w:rPr>
          <w:sz w:val="20"/>
          <w:szCs w:val="20"/>
          <w:lang w:eastAsia="zh-CN"/>
        </w:rPr>
        <w:t>With a new start</w:t>
      </w:r>
      <w:r w:rsidR="0001195E">
        <w:rPr>
          <w:sz w:val="20"/>
          <w:szCs w:val="20"/>
          <w:lang w:eastAsia="zh-CN"/>
        </w:rPr>
        <w:t xml:space="preserve"> in Rel.17</w:t>
      </w:r>
      <w:r w:rsidR="00B47E15">
        <w:rPr>
          <w:sz w:val="20"/>
          <w:szCs w:val="20"/>
          <w:lang w:eastAsia="zh-CN"/>
        </w:rPr>
        <w:t xml:space="preserve">, RAN1 may </w:t>
      </w:r>
      <w:r w:rsidR="0001195E">
        <w:rPr>
          <w:sz w:val="20"/>
          <w:szCs w:val="20"/>
          <w:lang w:eastAsia="zh-CN"/>
        </w:rPr>
        <w:t>continue the discussion, and reconsider to design/</w:t>
      </w:r>
      <w:r w:rsidR="00B47E15">
        <w:rPr>
          <w:sz w:val="20"/>
          <w:szCs w:val="20"/>
          <w:lang w:eastAsia="zh-CN"/>
        </w:rPr>
        <w:t xml:space="preserve">specify </w:t>
      </w:r>
      <w:r w:rsidR="004C7987">
        <w:rPr>
          <w:sz w:val="20"/>
          <w:szCs w:val="20"/>
          <w:lang w:eastAsia="zh-CN"/>
        </w:rPr>
        <w:t>functions on fast UL panel selection</w:t>
      </w:r>
      <w:r w:rsidR="00B47E15">
        <w:rPr>
          <w:sz w:val="20"/>
          <w:szCs w:val="20"/>
          <w:lang w:eastAsia="zh-CN"/>
        </w:rPr>
        <w:t>.</w:t>
      </w:r>
      <w:r w:rsidR="0001195E">
        <w:rPr>
          <w:sz w:val="20"/>
          <w:szCs w:val="20"/>
          <w:lang w:eastAsia="zh-CN"/>
        </w:rPr>
        <w:t xml:space="preserve"> </w:t>
      </w:r>
      <w:r w:rsidR="008D47E8">
        <w:rPr>
          <w:sz w:val="20"/>
          <w:szCs w:val="20"/>
          <w:lang w:eastAsia="zh-CN"/>
        </w:rPr>
        <w:t xml:space="preserve">Moreover, </w:t>
      </w:r>
      <w:r w:rsidR="004C7987">
        <w:rPr>
          <w:sz w:val="20"/>
          <w:szCs w:val="20"/>
          <w:lang w:eastAsia="zh-CN"/>
        </w:rPr>
        <w:t xml:space="preserve">this </w:t>
      </w:r>
      <w:r w:rsidR="004C3D76">
        <w:rPr>
          <w:sz w:val="20"/>
          <w:lang w:eastAsia="ja-JP"/>
        </w:rPr>
        <w:t>fast panel selection function</w:t>
      </w:r>
      <w:r w:rsidR="008D47E8">
        <w:rPr>
          <w:sz w:val="20"/>
          <w:lang w:eastAsia="ja-JP"/>
        </w:rPr>
        <w:t xml:space="preserve"> can be even facilitated </w:t>
      </w:r>
      <w:r w:rsidR="008D47E8">
        <w:rPr>
          <w:sz w:val="20"/>
          <w:szCs w:val="20"/>
          <w:lang w:eastAsia="zh-CN"/>
        </w:rPr>
        <w:t xml:space="preserve">by the unified TCI framework discussed in Section </w:t>
      </w:r>
      <w:r w:rsidR="008D47E8">
        <w:rPr>
          <w:sz w:val="20"/>
          <w:szCs w:val="20"/>
          <w:lang w:eastAsia="zh-CN"/>
        </w:rPr>
        <w:fldChar w:fldCharType="begin"/>
      </w:r>
      <w:r w:rsidR="008D47E8">
        <w:rPr>
          <w:sz w:val="20"/>
          <w:szCs w:val="20"/>
          <w:lang w:eastAsia="zh-CN"/>
        </w:rPr>
        <w:instrText xml:space="preserve"> REF _Ref46237644 \r \h </w:instrText>
      </w:r>
      <w:r w:rsidR="008D47E8">
        <w:rPr>
          <w:sz w:val="20"/>
          <w:szCs w:val="20"/>
          <w:lang w:eastAsia="zh-CN"/>
        </w:rPr>
      </w:r>
      <w:r w:rsidR="008D47E8">
        <w:rPr>
          <w:sz w:val="20"/>
          <w:szCs w:val="20"/>
          <w:lang w:eastAsia="zh-CN"/>
        </w:rPr>
        <w:fldChar w:fldCharType="separate"/>
      </w:r>
      <w:r w:rsidR="006D01BF">
        <w:rPr>
          <w:sz w:val="20"/>
          <w:szCs w:val="20"/>
          <w:lang w:eastAsia="zh-CN"/>
        </w:rPr>
        <w:t>2</w:t>
      </w:r>
      <w:r w:rsidR="008D47E8">
        <w:rPr>
          <w:sz w:val="20"/>
          <w:szCs w:val="20"/>
          <w:lang w:eastAsia="zh-CN"/>
        </w:rPr>
        <w:fldChar w:fldCharType="end"/>
      </w:r>
      <w:r w:rsidR="008D47E8">
        <w:rPr>
          <w:sz w:val="20"/>
          <w:lang w:eastAsia="ja-JP"/>
        </w:rPr>
        <w:t>.</w:t>
      </w:r>
      <w:r w:rsidR="00372A81">
        <w:rPr>
          <w:sz w:val="20"/>
          <w:lang w:eastAsia="ja-JP"/>
        </w:rPr>
        <w:t xml:space="preserve"> For reference, one may find the </w:t>
      </w:r>
      <w:r w:rsidR="00C71B7C">
        <w:rPr>
          <w:sz w:val="20"/>
          <w:lang w:eastAsia="ja-JP"/>
        </w:rPr>
        <w:t xml:space="preserve">part of the agreement under </w:t>
      </w:r>
      <w:r w:rsidR="00372A81">
        <w:rPr>
          <w:sz w:val="20"/>
          <w:lang w:eastAsia="ja-JP"/>
        </w:rPr>
        <w:t xml:space="preserve">Issue 4 </w:t>
      </w:r>
      <w:r w:rsidR="00C71B7C">
        <w:rPr>
          <w:sz w:val="20"/>
          <w:lang w:eastAsia="ja-JP"/>
        </w:rPr>
        <w:t xml:space="preserve">achieved </w:t>
      </w:r>
      <w:r w:rsidR="0080648E">
        <w:rPr>
          <w:sz w:val="20"/>
          <w:lang w:eastAsia="ja-JP"/>
        </w:rPr>
        <w:t>in RAN1#102</w:t>
      </w:r>
      <w:r w:rsidR="00C71B7C">
        <w:rPr>
          <w:sz w:val="20"/>
          <w:lang w:eastAsia="ja-JP"/>
        </w:rPr>
        <w:t>e as below</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71B7C" w14:paraId="25D6F891" w14:textId="77777777" w:rsidTr="00FB7FA7">
        <w:trPr>
          <w:trHeight w:val="4173"/>
        </w:trPr>
        <w:tc>
          <w:tcPr>
            <w:tcW w:w="9259" w:type="dxa"/>
          </w:tcPr>
          <w:p w14:paraId="5EA1CF89" w14:textId="77777777" w:rsidR="00C71B7C" w:rsidRPr="00E327E5" w:rsidRDefault="00C71B7C" w:rsidP="00FB7FA7">
            <w:pPr>
              <w:numPr>
                <w:ilvl w:val="0"/>
                <w:numId w:val="26"/>
              </w:numPr>
              <w:autoSpaceDE/>
              <w:autoSpaceDN/>
              <w:adjustRightInd/>
              <w:spacing w:after="0"/>
              <w:ind w:left="714" w:hanging="394"/>
              <w:jc w:val="left"/>
              <w:rPr>
                <w:rFonts w:eastAsia="Batang"/>
                <w:b/>
                <w:sz w:val="20"/>
                <w:szCs w:val="20"/>
                <w:lang w:val="en-GB"/>
              </w:rPr>
            </w:pPr>
            <w:r w:rsidRPr="00E327E5">
              <w:rPr>
                <w:rFonts w:eastAsia="Batang"/>
                <w:b/>
                <w:sz w:val="20"/>
                <w:szCs w:val="20"/>
                <w:lang w:val="en-GB"/>
              </w:rPr>
              <w:lastRenderedPageBreak/>
              <w:t>[Issue 4] For Rel.17 NR FeMIMO, on MP-UE assumption to facilitate fast UL panel selection:</w:t>
            </w:r>
          </w:p>
          <w:p w14:paraId="00A3AF23" w14:textId="77777777" w:rsidR="00C71B7C" w:rsidRPr="00E327E5" w:rsidRDefault="00C71B7C" w:rsidP="00C71B7C">
            <w:pPr>
              <w:numPr>
                <w:ilvl w:val="1"/>
                <w:numId w:val="26"/>
              </w:numPr>
              <w:autoSpaceDE/>
              <w:autoSpaceDN/>
              <w:adjustRightInd/>
              <w:snapToGrid/>
              <w:spacing w:after="0"/>
              <w:contextualSpacing/>
              <w:jc w:val="left"/>
              <w:rPr>
                <w:rFonts w:eastAsia="Batang"/>
                <w:sz w:val="20"/>
                <w:szCs w:val="20"/>
                <w:lang w:val="en-GB"/>
              </w:rPr>
            </w:pPr>
            <w:r w:rsidRPr="00E327E5">
              <w:rPr>
                <w:rFonts w:eastAsia="Batang"/>
                <w:sz w:val="20"/>
                <w:szCs w:val="20"/>
                <w:lang w:val="en-GB"/>
              </w:rPr>
              <w:t xml:space="preserve">The </w:t>
            </w:r>
            <w:r w:rsidRPr="00FB7FA7">
              <w:rPr>
                <w:rFonts w:eastAsia="Batang"/>
                <w:sz w:val="20"/>
                <w:szCs w:val="20"/>
                <w:lang w:val="en-GB"/>
              </w:rPr>
              <w:t>following assumptions</w:t>
            </w:r>
            <w:r w:rsidRPr="00E327E5">
              <w:rPr>
                <w:rFonts w:eastAsia="Batang"/>
                <w:sz w:val="20"/>
                <w:szCs w:val="20"/>
                <w:lang w:val="en-GB"/>
              </w:rPr>
              <w:t xml:space="preserve"> are used: </w:t>
            </w:r>
          </w:p>
          <w:p w14:paraId="22828891" w14:textId="77777777" w:rsidR="00C71B7C" w:rsidRPr="00E327E5" w:rsidRDefault="00C71B7C" w:rsidP="00C71B7C">
            <w:pPr>
              <w:numPr>
                <w:ilvl w:val="2"/>
                <w:numId w:val="26"/>
              </w:numPr>
              <w:autoSpaceDE/>
              <w:autoSpaceDN/>
              <w:adjustRightInd/>
              <w:snapToGrid/>
              <w:spacing w:after="0"/>
              <w:contextualSpacing/>
              <w:jc w:val="left"/>
              <w:rPr>
                <w:rFonts w:eastAsia="Batang"/>
                <w:sz w:val="20"/>
                <w:szCs w:val="20"/>
                <w:lang w:val="en-GB"/>
              </w:rPr>
            </w:pPr>
            <w:r w:rsidRPr="0054259F">
              <w:rPr>
                <w:rFonts w:eastAsia="Batang"/>
                <w:sz w:val="20"/>
                <w:szCs w:val="20"/>
                <w:lang w:val="en-GB"/>
              </w:rPr>
              <w:t>In terms of RF functionality, a UE panel comprises a collection of TXRUs that is able to generate one analog beam (</w:t>
            </w:r>
            <w:r w:rsidRPr="00FB7FA7">
              <w:rPr>
                <w:rFonts w:eastAsia="Batang"/>
                <w:sz w:val="20"/>
                <w:szCs w:val="20"/>
                <w:lang w:val="en-GB"/>
              </w:rPr>
              <w:t>one beam may correspond to two antenna ports if dual-polarized array is used</w:t>
            </w:r>
            <w:r w:rsidRPr="00E327E5">
              <w:rPr>
                <w:rFonts w:eastAsia="Batang"/>
                <w:sz w:val="20"/>
                <w:szCs w:val="20"/>
                <w:lang w:val="en-GB"/>
              </w:rPr>
              <w:t>)</w:t>
            </w:r>
          </w:p>
          <w:p w14:paraId="0193F5EF" w14:textId="77777777" w:rsidR="00C71B7C" w:rsidRPr="0054259F" w:rsidRDefault="00C71B7C" w:rsidP="00C71B7C">
            <w:pPr>
              <w:numPr>
                <w:ilvl w:val="2"/>
                <w:numId w:val="26"/>
              </w:numPr>
              <w:autoSpaceDE/>
              <w:autoSpaceDN/>
              <w:adjustRightInd/>
              <w:snapToGrid/>
              <w:spacing w:after="0"/>
              <w:contextualSpacing/>
              <w:jc w:val="left"/>
              <w:rPr>
                <w:rFonts w:eastAsia="Batang"/>
                <w:sz w:val="20"/>
                <w:szCs w:val="20"/>
                <w:lang w:val="en-GB"/>
              </w:rPr>
            </w:pPr>
            <w:r w:rsidRPr="0054259F">
              <w:rPr>
                <w:rFonts w:eastAsia="Batang"/>
                <w:sz w:val="20"/>
                <w:szCs w:val="20"/>
                <w:lang w:val="en-GB"/>
              </w:rPr>
              <w:t xml:space="preserve">UE panels can constitute the same as well as different number of antenna ports, number of beams, and EIRP </w:t>
            </w:r>
          </w:p>
          <w:p w14:paraId="244E72D5" w14:textId="77777777" w:rsidR="00C71B7C" w:rsidRPr="000F30DF" w:rsidRDefault="00C71B7C" w:rsidP="00C71B7C">
            <w:pPr>
              <w:numPr>
                <w:ilvl w:val="2"/>
                <w:numId w:val="26"/>
              </w:numPr>
              <w:autoSpaceDE/>
              <w:autoSpaceDN/>
              <w:adjustRightInd/>
              <w:snapToGrid/>
              <w:spacing w:after="0"/>
              <w:contextualSpacing/>
              <w:jc w:val="left"/>
              <w:rPr>
                <w:rFonts w:eastAsia="Batang"/>
                <w:sz w:val="20"/>
                <w:szCs w:val="20"/>
                <w:lang w:val="en-GB"/>
              </w:rPr>
            </w:pPr>
            <w:r w:rsidRPr="000F30DF">
              <w:rPr>
                <w:rFonts w:eastAsia="Batang"/>
                <w:sz w:val="20"/>
                <w:szCs w:val="20"/>
                <w:lang w:val="en-GB"/>
              </w:rPr>
              <w:t>No beam correspondence across different UE panels</w:t>
            </w:r>
          </w:p>
          <w:p w14:paraId="168B24C9" w14:textId="77777777" w:rsidR="00C71B7C" w:rsidRPr="00E327E5" w:rsidRDefault="00C71B7C" w:rsidP="00C71B7C">
            <w:pPr>
              <w:numPr>
                <w:ilvl w:val="2"/>
                <w:numId w:val="26"/>
              </w:numPr>
              <w:autoSpaceDE/>
              <w:autoSpaceDN/>
              <w:adjustRightInd/>
              <w:snapToGrid/>
              <w:spacing w:after="0"/>
              <w:contextualSpacing/>
              <w:jc w:val="left"/>
              <w:rPr>
                <w:rFonts w:eastAsia="Batang"/>
                <w:sz w:val="20"/>
                <w:szCs w:val="20"/>
                <w:lang w:val="en-GB"/>
              </w:rPr>
            </w:pPr>
            <w:r w:rsidRPr="00FB7FA7">
              <w:rPr>
                <w:rFonts w:eastAsia="Batang"/>
                <w:sz w:val="20"/>
                <w:szCs w:val="20"/>
                <w:lang w:val="en-GB"/>
              </w:rPr>
              <w:t>FFS:</w:t>
            </w:r>
            <w:r w:rsidRPr="00E327E5">
              <w:rPr>
                <w:rFonts w:eastAsia="Batang"/>
                <w:sz w:val="20"/>
                <w:szCs w:val="20"/>
                <w:lang w:val="en-GB"/>
              </w:rPr>
              <w:t xml:space="preserve"> For each UE panel, it can comprise an independent unit of PC, FFT timing window, and/or TA.</w:t>
            </w:r>
          </w:p>
          <w:p w14:paraId="218A3B53" w14:textId="77777777" w:rsidR="00C71B7C" w:rsidRPr="0054259F" w:rsidRDefault="00C71B7C" w:rsidP="00C71B7C">
            <w:pPr>
              <w:numPr>
                <w:ilvl w:val="2"/>
                <w:numId w:val="26"/>
              </w:numPr>
              <w:autoSpaceDE/>
              <w:autoSpaceDN/>
              <w:adjustRightInd/>
              <w:snapToGrid/>
              <w:spacing w:after="0"/>
              <w:contextualSpacing/>
              <w:jc w:val="left"/>
              <w:rPr>
                <w:rFonts w:eastAsia="Batang"/>
                <w:sz w:val="20"/>
                <w:szCs w:val="20"/>
                <w:lang w:val="en-GB"/>
              </w:rPr>
            </w:pPr>
            <w:r w:rsidRPr="00FB7FA7">
              <w:rPr>
                <w:rFonts w:eastAsia="Malgun Gothic"/>
                <w:sz w:val="20"/>
                <w:szCs w:val="20"/>
                <w:lang w:val="en-GB"/>
              </w:rPr>
              <w:t>FFS:</w:t>
            </w:r>
            <w:r w:rsidRPr="00E327E5">
              <w:rPr>
                <w:rFonts w:eastAsia="Malgun Gothic"/>
                <w:sz w:val="20"/>
                <w:szCs w:val="20"/>
                <w:lang w:val="en-GB"/>
              </w:rPr>
              <w:t xml:space="preserve"> Same or different sets of UE panels can be used for DL reception and UL transmission, respectively</w:t>
            </w:r>
          </w:p>
          <w:p w14:paraId="16C97994" w14:textId="77777777" w:rsidR="00C71B7C" w:rsidRPr="00E327E5" w:rsidRDefault="00C71B7C" w:rsidP="00C71B7C">
            <w:pPr>
              <w:numPr>
                <w:ilvl w:val="1"/>
                <w:numId w:val="26"/>
              </w:numPr>
              <w:autoSpaceDE/>
              <w:autoSpaceDN/>
              <w:adjustRightInd/>
              <w:snapToGrid/>
              <w:spacing w:after="0"/>
              <w:contextualSpacing/>
              <w:jc w:val="left"/>
              <w:rPr>
                <w:rFonts w:eastAsia="Batang"/>
                <w:sz w:val="20"/>
                <w:szCs w:val="20"/>
                <w:lang w:val="en-GB"/>
              </w:rPr>
            </w:pPr>
            <w:r w:rsidRPr="00FB7FA7">
              <w:rPr>
                <w:rFonts w:eastAsia="Batang"/>
                <w:sz w:val="20"/>
                <w:szCs w:val="20"/>
                <w:lang w:val="en-GB"/>
              </w:rPr>
              <w:t>In RAN1#103-e, identify candidate use cases</w:t>
            </w:r>
            <w:r w:rsidRPr="00E327E5">
              <w:rPr>
                <w:rFonts w:eastAsia="Batang"/>
                <w:sz w:val="20"/>
                <w:szCs w:val="20"/>
                <w:lang w:val="en-GB"/>
              </w:rPr>
              <w:t xml:space="preserve"> including MPE, and consider remaining aspects if use cases are identified</w:t>
            </w:r>
          </w:p>
          <w:p w14:paraId="4A49D019" w14:textId="77777777" w:rsidR="00C71B7C" w:rsidRPr="00E327E5" w:rsidRDefault="00C71B7C" w:rsidP="00C71B7C">
            <w:pPr>
              <w:numPr>
                <w:ilvl w:val="1"/>
                <w:numId w:val="26"/>
              </w:numPr>
              <w:autoSpaceDE/>
              <w:autoSpaceDN/>
              <w:adjustRightInd/>
              <w:snapToGrid/>
              <w:spacing w:after="0"/>
              <w:contextualSpacing/>
              <w:jc w:val="left"/>
              <w:rPr>
                <w:rFonts w:eastAsia="Batang"/>
                <w:sz w:val="20"/>
                <w:szCs w:val="20"/>
                <w:lang w:val="en-GB"/>
              </w:rPr>
            </w:pPr>
            <w:r w:rsidRPr="00FB7FA7">
              <w:rPr>
                <w:rFonts w:eastAsia="Batang"/>
                <w:sz w:val="20"/>
                <w:szCs w:val="20"/>
                <w:lang w:val="en-GB"/>
              </w:rPr>
              <w:t>In RAN1#103-e, identify candidate signaling schemes</w:t>
            </w:r>
            <w:r w:rsidRPr="00E327E5">
              <w:rPr>
                <w:rFonts w:eastAsia="Batang"/>
                <w:sz w:val="20"/>
                <w:szCs w:val="20"/>
                <w:lang w:val="en-GB"/>
              </w:rPr>
              <w:t xml:space="preserve"> for the following:</w:t>
            </w:r>
          </w:p>
          <w:p w14:paraId="0CC124CE" w14:textId="77777777" w:rsidR="00C71B7C" w:rsidRPr="0054259F" w:rsidRDefault="00C71B7C" w:rsidP="00C71B7C">
            <w:pPr>
              <w:numPr>
                <w:ilvl w:val="2"/>
                <w:numId w:val="26"/>
              </w:numPr>
              <w:autoSpaceDE/>
              <w:autoSpaceDN/>
              <w:adjustRightInd/>
              <w:snapToGrid/>
              <w:spacing w:after="0"/>
              <w:contextualSpacing/>
              <w:jc w:val="left"/>
              <w:rPr>
                <w:rFonts w:eastAsia="Batang"/>
                <w:sz w:val="20"/>
                <w:szCs w:val="20"/>
                <w:lang w:val="en-GB"/>
              </w:rPr>
            </w:pPr>
            <w:r w:rsidRPr="0054259F">
              <w:rPr>
                <w:rFonts w:eastAsia="Batang"/>
                <w:sz w:val="20"/>
                <w:szCs w:val="20"/>
                <w:lang w:val="en-GB"/>
              </w:rPr>
              <w:t>NW to MP-UE (taking into account potential extension of the unified TCI framework in issue 1)</w:t>
            </w:r>
          </w:p>
          <w:p w14:paraId="5522745D" w14:textId="55DC0F3E" w:rsidR="00C71B7C" w:rsidRPr="00FB7FA7" w:rsidRDefault="00C71B7C" w:rsidP="00FB7FA7">
            <w:pPr>
              <w:numPr>
                <w:ilvl w:val="2"/>
                <w:numId w:val="26"/>
              </w:numPr>
              <w:autoSpaceDE/>
              <w:autoSpaceDN/>
              <w:adjustRightInd/>
              <w:snapToGrid/>
              <w:spacing w:after="0"/>
              <w:contextualSpacing/>
              <w:jc w:val="left"/>
              <w:rPr>
                <w:rFonts w:eastAsia="Batang"/>
                <w:sz w:val="20"/>
                <w:szCs w:val="20"/>
                <w:lang w:val="en-GB"/>
              </w:rPr>
            </w:pPr>
            <w:r w:rsidRPr="000F30DF">
              <w:rPr>
                <w:rFonts w:eastAsia="Batang"/>
                <w:sz w:val="20"/>
                <w:szCs w:val="20"/>
                <w:lang w:val="en-GB"/>
              </w:rPr>
              <w:t>MP-UE to NW</w:t>
            </w:r>
          </w:p>
        </w:tc>
      </w:tr>
    </w:tbl>
    <w:p w14:paraId="43FC45FC" w14:textId="5FA6DDDF" w:rsidR="00936429" w:rsidRPr="00C925AA" w:rsidRDefault="00936429" w:rsidP="00936429">
      <w:pPr>
        <w:pStyle w:val="Heading2"/>
        <w:rPr>
          <w:sz w:val="22"/>
          <w:lang w:eastAsia="ja-JP"/>
        </w:rPr>
      </w:pPr>
      <w:r>
        <w:rPr>
          <w:sz w:val="22"/>
          <w:lang w:eastAsia="ja-JP"/>
        </w:rPr>
        <w:t>Use cases for</w:t>
      </w:r>
      <w:r w:rsidRPr="00C925AA">
        <w:rPr>
          <w:sz w:val="22"/>
          <w:lang w:eastAsia="ja-JP"/>
        </w:rPr>
        <w:t xml:space="preserve"> </w:t>
      </w:r>
      <w:r>
        <w:rPr>
          <w:sz w:val="22"/>
          <w:lang w:eastAsia="ja-JP"/>
        </w:rPr>
        <w:t>UL panel</w:t>
      </w:r>
      <w:r w:rsidRPr="00C925AA">
        <w:rPr>
          <w:sz w:val="22"/>
          <w:lang w:eastAsia="ja-JP"/>
        </w:rPr>
        <w:t xml:space="preserve"> selection</w:t>
      </w:r>
    </w:p>
    <w:p w14:paraId="2A11E1E6" w14:textId="482DDA35" w:rsidR="00C71B7C" w:rsidRDefault="00A268E9" w:rsidP="00C2789D">
      <w:pPr>
        <w:spacing w:after="80"/>
        <w:rPr>
          <w:sz w:val="20"/>
          <w:lang w:eastAsia="ja-JP"/>
        </w:rPr>
      </w:pPr>
      <w:r>
        <w:rPr>
          <w:sz w:val="20"/>
          <w:lang w:eastAsia="ja-JP"/>
        </w:rPr>
        <w:t xml:space="preserve">Speaking of the use cases of UL panel selection, one may have following potential cases to consider. The very first issue we have in mind is MPE. Technically, </w:t>
      </w:r>
      <w:r w:rsidR="00936429">
        <w:rPr>
          <w:sz w:val="20"/>
          <w:lang w:eastAsia="ja-JP"/>
        </w:rPr>
        <w:t>considering the UE behavior on power back</w:t>
      </w:r>
      <w:r>
        <w:rPr>
          <w:sz w:val="20"/>
          <w:lang w:eastAsia="ja-JP"/>
        </w:rPr>
        <w:t xml:space="preserve"> </w:t>
      </w:r>
      <w:r w:rsidR="00936429">
        <w:rPr>
          <w:sz w:val="20"/>
          <w:lang w:eastAsia="ja-JP"/>
        </w:rPr>
        <w:t xml:space="preserve">off due to MPE, </w:t>
      </w:r>
      <w:r>
        <w:rPr>
          <w:sz w:val="20"/>
          <w:lang w:eastAsia="ja-JP"/>
        </w:rPr>
        <w:t xml:space="preserve">one panel selected by NW for UL transmission may not be suitable from UE perspective. Secondly, </w:t>
      </w:r>
      <w:r w:rsidR="004B3D18">
        <w:rPr>
          <w:sz w:val="20"/>
          <w:lang w:eastAsia="ja-JP"/>
        </w:rPr>
        <w:t>to the end of</w:t>
      </w:r>
      <w:r>
        <w:rPr>
          <w:sz w:val="20"/>
          <w:lang w:eastAsia="ja-JP"/>
        </w:rPr>
        <w:t xml:space="preserve"> power</w:t>
      </w:r>
      <w:r w:rsidR="004B3D18">
        <w:rPr>
          <w:sz w:val="20"/>
          <w:lang w:eastAsia="ja-JP"/>
        </w:rPr>
        <w:t xml:space="preserve"> saving</w:t>
      </w:r>
      <w:r>
        <w:rPr>
          <w:sz w:val="20"/>
          <w:lang w:eastAsia="ja-JP"/>
        </w:rPr>
        <w:t>,</w:t>
      </w:r>
      <w:r w:rsidR="004B3D18">
        <w:rPr>
          <w:sz w:val="20"/>
          <w:lang w:eastAsia="ja-JP"/>
        </w:rPr>
        <w:t xml:space="preserve"> a UE would turn off or deactivate some of its antenna panels. If NW schedules the UE with transmission on such inactive antenna panels, it can be expected that a time gap should be considered. In such case, the mechanism of UL fast panel selection </w:t>
      </w:r>
      <w:r w:rsidR="00EA4DDA">
        <w:rPr>
          <w:sz w:val="20"/>
          <w:lang w:eastAsia="ja-JP"/>
        </w:rPr>
        <w:t>should</w:t>
      </w:r>
      <w:r w:rsidR="004B3D18">
        <w:rPr>
          <w:sz w:val="20"/>
          <w:lang w:eastAsia="ja-JP"/>
        </w:rPr>
        <w:t xml:space="preserve"> be designed.</w:t>
      </w:r>
    </w:p>
    <w:p w14:paraId="5EF63A89" w14:textId="3E34C1B0" w:rsidR="00C2789D" w:rsidRDefault="00C2789D" w:rsidP="00C925AA">
      <w:pPr>
        <w:pStyle w:val="Heading2"/>
        <w:rPr>
          <w:sz w:val="22"/>
          <w:lang w:eastAsia="ja-JP"/>
        </w:rPr>
      </w:pPr>
      <w:r w:rsidRPr="00C925AA">
        <w:rPr>
          <w:sz w:val="22"/>
          <w:lang w:eastAsia="ja-JP"/>
        </w:rPr>
        <w:t xml:space="preserve">A new </w:t>
      </w:r>
      <w:r w:rsidR="00372A81">
        <w:rPr>
          <w:sz w:val="22"/>
          <w:lang w:eastAsia="ja-JP"/>
        </w:rPr>
        <w:t xml:space="preserve">panel </w:t>
      </w:r>
      <w:r w:rsidRPr="00C925AA">
        <w:rPr>
          <w:sz w:val="22"/>
          <w:lang w:eastAsia="ja-JP"/>
        </w:rPr>
        <w:t xml:space="preserve">ID for </w:t>
      </w:r>
      <w:r w:rsidR="00372A81">
        <w:rPr>
          <w:sz w:val="22"/>
          <w:lang w:eastAsia="ja-JP"/>
        </w:rPr>
        <w:t>fast UL panel</w:t>
      </w:r>
      <w:r w:rsidRPr="00C925AA">
        <w:rPr>
          <w:sz w:val="22"/>
          <w:lang w:eastAsia="ja-JP"/>
        </w:rPr>
        <w:t xml:space="preserve"> selection</w:t>
      </w:r>
    </w:p>
    <w:p w14:paraId="2E0B512B" w14:textId="297C3D26" w:rsidR="006708BD" w:rsidRDefault="00EA4DDA" w:rsidP="00FB7FA7">
      <w:pPr>
        <w:spacing w:before="80" w:after="80"/>
        <w:rPr>
          <w:sz w:val="20"/>
        </w:rPr>
      </w:pPr>
      <w:r>
        <w:rPr>
          <w:sz w:val="20"/>
        </w:rPr>
        <w:t xml:space="preserve">As for UL panel selection, a panel ID seems necessary to identify a panel. </w:t>
      </w:r>
      <w:r>
        <w:rPr>
          <w:sz w:val="20"/>
        </w:rPr>
        <w:t xml:space="preserve">In </w:t>
      </w:r>
      <w:r>
        <w:rPr>
          <w:rFonts w:hint="eastAsia"/>
          <w:sz w:val="20"/>
          <w:lang w:eastAsia="zh-CN"/>
        </w:rPr>
        <w:t xml:space="preserve">Rel.17, </w:t>
      </w:r>
      <w:r w:rsidRPr="00C43D48">
        <w:rPr>
          <w:sz w:val="20"/>
        </w:rPr>
        <w:t xml:space="preserve">RAN1 </w:t>
      </w:r>
      <w:r>
        <w:rPr>
          <w:sz w:val="20"/>
        </w:rPr>
        <w:t xml:space="preserve">can further </w:t>
      </w:r>
      <w:r w:rsidRPr="00C43D48">
        <w:rPr>
          <w:sz w:val="20"/>
        </w:rPr>
        <w:t xml:space="preserve">narrow down </w:t>
      </w:r>
      <w:r>
        <w:rPr>
          <w:sz w:val="20"/>
        </w:rPr>
        <w:t xml:space="preserve">between Alt.2 and Alt.3 </w:t>
      </w:r>
      <w:r w:rsidRPr="00EA4DDA">
        <w:rPr>
          <w:sz w:val="20"/>
        </w:rPr>
        <w:t>inherited</w:t>
      </w:r>
      <w:r>
        <w:rPr>
          <w:sz w:val="20"/>
        </w:rPr>
        <w:t xml:space="preserve"> in Rel.16 agreement</w:t>
      </w:r>
      <w:r w:rsidRPr="00C43D48">
        <w:rPr>
          <w:sz w:val="20"/>
        </w:rPr>
        <w:t xml:space="preserve"> for </w:t>
      </w:r>
      <w:r>
        <w:rPr>
          <w:sz w:val="20"/>
        </w:rPr>
        <w:t>UL panel selection</w:t>
      </w:r>
      <w:r w:rsidRPr="00C43D48">
        <w:rPr>
          <w:sz w:val="20"/>
        </w:rPr>
        <w:t xml:space="preserve">. </w:t>
      </w:r>
      <w:r>
        <w:rPr>
          <w:sz w:val="20"/>
        </w:rPr>
        <w:t xml:space="preserve">One may see the agreement as below. Since the usage of SRS resource set as a panel ID is no longer an option, </w:t>
      </w:r>
      <w:r w:rsidRPr="00C43D48">
        <w:rPr>
          <w:sz w:val="20"/>
        </w:rPr>
        <w:t xml:space="preserve">allow us to </w:t>
      </w:r>
      <w:r>
        <w:rPr>
          <w:sz w:val="20"/>
        </w:rPr>
        <w:t>present our views on</w:t>
      </w:r>
      <w:r w:rsidRPr="00C43D48">
        <w:rPr>
          <w:sz w:val="20"/>
        </w:rPr>
        <w:t xml:space="preserve"> </w:t>
      </w:r>
      <w:r>
        <w:rPr>
          <w:sz w:val="20"/>
        </w:rPr>
        <w:t xml:space="preserve">Alt.2 and Alt.3 </w:t>
      </w:r>
      <w:r w:rsidRPr="00C43D48">
        <w:rPr>
          <w:sz w:val="20"/>
        </w:rPr>
        <w:t xml:space="preserve">in what follows. </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372A81" w14:paraId="330DAC51" w14:textId="77777777" w:rsidTr="00622449">
        <w:trPr>
          <w:trHeight w:val="4405"/>
        </w:trPr>
        <w:tc>
          <w:tcPr>
            <w:tcW w:w="9259" w:type="dxa"/>
          </w:tcPr>
          <w:p w14:paraId="2338FEAF" w14:textId="77777777" w:rsidR="00372A81" w:rsidRPr="007609B8" w:rsidRDefault="00372A81" w:rsidP="00622449">
            <w:pPr>
              <w:spacing w:before="60" w:after="0"/>
              <w:rPr>
                <w:sz w:val="20"/>
                <w:szCs w:val="20"/>
                <w:highlight w:val="green"/>
              </w:rPr>
            </w:pPr>
            <w:r w:rsidRPr="007609B8">
              <w:rPr>
                <w:sz w:val="20"/>
                <w:szCs w:val="20"/>
                <w:highlight w:val="green"/>
              </w:rPr>
              <w:t>Agreement</w:t>
            </w:r>
          </w:p>
          <w:p w14:paraId="5C8F4FD2" w14:textId="77777777" w:rsidR="00372A81" w:rsidRPr="007609B8" w:rsidRDefault="00372A81" w:rsidP="00622449">
            <w:pPr>
              <w:spacing w:after="0"/>
              <w:rPr>
                <w:sz w:val="20"/>
                <w:szCs w:val="20"/>
              </w:rPr>
            </w:pPr>
            <w:r w:rsidRPr="007609B8">
              <w:rPr>
                <w:sz w:val="20"/>
                <w:szCs w:val="20"/>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00F619BD" w14:textId="77777777" w:rsidR="00372A81" w:rsidRDefault="00372A81" w:rsidP="00622449">
            <w:pPr>
              <w:spacing w:after="0"/>
              <w:contextualSpacing/>
              <w:rPr>
                <w:sz w:val="20"/>
                <w:szCs w:val="20"/>
              </w:rPr>
            </w:pPr>
          </w:p>
          <w:p w14:paraId="7C461118" w14:textId="77777777" w:rsidR="00372A81" w:rsidRPr="007609B8" w:rsidRDefault="00372A81" w:rsidP="00622449">
            <w:pPr>
              <w:spacing w:after="0"/>
              <w:contextualSpacing/>
              <w:rPr>
                <w:sz w:val="20"/>
                <w:szCs w:val="20"/>
              </w:rPr>
            </w:pPr>
            <w:r w:rsidRPr="007609B8">
              <w:rPr>
                <w:sz w:val="20"/>
                <w:szCs w:val="20"/>
              </w:rPr>
              <w:t xml:space="preserve">gNB can configure/indicate </w:t>
            </w:r>
            <w:r w:rsidRPr="007609B8">
              <w:rPr>
                <w:rFonts w:hint="eastAsia"/>
                <w:sz w:val="20"/>
                <w:szCs w:val="20"/>
              </w:rPr>
              <w:t>panel-specific transmission</w:t>
            </w:r>
            <w:r w:rsidRPr="007609B8">
              <w:rPr>
                <w:sz w:val="20"/>
                <w:szCs w:val="20"/>
              </w:rPr>
              <w:t xml:space="preserve"> for UL transmission, via</w:t>
            </w:r>
          </w:p>
          <w:p w14:paraId="270AB0B8" w14:textId="77777777" w:rsidR="00372A81" w:rsidRPr="007609B8" w:rsidRDefault="00372A81" w:rsidP="00622449">
            <w:pPr>
              <w:numPr>
                <w:ilvl w:val="0"/>
                <w:numId w:val="11"/>
              </w:numPr>
              <w:autoSpaceDE/>
              <w:autoSpaceDN/>
              <w:spacing w:after="0"/>
              <w:ind w:left="720" w:hanging="320"/>
              <w:contextualSpacing/>
              <w:jc w:val="left"/>
              <w:rPr>
                <w:sz w:val="20"/>
                <w:szCs w:val="20"/>
              </w:rPr>
            </w:pPr>
            <w:r w:rsidRPr="007609B8">
              <w:rPr>
                <w:sz w:val="20"/>
                <w:szCs w:val="20"/>
              </w:rPr>
              <w:t xml:space="preserve">Alt.2: </w:t>
            </w:r>
            <w:r w:rsidRPr="007609B8">
              <w:rPr>
                <w:rFonts w:hint="eastAsia"/>
                <w:sz w:val="20"/>
                <w:szCs w:val="20"/>
              </w:rPr>
              <w:t xml:space="preserve">Introduce a UL-TCI framework </w:t>
            </w:r>
            <w:r w:rsidRPr="007609B8">
              <w:rPr>
                <w:sz w:val="20"/>
                <w:szCs w:val="20"/>
              </w:rPr>
              <w:t>in Rel-16 and support UL-TCI based signaling analogous to DL beam indication supported in Rel-15, e.g., as illustrated below.</w:t>
            </w:r>
          </w:p>
          <w:p w14:paraId="602A508B" w14:textId="77777777" w:rsidR="00372A81" w:rsidRPr="007609B8" w:rsidRDefault="00372A81" w:rsidP="00622449">
            <w:pPr>
              <w:numPr>
                <w:ilvl w:val="1"/>
                <w:numId w:val="11"/>
              </w:numPr>
              <w:autoSpaceDE/>
              <w:autoSpaceDN/>
              <w:spacing w:after="0"/>
              <w:contextualSpacing/>
              <w:jc w:val="left"/>
              <w:rPr>
                <w:sz w:val="20"/>
                <w:szCs w:val="20"/>
              </w:rPr>
            </w:pPr>
            <w:r w:rsidRPr="007609B8">
              <w:rPr>
                <w:sz w:val="20"/>
                <w:szCs w:val="20"/>
              </w:rPr>
              <w:t>A new panel ID may or may not be introduced.</w:t>
            </w:r>
          </w:p>
          <w:p w14:paraId="5260CC32" w14:textId="77777777" w:rsidR="00372A81" w:rsidRPr="007609B8" w:rsidRDefault="00372A81" w:rsidP="00622449">
            <w:pPr>
              <w:numPr>
                <w:ilvl w:val="1"/>
                <w:numId w:val="11"/>
              </w:numPr>
              <w:autoSpaceDE/>
              <w:autoSpaceDN/>
              <w:spacing w:after="0"/>
              <w:contextualSpacing/>
              <w:jc w:val="left"/>
              <w:rPr>
                <w:sz w:val="20"/>
                <w:szCs w:val="20"/>
              </w:rPr>
            </w:pPr>
            <w:r w:rsidRPr="007609B8">
              <w:rPr>
                <w:sz w:val="20"/>
                <w:szCs w:val="20"/>
              </w:rPr>
              <w:t>A panel specific signaling is performed using UL-TCI state</w:t>
            </w:r>
          </w:p>
          <w:p w14:paraId="668682FD" w14:textId="77777777" w:rsidR="00372A81" w:rsidRPr="007609B8" w:rsidRDefault="00372A81" w:rsidP="00622449">
            <w:pPr>
              <w:numPr>
                <w:ilvl w:val="0"/>
                <w:numId w:val="11"/>
              </w:numPr>
              <w:autoSpaceDE/>
              <w:autoSpaceDN/>
              <w:spacing w:after="0"/>
              <w:ind w:left="720" w:hanging="320"/>
              <w:contextualSpacing/>
              <w:jc w:val="left"/>
              <w:rPr>
                <w:sz w:val="20"/>
                <w:szCs w:val="20"/>
              </w:rPr>
            </w:pPr>
            <w:r w:rsidRPr="007609B8">
              <w:rPr>
                <w:sz w:val="20"/>
                <w:szCs w:val="20"/>
              </w:rPr>
              <w:t>Alt.3: a new panel-ID is introduced, which can be implicitly/explicitly applied to the transmission for a target RS resource or resource set, for PUCCH resource, for SRS resource, FFS for PRACH</w:t>
            </w:r>
          </w:p>
          <w:p w14:paraId="515C022B" w14:textId="77777777" w:rsidR="00372A81" w:rsidRPr="007609B8" w:rsidRDefault="00372A81" w:rsidP="00622449">
            <w:pPr>
              <w:numPr>
                <w:ilvl w:val="1"/>
                <w:numId w:val="11"/>
              </w:numPr>
              <w:autoSpaceDE/>
              <w:autoSpaceDN/>
              <w:spacing w:after="0"/>
              <w:contextualSpacing/>
              <w:jc w:val="left"/>
              <w:rPr>
                <w:sz w:val="20"/>
                <w:szCs w:val="20"/>
              </w:rPr>
            </w:pPr>
            <w:r w:rsidRPr="007609B8">
              <w:rPr>
                <w:sz w:val="20"/>
                <w:szCs w:val="20"/>
              </w:rPr>
              <w:t>A panel specific signaling is performed using the new panel-ID implicitly (e.g., by DL beam reporting enhancement) or explicitly.</w:t>
            </w:r>
          </w:p>
          <w:p w14:paraId="51CC18CA" w14:textId="77777777" w:rsidR="00372A81" w:rsidRPr="007609B8" w:rsidRDefault="00372A81" w:rsidP="00622449">
            <w:pPr>
              <w:numPr>
                <w:ilvl w:val="1"/>
                <w:numId w:val="11"/>
              </w:numPr>
              <w:autoSpaceDE/>
              <w:autoSpaceDN/>
              <w:spacing w:after="0"/>
              <w:contextualSpacing/>
              <w:jc w:val="left"/>
              <w:rPr>
                <w:sz w:val="20"/>
                <w:szCs w:val="20"/>
              </w:rPr>
            </w:pPr>
            <w:r w:rsidRPr="007609B8">
              <w:rPr>
                <w:sz w:val="20"/>
                <w:szCs w:val="20"/>
              </w:rPr>
              <w:t>If explicitly signaled, the ID can be configured in the target RS/channel or reference RS</w:t>
            </w:r>
            <w:r>
              <w:rPr>
                <w:sz w:val="20"/>
                <w:szCs w:val="20"/>
              </w:rPr>
              <w:t xml:space="preserve"> </w:t>
            </w:r>
            <w:r w:rsidRPr="007609B8">
              <w:rPr>
                <w:sz w:val="20"/>
                <w:szCs w:val="20"/>
              </w:rPr>
              <w:t>(e.g., in the DL RS resource configuration or in spatial relation info).</w:t>
            </w:r>
          </w:p>
          <w:p w14:paraId="1DDFF02D" w14:textId="77777777" w:rsidR="00372A81" w:rsidRPr="00C54253" w:rsidRDefault="00372A81" w:rsidP="00622449">
            <w:pPr>
              <w:numPr>
                <w:ilvl w:val="1"/>
                <w:numId w:val="11"/>
              </w:numPr>
              <w:autoSpaceDE/>
              <w:autoSpaceDN/>
              <w:spacing w:after="80"/>
              <w:ind w:left="1202" w:hanging="403"/>
              <w:contextualSpacing/>
              <w:jc w:val="left"/>
              <w:rPr>
                <w:sz w:val="20"/>
                <w:szCs w:val="20"/>
              </w:rPr>
            </w:pPr>
            <w:r w:rsidRPr="007609B8">
              <w:rPr>
                <w:sz w:val="20"/>
                <w:szCs w:val="20"/>
              </w:rPr>
              <w:t>No new MAC CE is specified for the purpose of introducing the ID.</w:t>
            </w:r>
          </w:p>
        </w:tc>
      </w:tr>
    </w:tbl>
    <w:p w14:paraId="101A2CD6" w14:textId="742C4511" w:rsidR="006708BD" w:rsidRDefault="006708BD" w:rsidP="00FB7FA7">
      <w:pPr>
        <w:spacing w:before="80" w:after="80"/>
        <w:rPr>
          <w:sz w:val="20"/>
        </w:rPr>
      </w:pPr>
      <w:r>
        <w:rPr>
          <w:sz w:val="20"/>
        </w:rPr>
        <w:t>Regarding</w:t>
      </w:r>
      <w:r w:rsidR="00013A25">
        <w:rPr>
          <w:sz w:val="20"/>
        </w:rPr>
        <w:t xml:space="preserve"> Alt.2, from WID perspective, UL-TCI</w:t>
      </w:r>
      <w:r>
        <w:rPr>
          <w:sz w:val="20"/>
        </w:rPr>
        <w:t xml:space="preserve"> aligns well with the </w:t>
      </w:r>
      <w:r w:rsidR="001A44F9">
        <w:rPr>
          <w:sz w:val="20"/>
        </w:rPr>
        <w:t xml:space="preserve">framework of </w:t>
      </w:r>
      <w:r>
        <w:rPr>
          <w:sz w:val="20"/>
        </w:rPr>
        <w:t xml:space="preserve">unified TCI state. However the </w:t>
      </w:r>
      <w:r w:rsidR="00013A25">
        <w:rPr>
          <w:sz w:val="20"/>
        </w:rPr>
        <w:t>UL-</w:t>
      </w:r>
      <w:r>
        <w:rPr>
          <w:sz w:val="20"/>
        </w:rPr>
        <w:t xml:space="preserve">TCI </w:t>
      </w:r>
      <w:r w:rsidR="00013A25">
        <w:rPr>
          <w:sz w:val="20"/>
        </w:rPr>
        <w:t xml:space="preserve">state </w:t>
      </w:r>
      <w:r>
        <w:rPr>
          <w:sz w:val="20"/>
        </w:rPr>
        <w:t xml:space="preserve">is not directly linked to a UE panel in current specification. So to enable </w:t>
      </w:r>
      <w:r w:rsidR="00013A25">
        <w:rPr>
          <w:sz w:val="20"/>
        </w:rPr>
        <w:t>UL-</w:t>
      </w:r>
      <w:r>
        <w:rPr>
          <w:sz w:val="20"/>
        </w:rPr>
        <w:t xml:space="preserve">TCI state based </w:t>
      </w:r>
      <w:r w:rsidR="001A44F9">
        <w:rPr>
          <w:sz w:val="20"/>
        </w:rPr>
        <w:t>UL panel</w:t>
      </w:r>
      <w:r>
        <w:rPr>
          <w:sz w:val="20"/>
        </w:rPr>
        <w:t xml:space="preserve"> selection, t</w:t>
      </w:r>
      <w:r w:rsidR="00013A25">
        <w:rPr>
          <w:sz w:val="20"/>
        </w:rPr>
        <w:t>he association between UL-</w:t>
      </w:r>
      <w:r>
        <w:rPr>
          <w:sz w:val="20"/>
        </w:rPr>
        <w:t xml:space="preserve">TCI state and UL panel should be </w:t>
      </w:r>
      <w:r w:rsidR="001A44F9">
        <w:rPr>
          <w:sz w:val="20"/>
        </w:rPr>
        <w:t xml:space="preserve">considered </w:t>
      </w:r>
      <w:r>
        <w:rPr>
          <w:sz w:val="20"/>
        </w:rPr>
        <w:t xml:space="preserve">either </w:t>
      </w:r>
      <w:r w:rsidR="001A44F9">
        <w:rPr>
          <w:sz w:val="20"/>
        </w:rPr>
        <w:t xml:space="preserve">in an </w:t>
      </w:r>
      <w:r>
        <w:rPr>
          <w:sz w:val="20"/>
        </w:rPr>
        <w:t>explicitly or implicitly</w:t>
      </w:r>
      <w:r w:rsidR="001A44F9">
        <w:rPr>
          <w:sz w:val="20"/>
        </w:rPr>
        <w:t xml:space="preserve"> manner</w:t>
      </w:r>
      <w:r>
        <w:rPr>
          <w:sz w:val="20"/>
        </w:rPr>
        <w:t>.</w:t>
      </w:r>
      <w:r w:rsidR="001A44F9">
        <w:rPr>
          <w:sz w:val="20"/>
        </w:rPr>
        <w:t xml:space="preserve"> So if Alt.2 is supported, we think </w:t>
      </w:r>
      <w:r w:rsidR="00F03A52">
        <w:rPr>
          <w:sz w:val="20"/>
        </w:rPr>
        <w:t>there should be a new panel ID to facilitate panel selection by using unified TCI states.</w:t>
      </w:r>
    </w:p>
    <w:p w14:paraId="489B4E93" w14:textId="3C7749EB" w:rsidR="00C2789D" w:rsidRPr="00C43D48" w:rsidRDefault="00C2789D" w:rsidP="00FB7FA7">
      <w:pPr>
        <w:spacing w:before="80" w:after="80"/>
        <w:rPr>
          <w:sz w:val="20"/>
        </w:rPr>
      </w:pPr>
      <w:r>
        <w:rPr>
          <w:sz w:val="20"/>
        </w:rPr>
        <w:t xml:space="preserve">As for </w:t>
      </w:r>
      <w:r w:rsidRPr="00C43D48">
        <w:rPr>
          <w:sz w:val="20"/>
        </w:rPr>
        <w:t>Alt.</w:t>
      </w:r>
      <w:r>
        <w:rPr>
          <w:sz w:val="20"/>
        </w:rPr>
        <w:t xml:space="preserve">3, a new ID either implicitly or explicitly introduced can be used for </w:t>
      </w:r>
      <w:r w:rsidR="001A44F9">
        <w:rPr>
          <w:sz w:val="20"/>
        </w:rPr>
        <w:t xml:space="preserve">UL </w:t>
      </w:r>
      <w:r>
        <w:rPr>
          <w:sz w:val="20"/>
        </w:rPr>
        <w:t xml:space="preserve">panel selection. Given the current </w:t>
      </w:r>
      <w:r w:rsidR="00352F3C" w:rsidRPr="00352F3C">
        <w:rPr>
          <w:sz w:val="20"/>
        </w:rPr>
        <w:t>spatial relation</w:t>
      </w:r>
      <w:r>
        <w:rPr>
          <w:sz w:val="20"/>
        </w:rPr>
        <w:t xml:space="preserve"> based UL beam indication, it is reasonable to explicitly configure the ID in </w:t>
      </w:r>
      <w:r w:rsidR="00352F3C" w:rsidRPr="00352F3C">
        <w:rPr>
          <w:sz w:val="20"/>
        </w:rPr>
        <w:t>spatial relation</w:t>
      </w:r>
      <w:r w:rsidR="00352F3C">
        <w:rPr>
          <w:sz w:val="20"/>
        </w:rPr>
        <w:t xml:space="preserve"> </w:t>
      </w:r>
      <w:r>
        <w:rPr>
          <w:sz w:val="20"/>
        </w:rPr>
        <w:t xml:space="preserve">for </w:t>
      </w:r>
      <w:r>
        <w:rPr>
          <w:sz w:val="20"/>
        </w:rPr>
        <w:lastRenderedPageBreak/>
        <w:t xml:space="preserve">simplicity. </w:t>
      </w:r>
      <w:r w:rsidR="00F915EC">
        <w:rPr>
          <w:sz w:val="20"/>
        </w:rPr>
        <w:t xml:space="preserve">Furthermore, considering the progress on unified TCI which could serve UL beam indication, we think Alt.3 can be </w:t>
      </w:r>
      <w:r w:rsidR="00013A25">
        <w:rPr>
          <w:sz w:val="20"/>
        </w:rPr>
        <w:t xml:space="preserve">combined with unified TCI. In other words, Alt.3 may merge with Alt.2 by combining a panel ID and unified TCI. </w:t>
      </w:r>
      <w:r w:rsidRPr="00C43D48">
        <w:rPr>
          <w:sz w:val="20"/>
        </w:rPr>
        <w:t xml:space="preserve">Therefore, </w:t>
      </w:r>
      <w:r w:rsidR="00013A25">
        <w:rPr>
          <w:sz w:val="20"/>
        </w:rPr>
        <w:t xml:space="preserve">in order to support UL panel selection, </w:t>
      </w:r>
      <w:r w:rsidRPr="00C43D48">
        <w:rPr>
          <w:sz w:val="20"/>
        </w:rPr>
        <w:t xml:space="preserve">we </w:t>
      </w:r>
      <w:r w:rsidR="00013A25">
        <w:rPr>
          <w:sz w:val="20"/>
        </w:rPr>
        <w:t>think following proposal is reasonable</w:t>
      </w:r>
      <w:r>
        <w:rPr>
          <w:sz w:val="20"/>
        </w:rPr>
        <w:t xml:space="preserve">. </w:t>
      </w:r>
    </w:p>
    <w:p w14:paraId="09222C4E" w14:textId="1197E020" w:rsidR="00C2789D" w:rsidRPr="00556B33" w:rsidRDefault="00A75359" w:rsidP="00FB7FA7">
      <w:pPr>
        <w:pStyle w:val="ListParagraph"/>
        <w:numPr>
          <w:ilvl w:val="0"/>
          <w:numId w:val="32"/>
        </w:numPr>
        <w:spacing w:after="8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01195E">
        <w:rPr>
          <w:rFonts w:ascii="Times New Roman" w:hAnsi="Times New Roman" w:cs="Times New Roman"/>
          <w:b/>
          <w:sz w:val="22"/>
          <w:szCs w:val="22"/>
        </w:rPr>
        <w:t>A</w:t>
      </w:r>
      <w:r w:rsidR="00C2789D" w:rsidRPr="00556B33">
        <w:rPr>
          <w:rFonts w:ascii="Times New Roman" w:hAnsi="Times New Roman" w:cs="Times New Roman"/>
          <w:b/>
          <w:sz w:val="22"/>
          <w:szCs w:val="22"/>
        </w:rPr>
        <w:t xml:space="preserve"> </w:t>
      </w:r>
      <w:r w:rsidR="00E327E5">
        <w:rPr>
          <w:rFonts w:ascii="Times New Roman" w:hAnsi="Times New Roman" w:cs="Times New Roman"/>
          <w:b/>
          <w:sz w:val="22"/>
          <w:szCs w:val="22"/>
        </w:rPr>
        <w:t xml:space="preserve">panel </w:t>
      </w:r>
      <w:r w:rsidR="00C2789D" w:rsidRPr="00556B33">
        <w:rPr>
          <w:rFonts w:ascii="Times New Roman" w:hAnsi="Times New Roman" w:cs="Times New Roman"/>
          <w:b/>
          <w:sz w:val="22"/>
          <w:szCs w:val="22"/>
        </w:rPr>
        <w:t xml:space="preserve">ID </w:t>
      </w:r>
      <w:r w:rsidR="00E327E5">
        <w:rPr>
          <w:rFonts w:ascii="Times New Roman" w:hAnsi="Times New Roman" w:cs="Times New Roman"/>
          <w:b/>
          <w:sz w:val="22"/>
          <w:szCs w:val="22"/>
        </w:rPr>
        <w:t xml:space="preserve">either </w:t>
      </w:r>
      <w:r w:rsidR="00C2789D" w:rsidRPr="00556B33">
        <w:rPr>
          <w:rFonts w:ascii="Times New Roman" w:hAnsi="Times New Roman" w:cs="Times New Roman"/>
          <w:b/>
          <w:sz w:val="22"/>
          <w:szCs w:val="22"/>
        </w:rPr>
        <w:t xml:space="preserve">explicitly </w:t>
      </w:r>
      <w:r w:rsidR="00E327E5">
        <w:rPr>
          <w:rFonts w:ascii="Times New Roman" w:hAnsi="Times New Roman" w:cs="Times New Roman"/>
          <w:b/>
          <w:sz w:val="22"/>
          <w:szCs w:val="22"/>
        </w:rPr>
        <w:t>or implicitly combined with unified TCI or Spatial Relation</w:t>
      </w:r>
      <w:r w:rsidR="00C2789D" w:rsidRPr="00556B33">
        <w:rPr>
          <w:rFonts w:ascii="Times New Roman" w:hAnsi="Times New Roman" w:cs="Times New Roman"/>
          <w:b/>
          <w:sz w:val="22"/>
          <w:szCs w:val="22"/>
        </w:rPr>
        <w:t xml:space="preserve"> can be used for UL </w:t>
      </w:r>
      <w:r w:rsidR="00E327E5">
        <w:rPr>
          <w:rFonts w:ascii="Times New Roman" w:hAnsi="Times New Roman" w:cs="Times New Roman"/>
          <w:b/>
          <w:sz w:val="22"/>
          <w:szCs w:val="22"/>
        </w:rPr>
        <w:t>panel</w:t>
      </w:r>
      <w:r w:rsidR="00C2789D" w:rsidRPr="00556B33">
        <w:rPr>
          <w:rFonts w:ascii="Times New Roman" w:hAnsi="Times New Roman" w:cs="Times New Roman"/>
          <w:b/>
          <w:sz w:val="22"/>
          <w:szCs w:val="22"/>
        </w:rPr>
        <w:t xml:space="preserve"> selection.</w:t>
      </w:r>
    </w:p>
    <w:p w14:paraId="7F0A6A13" w14:textId="0A7DE9BF" w:rsidR="00C2789D" w:rsidRDefault="00C2789D" w:rsidP="00C925AA">
      <w:pPr>
        <w:pStyle w:val="Heading2"/>
        <w:rPr>
          <w:lang w:eastAsia="ja-JP"/>
        </w:rPr>
      </w:pPr>
      <w:r w:rsidRPr="00C925AA">
        <w:rPr>
          <w:sz w:val="22"/>
          <w:lang w:eastAsia="ja-JP"/>
        </w:rPr>
        <w:t>Panel selection for other UL channels/signal</w:t>
      </w:r>
      <w:r w:rsidR="00474A57">
        <w:rPr>
          <w:sz w:val="22"/>
          <w:lang w:eastAsia="ja-JP"/>
        </w:rPr>
        <w:t>s</w:t>
      </w:r>
    </w:p>
    <w:p w14:paraId="4D944E84" w14:textId="78B90203" w:rsidR="00C2789D" w:rsidRPr="00075308" w:rsidRDefault="00C2789D" w:rsidP="00C2789D">
      <w:pPr>
        <w:pStyle w:val="LGTdoc"/>
        <w:spacing w:before="80" w:afterLines="0" w:after="80" w:line="240" w:lineRule="auto"/>
        <w:contextualSpacing/>
        <w:rPr>
          <w:rFonts w:eastAsiaTheme="minorEastAsia"/>
          <w:kern w:val="0"/>
          <w:sz w:val="20"/>
          <w:szCs w:val="22"/>
          <w:lang w:val="en-US" w:eastAsia="zh-CN"/>
        </w:rPr>
      </w:pPr>
      <w:r w:rsidRPr="0001195E">
        <w:rPr>
          <w:sz w:val="20"/>
          <w:lang w:eastAsia="ja-JP"/>
        </w:rPr>
        <w:t>In RAN1#96bis</w:t>
      </w:r>
      <w:r w:rsidR="00C967CE">
        <w:rPr>
          <w:sz w:val="20"/>
          <w:lang w:eastAsia="ja-JP"/>
        </w:rPr>
        <w:t xml:space="preserve"> (Rel.16)</w:t>
      </w:r>
      <w:r w:rsidRPr="0001195E">
        <w:rPr>
          <w:sz w:val="20"/>
          <w:lang w:eastAsia="ja-JP"/>
        </w:rPr>
        <w:t xml:space="preserve">, RAN1 agreed the MPUE-Assumption3 that multiple panels at UE can be simultaneously activated, but only one panel can be used for UL transmission. In addition, </w:t>
      </w:r>
      <w:r w:rsidRPr="0001195E">
        <w:rPr>
          <w:rFonts w:eastAsiaTheme="minorEastAsia"/>
          <w:kern w:val="0"/>
          <w:sz w:val="18"/>
          <w:szCs w:val="22"/>
          <w:lang w:val="en-US" w:eastAsia="zh-CN"/>
        </w:rPr>
        <w:t>the discussion of panel-specific transmission has been extended to UL channels/signal</w:t>
      </w:r>
      <w:r w:rsidR="00474A57">
        <w:rPr>
          <w:rFonts w:eastAsiaTheme="minorEastAsia"/>
          <w:kern w:val="0"/>
          <w:sz w:val="18"/>
          <w:szCs w:val="22"/>
          <w:lang w:val="en-US" w:eastAsia="zh-CN"/>
        </w:rPr>
        <w:t>s</w:t>
      </w:r>
      <w:r w:rsidRPr="0001195E">
        <w:rPr>
          <w:rFonts w:eastAsiaTheme="minorEastAsia"/>
          <w:kern w:val="0"/>
          <w:sz w:val="18"/>
          <w:szCs w:val="22"/>
          <w:lang w:val="en-US" w:eastAsia="zh-CN"/>
        </w:rPr>
        <w:t xml:space="preserve"> other than PUSCH, i.e. PUCCH, SRS and even PRACH.</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C2789D" w:rsidRPr="00797A8E" w14:paraId="42F8B75F" w14:textId="77777777" w:rsidTr="00BD0B56">
        <w:trPr>
          <w:trHeight w:val="4683"/>
        </w:trPr>
        <w:tc>
          <w:tcPr>
            <w:tcW w:w="9259" w:type="dxa"/>
          </w:tcPr>
          <w:p w14:paraId="4D950248" w14:textId="77777777" w:rsidR="00C2789D" w:rsidRPr="00075308" w:rsidRDefault="00C2789D" w:rsidP="00D65BE2">
            <w:pPr>
              <w:autoSpaceDE/>
              <w:autoSpaceDN/>
              <w:adjustRightInd/>
              <w:snapToGrid/>
              <w:spacing w:after="0"/>
              <w:ind w:left="1440" w:hanging="1440"/>
              <w:contextualSpacing/>
              <w:jc w:val="left"/>
              <w:rPr>
                <w:rFonts w:ascii="Times" w:eastAsia="Batang" w:hAnsi="Times"/>
                <w:b/>
                <w:sz w:val="20"/>
                <w:szCs w:val="24"/>
                <w:highlight w:val="green"/>
                <w:lang w:val="en-GB" w:eastAsia="x-none"/>
              </w:rPr>
            </w:pPr>
            <w:r w:rsidRPr="00075308">
              <w:rPr>
                <w:rFonts w:ascii="Times" w:eastAsia="Batang" w:hAnsi="Times"/>
                <w:b/>
                <w:sz w:val="20"/>
                <w:szCs w:val="24"/>
                <w:highlight w:val="green"/>
                <w:lang w:val="en-GB" w:eastAsia="x-none"/>
              </w:rPr>
              <w:t>Agreement</w:t>
            </w:r>
          </w:p>
          <w:p w14:paraId="6885664F" w14:textId="77777777" w:rsidR="00C2789D" w:rsidRPr="00075308" w:rsidRDefault="00C2789D" w:rsidP="00D65BE2">
            <w:pPr>
              <w:autoSpaceDE/>
              <w:autoSpaceDN/>
              <w:spacing w:after="0"/>
              <w:ind w:left="1440" w:hanging="1440"/>
              <w:contextualSpacing/>
              <w:jc w:val="left"/>
              <w:rPr>
                <w:rFonts w:eastAsia="Batang" w:hAnsi="Times"/>
                <w:sz w:val="20"/>
                <w:lang w:val="en-GB"/>
              </w:rPr>
            </w:pPr>
            <w:r w:rsidRPr="00075308">
              <w:rPr>
                <w:rFonts w:eastAsia="Batang" w:hAnsi="Times"/>
                <w:sz w:val="20"/>
                <w:lang w:val="en-GB"/>
              </w:rPr>
              <w:t>In Rel-16, only introduce specification enhancement for MPUE-Assumption3</w:t>
            </w:r>
          </w:p>
          <w:p w14:paraId="60B2E2F4"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MPUE-Assumption3: Multiple panels are implemented on a UE and multiple panels can be activated at a time but only one panel can be used for transmission.</w:t>
            </w:r>
          </w:p>
          <w:p w14:paraId="49B986F4"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Note that this does not require a UE to always activate multi-panels simultaneously</w:t>
            </w:r>
          </w:p>
          <w:p w14:paraId="6D7B1016"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Note: UE can control the panel activation/deactivation </w:t>
            </w:r>
          </w:p>
          <w:p w14:paraId="252506D8"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Possible u</w:t>
            </w:r>
            <w:r w:rsidRPr="00075308">
              <w:rPr>
                <w:rFonts w:eastAsia="Batang" w:hAnsi="Times" w:hint="eastAsia"/>
                <w:sz w:val="20"/>
                <w:lang w:val="en-GB"/>
              </w:rPr>
              <w:t>se cases</w:t>
            </w:r>
            <w:r w:rsidRPr="00075308">
              <w:rPr>
                <w:rFonts w:eastAsia="Batang" w:hAnsi="Times"/>
                <w:sz w:val="20"/>
                <w:lang w:val="en-GB"/>
              </w:rPr>
              <w:t xml:space="preserve"> at least include</w:t>
            </w:r>
          </w:p>
          <w:p w14:paraId="188440D9"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(General) </w:t>
            </w:r>
            <w:r w:rsidRPr="00075308">
              <w:rPr>
                <w:rFonts w:eastAsia="Batang" w:hAnsi="Times" w:hint="eastAsia"/>
                <w:sz w:val="20"/>
                <w:lang w:val="en-GB"/>
              </w:rPr>
              <w:t>U</w:t>
            </w:r>
            <w:r w:rsidRPr="00075308">
              <w:rPr>
                <w:rFonts w:eastAsia="Batang" w:hAnsi="Times"/>
                <w:sz w:val="20"/>
                <w:lang w:val="en-GB"/>
              </w:rPr>
              <w:t>L coverage enhancement for FR2</w:t>
            </w:r>
            <w:r w:rsidRPr="00075308">
              <w:rPr>
                <w:rFonts w:ascii="Times" w:eastAsia="Batang" w:hAnsi="Times"/>
                <w:sz w:val="20"/>
                <w:szCs w:val="24"/>
                <w:lang w:val="en-GB"/>
              </w:rPr>
              <w:t xml:space="preserve"> </w:t>
            </w:r>
            <w:r w:rsidRPr="00075308">
              <w:rPr>
                <w:rFonts w:eastAsia="Batang" w:hAnsi="Times"/>
                <w:sz w:val="20"/>
                <w:lang w:val="en-GB"/>
              </w:rPr>
              <w:t xml:space="preserve">considering the UE power consumption </w:t>
            </w:r>
          </w:p>
          <w:p w14:paraId="24B87709"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Discussion topics in Rel-16 include:</w:t>
            </w:r>
          </w:p>
          <w:p w14:paraId="53BB6292" w14:textId="77777777" w:rsidR="00C2789D" w:rsidRPr="00075308" w:rsidRDefault="00C2789D" w:rsidP="00C2789D">
            <w:pPr>
              <w:numPr>
                <w:ilvl w:val="1"/>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Details on the identification for a panel and corresponding panel definition</w:t>
            </w:r>
          </w:p>
          <w:p w14:paraId="56C14DC2" w14:textId="77777777" w:rsidR="00C2789D" w:rsidRPr="00075308" w:rsidRDefault="00C2789D" w:rsidP="00C2789D">
            <w:pPr>
              <w:numPr>
                <w:ilvl w:val="0"/>
                <w:numId w:val="11"/>
              </w:numPr>
              <w:autoSpaceDE/>
              <w:autoSpaceDN/>
              <w:adjustRightInd/>
              <w:snapToGrid/>
              <w:spacing w:after="0"/>
              <w:contextualSpacing/>
              <w:jc w:val="left"/>
              <w:rPr>
                <w:rFonts w:eastAsia="Batang" w:hAnsi="Times"/>
                <w:sz w:val="20"/>
                <w:lang w:val="en-GB"/>
              </w:rPr>
            </w:pPr>
            <w:r w:rsidRPr="00075308">
              <w:rPr>
                <w:rFonts w:eastAsia="Batang" w:hAnsi="Times"/>
                <w:sz w:val="20"/>
                <w:lang w:val="en-GB"/>
              </w:rPr>
              <w:t xml:space="preserve">Any enhancement introduced in Rel-16 should take further enhancement of simultaneous transmission across multiple panels for future releases into account. </w:t>
            </w:r>
          </w:p>
          <w:p w14:paraId="50D0F9B2" w14:textId="77777777" w:rsidR="00C2789D" w:rsidRPr="00075308" w:rsidRDefault="00C2789D" w:rsidP="00BD0B56">
            <w:pPr>
              <w:autoSpaceDE/>
              <w:autoSpaceDN/>
              <w:snapToGrid/>
              <w:ind w:left="1440" w:hanging="1440"/>
              <w:contextualSpacing/>
              <w:jc w:val="left"/>
              <w:rPr>
                <w:rFonts w:eastAsia="Batang" w:hAnsi="Times"/>
                <w:sz w:val="20"/>
                <w:lang w:val="en-GB"/>
              </w:rPr>
            </w:pPr>
            <w:r w:rsidRPr="00075308">
              <w:rPr>
                <w:rFonts w:eastAsia="Batang" w:hAnsi="Times"/>
                <w:sz w:val="20"/>
                <w:lang w:val="en-GB"/>
              </w:rPr>
              <w:t>This is a UE optional feature</w:t>
            </w:r>
          </w:p>
          <w:p w14:paraId="5A64E8BB" w14:textId="77777777" w:rsidR="00C2789D" w:rsidRPr="0000770C" w:rsidRDefault="00C2789D" w:rsidP="00D65BE2">
            <w:pPr>
              <w:pStyle w:val="LGTdoc"/>
              <w:spacing w:afterLines="0" w:line="240" w:lineRule="auto"/>
              <w:contextualSpacing/>
              <w:rPr>
                <w:sz w:val="20"/>
                <w:szCs w:val="22"/>
                <w:highlight w:val="darkYellow"/>
                <w:lang w:val="en-US"/>
              </w:rPr>
            </w:pPr>
            <w:r w:rsidRPr="0000770C">
              <w:rPr>
                <w:sz w:val="20"/>
                <w:szCs w:val="22"/>
                <w:highlight w:val="darkYellow"/>
                <w:lang w:val="en-US"/>
              </w:rPr>
              <w:t>Working Assumption</w:t>
            </w:r>
          </w:p>
          <w:p w14:paraId="6C413568" w14:textId="77777777" w:rsidR="00C2789D" w:rsidRPr="0000770C" w:rsidRDefault="00C2789D" w:rsidP="00D65BE2">
            <w:pPr>
              <w:pStyle w:val="LGTdoc"/>
              <w:spacing w:afterLines="0" w:line="240" w:lineRule="auto"/>
              <w:contextualSpacing/>
              <w:rPr>
                <w:sz w:val="20"/>
                <w:szCs w:val="22"/>
                <w:lang w:val="en-US"/>
              </w:rPr>
            </w:pPr>
            <w:r w:rsidRPr="0000770C">
              <w:rPr>
                <w:sz w:val="20"/>
                <w:szCs w:val="22"/>
                <w:lang w:val="en-US"/>
              </w:rPr>
              <w:t>T</w:t>
            </w:r>
            <w:r w:rsidRPr="0000770C">
              <w:rPr>
                <w:rFonts w:hint="eastAsia"/>
                <w:sz w:val="20"/>
                <w:szCs w:val="22"/>
                <w:lang w:val="en-US"/>
              </w:rPr>
              <w:t>he</w:t>
            </w:r>
            <w:r w:rsidRPr="0000770C">
              <w:rPr>
                <w:sz w:val="20"/>
                <w:szCs w:val="22"/>
                <w:lang w:val="en-US"/>
              </w:rPr>
              <w:t xml:space="preserve"> agreed</w:t>
            </w:r>
            <w:r w:rsidRPr="0000770C">
              <w:rPr>
                <w:rFonts w:hint="eastAsia"/>
                <w:sz w:val="20"/>
                <w:szCs w:val="22"/>
                <w:lang w:val="en-US"/>
              </w:rPr>
              <w:t xml:space="preserve"> ID </w:t>
            </w:r>
            <w:r w:rsidRPr="0000770C">
              <w:rPr>
                <w:sz w:val="20"/>
                <w:szCs w:val="22"/>
                <w:lang w:val="en-US"/>
              </w:rPr>
              <w:t xml:space="preserve">(not excluding to reuse existing ID) </w:t>
            </w:r>
            <w:r w:rsidRPr="0000770C">
              <w:rPr>
                <w:rFonts w:hint="eastAsia"/>
                <w:sz w:val="20"/>
                <w:szCs w:val="22"/>
                <w:lang w:val="en-US"/>
              </w:rPr>
              <w:t xml:space="preserve">for a panel can be </w:t>
            </w:r>
            <w:r w:rsidRPr="0000770C">
              <w:rPr>
                <w:sz w:val="20"/>
                <w:szCs w:val="22"/>
                <w:lang w:val="en-US"/>
              </w:rPr>
              <w:t>used for panel-selection-based transmission of PUSCH, PUCCH and SRS, among multiple activated panels.</w:t>
            </w:r>
          </w:p>
          <w:p w14:paraId="1CAAD111" w14:textId="77777777" w:rsidR="00C2789D" w:rsidRPr="0000770C" w:rsidRDefault="00C2789D" w:rsidP="00C2789D">
            <w:pPr>
              <w:pStyle w:val="LGTdoc"/>
              <w:numPr>
                <w:ilvl w:val="0"/>
                <w:numId w:val="12"/>
              </w:numPr>
              <w:spacing w:afterLines="0" w:line="240" w:lineRule="auto"/>
              <w:contextualSpacing/>
              <w:rPr>
                <w:sz w:val="20"/>
                <w:szCs w:val="22"/>
                <w:lang w:val="en-US"/>
              </w:rPr>
            </w:pPr>
            <w:r w:rsidRPr="0000770C">
              <w:rPr>
                <w:sz w:val="20"/>
                <w:szCs w:val="22"/>
                <w:lang w:val="en-US"/>
              </w:rPr>
              <w:t>FFS details, including an explicit/implicit indication of the panel, also considering beam correspondence at UE.</w:t>
            </w:r>
          </w:p>
          <w:p w14:paraId="60233D6F" w14:textId="77777777" w:rsidR="00C2789D" w:rsidRPr="0000770C" w:rsidRDefault="00C2789D" w:rsidP="00BD0B56">
            <w:pPr>
              <w:pStyle w:val="LGTdoc"/>
              <w:numPr>
                <w:ilvl w:val="0"/>
                <w:numId w:val="12"/>
              </w:numPr>
              <w:spacing w:afterLines="0" w:after="80" w:line="240" w:lineRule="auto"/>
              <w:ind w:left="714" w:hanging="357"/>
              <w:contextualSpacing/>
              <w:rPr>
                <w:sz w:val="20"/>
                <w:szCs w:val="22"/>
                <w:lang w:val="en-US"/>
              </w:rPr>
            </w:pPr>
            <w:r w:rsidRPr="0000770C">
              <w:rPr>
                <w:sz w:val="20"/>
                <w:szCs w:val="22"/>
                <w:lang w:val="en-US"/>
              </w:rPr>
              <w:t>FFS on whether the ID can be used for panel-specific PRACH transmission, if supported.</w:t>
            </w:r>
          </w:p>
        </w:tc>
      </w:tr>
    </w:tbl>
    <w:p w14:paraId="5A9F8E81" w14:textId="4FB163E6" w:rsidR="00C2789D" w:rsidRDefault="00896BE9" w:rsidP="00C2789D">
      <w:pPr>
        <w:pStyle w:val="LGTdoc"/>
        <w:spacing w:before="80" w:afterLines="0" w:after="80" w:line="240" w:lineRule="auto"/>
        <w:contextualSpacing/>
        <w:rPr>
          <w:rFonts w:eastAsiaTheme="minorEastAsia"/>
          <w:kern w:val="0"/>
          <w:sz w:val="20"/>
          <w:szCs w:val="22"/>
          <w:lang w:val="en-US" w:eastAsia="zh-CN"/>
        </w:rPr>
      </w:pPr>
      <w:r>
        <w:rPr>
          <w:sz w:val="20"/>
          <w:lang w:eastAsia="zh-CN"/>
        </w:rPr>
        <w:t xml:space="preserve">From our understanding, it is natural to extend </w:t>
      </w:r>
      <w:r w:rsidR="00C967CE">
        <w:rPr>
          <w:sz w:val="20"/>
          <w:lang w:eastAsia="zh-CN"/>
        </w:rPr>
        <w:t>UL panel</w:t>
      </w:r>
      <w:r>
        <w:rPr>
          <w:sz w:val="20"/>
          <w:lang w:eastAsia="zh-CN"/>
        </w:rPr>
        <w:t xml:space="preserve"> selection from PUSCH to PUCCH/SRS/PRACH. Considering different beam indication mechanisms for PUSCH and PUCCH/SRS/etc, RAN1 needs to further look into the details of panel selection for each channel/signal. For instance, in Rel.15, SRI in DCI (if present) indicates the Tx beam of PUSCH, but PUCCH and SRS rely on higher layer parameters </w:t>
      </w:r>
      <w:r>
        <w:rPr>
          <w:i/>
          <w:sz w:val="20"/>
          <w:lang w:eastAsia="zh-CN"/>
        </w:rPr>
        <w:t xml:space="preserve">PUCCH-SpatialRelationInfo </w:t>
      </w:r>
      <w:r>
        <w:rPr>
          <w:sz w:val="20"/>
          <w:lang w:eastAsia="zh-CN"/>
        </w:rPr>
        <w:t xml:space="preserve">and </w:t>
      </w:r>
      <w:r>
        <w:rPr>
          <w:i/>
          <w:sz w:val="20"/>
          <w:lang w:eastAsia="zh-CN"/>
        </w:rPr>
        <w:t>SRS-SpatialRelationInfo</w:t>
      </w:r>
      <w:r>
        <w:rPr>
          <w:sz w:val="20"/>
          <w:lang w:eastAsia="zh-CN"/>
        </w:rPr>
        <w:t>, respectively. Moreover, in RRC idle state, a UE transmits PRACH depending on the measurement of SSB; in RRC connected state, the UE may transmit PRACH for different purposes, e.g. PCell BFR. During initial access procedure, it seems like the chance for NW to control UE’s panel is small. However, after RRC connection, the PRACH can be transmitted by UE in a panel-specific way.</w:t>
      </w:r>
    </w:p>
    <w:p w14:paraId="362AC048" w14:textId="67CE6B9E" w:rsidR="00C2789D" w:rsidRPr="00556B33" w:rsidRDefault="00097E22" w:rsidP="00FB7FA7">
      <w:pPr>
        <w:pStyle w:val="ListParagraph"/>
        <w:numPr>
          <w:ilvl w:val="0"/>
          <w:numId w:val="32"/>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00C2789D" w:rsidRPr="00556B33">
        <w:rPr>
          <w:rFonts w:ascii="Times New Roman" w:hAnsi="Times New Roman" w:cs="Times New Roman"/>
          <w:b/>
          <w:sz w:val="22"/>
          <w:szCs w:val="22"/>
        </w:rPr>
        <w:t xml:space="preserve">Confirm the working assumption on panel </w:t>
      </w:r>
      <w:r w:rsidR="00C967CE">
        <w:rPr>
          <w:rFonts w:ascii="Times New Roman" w:hAnsi="Times New Roman" w:cs="Times New Roman"/>
          <w:b/>
          <w:sz w:val="22"/>
          <w:szCs w:val="22"/>
        </w:rPr>
        <w:t xml:space="preserve">selection for </w:t>
      </w:r>
      <w:r w:rsidR="00C2789D" w:rsidRPr="00556B33">
        <w:rPr>
          <w:rFonts w:ascii="Times New Roman" w:hAnsi="Times New Roman" w:cs="Times New Roman"/>
          <w:b/>
          <w:sz w:val="22"/>
          <w:szCs w:val="22"/>
        </w:rPr>
        <w:t xml:space="preserve">PUSCH/PUCCH/SRS and include PRACH with </w:t>
      </w:r>
      <w:r w:rsidR="00C967CE">
        <w:rPr>
          <w:rFonts w:ascii="Times New Roman" w:hAnsi="Times New Roman" w:cs="Times New Roman"/>
          <w:b/>
          <w:sz w:val="22"/>
          <w:szCs w:val="22"/>
        </w:rPr>
        <w:t xml:space="preserve">its </w:t>
      </w:r>
      <w:r w:rsidR="00C2789D" w:rsidRPr="00556B33">
        <w:rPr>
          <w:rFonts w:ascii="Times New Roman" w:hAnsi="Times New Roman" w:cs="Times New Roman"/>
          <w:b/>
          <w:sz w:val="22"/>
          <w:szCs w:val="22"/>
        </w:rPr>
        <w:t>conditions FFS.</w:t>
      </w:r>
    </w:p>
    <w:p w14:paraId="3985BED6" w14:textId="75037B11" w:rsidR="001F4FA7" w:rsidRPr="00C925AA" w:rsidRDefault="00ED3D94" w:rsidP="00C925AA">
      <w:pPr>
        <w:pStyle w:val="Heading1"/>
        <w:rPr>
          <w:sz w:val="24"/>
          <w:lang w:eastAsia="ja-JP"/>
        </w:rPr>
      </w:pPr>
      <w:r w:rsidRPr="00C925AA">
        <w:rPr>
          <w:sz w:val="24"/>
          <w:lang w:eastAsia="ja-JP"/>
        </w:rPr>
        <w:t>MPE</w:t>
      </w:r>
      <w:r w:rsidR="0054259F">
        <w:rPr>
          <w:sz w:val="24"/>
          <w:lang w:eastAsia="ja-JP"/>
        </w:rPr>
        <w:t xml:space="preserve"> Issue</w:t>
      </w:r>
    </w:p>
    <w:p w14:paraId="3155F835" w14:textId="21951FE2" w:rsidR="009A29F0" w:rsidRDefault="00291480" w:rsidP="00291480">
      <w:pPr>
        <w:autoSpaceDE/>
        <w:adjustRightInd/>
        <w:snapToGrid/>
        <w:spacing w:before="80"/>
        <w:rPr>
          <w:rFonts w:eastAsia="MS Gothic"/>
          <w:sz w:val="20"/>
          <w:szCs w:val="20"/>
          <w:lang w:eastAsia="ja-JP"/>
        </w:rPr>
      </w:pPr>
      <w:r>
        <w:rPr>
          <w:rFonts w:eastAsia="MS Gothic"/>
          <w:sz w:val="20"/>
          <w:szCs w:val="20"/>
          <w:lang w:eastAsia="ja-JP"/>
        </w:rPr>
        <w:t xml:space="preserve">In Rel.16, RAN1 received an LS from RAN4 to handle the MPE issue so as to comply with regulatory RF exposure limits. In RAN4, two approaches to handle the MPE issue have been agreed. One is directly based on backing off from the configured maximum transmit power by a quantity P-MPR. The other one is to honor the </w:t>
      </w:r>
      <w:r>
        <w:rPr>
          <w:rFonts w:eastAsia="MS Gothic"/>
          <w:i/>
          <w:sz w:val="20"/>
          <w:szCs w:val="20"/>
          <w:lang w:eastAsia="ja-JP"/>
        </w:rPr>
        <w:t>maxUplinkDutyCycle</w:t>
      </w:r>
      <w:r>
        <w:rPr>
          <w:rFonts w:eastAsia="MS Gothic"/>
          <w:sz w:val="20"/>
          <w:szCs w:val="20"/>
          <w:lang w:eastAsia="ja-JP"/>
        </w:rPr>
        <w:t xml:space="preserve"> reported in the signaling of UE capabilities. </w:t>
      </w:r>
      <w:r w:rsidR="00806AF6">
        <w:rPr>
          <w:rFonts w:eastAsia="MS Gothic"/>
          <w:sz w:val="20"/>
          <w:szCs w:val="20"/>
          <w:lang w:eastAsia="ja-JP"/>
        </w:rPr>
        <w:t xml:space="preserve"> </w:t>
      </w:r>
    </w:p>
    <w:p w14:paraId="4A8CBA53" w14:textId="4A1ECF49" w:rsidR="00806AF6" w:rsidRDefault="00AA18F6" w:rsidP="00FB7FA7">
      <w:pPr>
        <w:autoSpaceDE/>
        <w:adjustRightInd/>
        <w:snapToGrid/>
        <w:spacing w:before="80"/>
        <w:rPr>
          <w:rFonts w:eastAsia="MS Gothic"/>
          <w:sz w:val="20"/>
          <w:szCs w:val="20"/>
          <w:lang w:eastAsia="ja-JP"/>
        </w:rPr>
      </w:pPr>
      <w:r>
        <w:rPr>
          <w:rFonts w:eastAsia="MS Gothic"/>
          <w:sz w:val="20"/>
          <w:szCs w:val="20"/>
          <w:lang w:eastAsia="ja-JP"/>
        </w:rPr>
        <w:t xml:space="preserve">Though aforementioned RAN4 solutions can address the MPE issue, they may trigger an UL coverage issue at FR2, at least for some of the </w:t>
      </w:r>
      <w:r w:rsidR="00476BA1">
        <w:rPr>
          <w:rFonts w:eastAsia="MS Gothic"/>
          <w:sz w:val="20"/>
          <w:szCs w:val="20"/>
          <w:lang w:eastAsia="ja-JP"/>
        </w:rPr>
        <w:t xml:space="preserve">directional </w:t>
      </w:r>
      <w:r>
        <w:rPr>
          <w:rFonts w:eastAsia="MS Gothic"/>
          <w:sz w:val="20"/>
          <w:szCs w:val="20"/>
          <w:lang w:eastAsia="ja-JP"/>
        </w:rPr>
        <w:t xml:space="preserve">beams. For instance, when an UL power back off is applied by the UE when transmitting UL channels/signals, the UE may lower its maximum power by, e.g. 10dB to satisfy RF exposure limits. This can possibly result in dissatisfactory measurements of an UL Tx beam at gNB side, though the corresponding DL beam selection may still </w:t>
      </w:r>
      <w:r w:rsidR="00476BA1">
        <w:rPr>
          <w:rFonts w:eastAsia="MS Gothic"/>
          <w:sz w:val="20"/>
          <w:szCs w:val="20"/>
          <w:lang w:eastAsia="ja-JP"/>
        </w:rPr>
        <w:t>results in high measured L1-RSRP</w:t>
      </w:r>
      <w:r>
        <w:rPr>
          <w:rFonts w:eastAsia="MS Gothic"/>
          <w:sz w:val="20"/>
          <w:szCs w:val="20"/>
          <w:lang w:eastAsia="ja-JP"/>
        </w:rPr>
        <w:t>. Hence, we would like to present our</w:t>
      </w:r>
    </w:p>
    <w:p w14:paraId="20C645F6" w14:textId="2535F32A" w:rsidR="0012208D" w:rsidRDefault="00097E22" w:rsidP="008D0FC7">
      <w:pPr>
        <w:pStyle w:val="ListParagraph"/>
        <w:numPr>
          <w:ilvl w:val="0"/>
          <w:numId w:val="15"/>
        </w:numPr>
        <w:spacing w:after="120"/>
        <w:ind w:left="0" w:firstLine="0"/>
        <w:rPr>
          <w:rFonts w:ascii="Times New Roman" w:hAnsi="Times New Roman" w:cs="Times New Roman"/>
          <w:b/>
          <w:sz w:val="22"/>
        </w:rPr>
      </w:pPr>
      <w:r>
        <w:rPr>
          <w:rFonts w:ascii="Times New Roman" w:hAnsi="Times New Roman" w:cs="Times New Roman"/>
          <w:b/>
          <w:sz w:val="22"/>
        </w:rPr>
        <w:t>:</w:t>
      </w:r>
      <w:r w:rsidR="0012208D">
        <w:rPr>
          <w:rFonts w:ascii="Times New Roman" w:hAnsi="Times New Roman" w:cs="Times New Roman"/>
          <w:b/>
          <w:sz w:val="22"/>
        </w:rPr>
        <w:t xml:space="preserve"> </w:t>
      </w:r>
      <w:r w:rsidR="00D97899">
        <w:rPr>
          <w:rFonts w:ascii="Times New Roman" w:hAnsi="Times New Roman" w:cs="Times New Roman"/>
          <w:b/>
          <w:sz w:val="22"/>
        </w:rPr>
        <w:t xml:space="preserve">Due to the impact </w:t>
      </w:r>
      <w:r w:rsidR="008D0FC7">
        <w:rPr>
          <w:rFonts w:ascii="Times New Roman" w:hAnsi="Times New Roman" w:cs="Times New Roman"/>
          <w:b/>
          <w:sz w:val="22"/>
        </w:rPr>
        <w:t xml:space="preserve">of power back off on UL Tx beam(s), Rel.15/16 UL beam management mechanism may yield suboptimal Tx beam selection </w:t>
      </w:r>
      <w:r w:rsidR="00AA18F6">
        <w:rPr>
          <w:rFonts w:ascii="Times New Roman" w:hAnsi="Times New Roman" w:cs="Times New Roman"/>
          <w:b/>
          <w:sz w:val="22"/>
        </w:rPr>
        <w:t>from</w:t>
      </w:r>
      <w:r w:rsidR="008D0FC7">
        <w:rPr>
          <w:rFonts w:ascii="Times New Roman" w:hAnsi="Times New Roman" w:cs="Times New Roman"/>
          <w:b/>
          <w:sz w:val="22"/>
        </w:rPr>
        <w:t xml:space="preserve"> UL coverage perspective.</w:t>
      </w:r>
    </w:p>
    <w:p w14:paraId="2912A068" w14:textId="6679C1F0" w:rsidR="00DF2D6F" w:rsidRPr="00DF2D6F" w:rsidRDefault="00DF2D6F" w:rsidP="00DF2D6F">
      <w:pPr>
        <w:pStyle w:val="Heading2"/>
        <w:rPr>
          <w:sz w:val="22"/>
          <w:lang w:eastAsia="ja-JP"/>
        </w:rPr>
      </w:pPr>
      <w:r>
        <w:rPr>
          <w:sz w:val="22"/>
          <w:lang w:eastAsia="ja-JP"/>
        </w:rPr>
        <w:t>MPE-aware beam reporting</w:t>
      </w:r>
    </w:p>
    <w:p w14:paraId="33E7C45C" w14:textId="2D6B4B9D" w:rsidR="0080648E" w:rsidRDefault="0080648E" w:rsidP="00424AA1">
      <w:pPr>
        <w:spacing w:before="80"/>
        <w:rPr>
          <w:sz w:val="20"/>
        </w:rPr>
      </w:pPr>
      <w:r>
        <w:rPr>
          <w:sz w:val="20"/>
        </w:rPr>
        <w:t>In RAN1#97, one agreement was achieved to enhance beam management when taking MPE issue into account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80648E" w:rsidRPr="00797A8E" w14:paraId="20386D1A" w14:textId="77777777" w:rsidTr="00622449">
        <w:trPr>
          <w:trHeight w:val="689"/>
        </w:trPr>
        <w:tc>
          <w:tcPr>
            <w:tcW w:w="9259" w:type="dxa"/>
          </w:tcPr>
          <w:p w14:paraId="29C1034C" w14:textId="77777777" w:rsidR="0080648E" w:rsidRPr="00BB7DDF" w:rsidRDefault="0080648E" w:rsidP="00622449">
            <w:p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b/>
                <w:bCs/>
                <w:sz w:val="20"/>
                <w:szCs w:val="20"/>
                <w:highlight w:val="green"/>
                <w:lang w:eastAsia="zh-CN"/>
              </w:rPr>
              <w:lastRenderedPageBreak/>
              <w:t>Agreement</w:t>
            </w:r>
          </w:p>
          <w:p w14:paraId="6CA846F5" w14:textId="77777777" w:rsidR="0080648E" w:rsidRPr="00BB7DDF" w:rsidRDefault="0080648E" w:rsidP="00622449">
            <w:pPr>
              <w:numPr>
                <w:ilvl w:val="0"/>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Down-select in RAN1#98 from the following options for beam management enhancements:</w:t>
            </w:r>
          </w:p>
          <w:p w14:paraId="0EB728BB" w14:textId="77777777" w:rsidR="0080648E" w:rsidRPr="00BB7DDF" w:rsidRDefault="0080648E" w:rsidP="00622449">
            <w:pPr>
              <w:numPr>
                <w:ilvl w:val="1"/>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Alt1. Support UE to report CRI/SSBRI where the CRI/SSBRI refers to a preferred spatial relation RS for UL transmission</w:t>
            </w:r>
          </w:p>
          <w:p w14:paraId="23A24E00" w14:textId="77777777" w:rsidR="0080648E" w:rsidRPr="00BB7DDF" w:rsidRDefault="0080648E" w:rsidP="00622449">
            <w:pPr>
              <w:numPr>
                <w:ilvl w:val="2"/>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FFS: Whether to support SRI in addition to CRI/SSBRI</w:t>
            </w:r>
          </w:p>
          <w:p w14:paraId="24971517" w14:textId="77777777" w:rsidR="0080648E" w:rsidRPr="00BB7DDF" w:rsidRDefault="0080648E" w:rsidP="00622449">
            <w:pPr>
              <w:numPr>
                <w:ilvl w:val="2"/>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FFS on details of the reporting configuration (e.g. separate or joint reporting with existing DL beam reporting, introduction of new information from UE such as MPR)</w:t>
            </w:r>
          </w:p>
          <w:p w14:paraId="5310EAF2" w14:textId="77777777" w:rsidR="0080648E" w:rsidRPr="00BB7DDF" w:rsidRDefault="0080648E" w:rsidP="00622449">
            <w:pPr>
              <w:numPr>
                <w:ilvl w:val="1"/>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Alt2. Support SRI field in the DCI can be used to indicate multiple SRS resources and UE’s autonomous selection of one SRS resource for PUSCH beam determination out of the multiple</w:t>
            </w:r>
          </w:p>
          <w:p w14:paraId="4B122CB7" w14:textId="77777777" w:rsidR="0080648E" w:rsidRPr="00BB7DDF" w:rsidRDefault="0080648E" w:rsidP="00622449">
            <w:pPr>
              <w:numPr>
                <w:ilvl w:val="1"/>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Alt3: Reuse Rel-15 beam specific PHR reporting to determine beam-specific MPE impact transparently, i.e., by difference value between Pc,max (which is calculated based on P-MPR) and the required transmission power.</w:t>
            </w:r>
          </w:p>
          <w:p w14:paraId="134A4A6A" w14:textId="77777777" w:rsidR="0080648E" w:rsidRPr="00BB7DDF" w:rsidRDefault="0080648E" w:rsidP="00622449">
            <w:pPr>
              <w:numPr>
                <w:ilvl w:val="2"/>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 xml:space="preserve">FFS: Enhancement on UL beam configuration for virtual PHR. </w:t>
            </w:r>
          </w:p>
          <w:p w14:paraId="2415877F" w14:textId="77777777" w:rsidR="0080648E" w:rsidRPr="00BB7DDF" w:rsidRDefault="0080648E" w:rsidP="00622449">
            <w:pPr>
              <w:numPr>
                <w:ilvl w:val="1"/>
                <w:numId w:val="12"/>
              </w:numPr>
              <w:autoSpaceDE/>
              <w:autoSpaceDN/>
              <w:adjustRightInd/>
              <w:snapToGrid/>
              <w:spacing w:after="0"/>
              <w:jc w:val="left"/>
              <w:textAlignment w:val="center"/>
              <w:rPr>
                <w:rFonts w:ascii="DengXian" w:eastAsia="DengXian" w:hAnsi="DengXian"/>
                <w:sz w:val="20"/>
                <w:szCs w:val="20"/>
                <w:lang w:eastAsia="zh-CN"/>
              </w:rPr>
            </w:pPr>
            <w:r w:rsidRPr="00BB7DDF">
              <w:rPr>
                <w:rFonts w:eastAsia="DengXian"/>
                <w:sz w:val="20"/>
                <w:szCs w:val="20"/>
                <w:lang w:eastAsia="zh-CN"/>
              </w:rPr>
              <w:t>Alt4: No enhancements considering MPE issues in Rel-16 RAN1 specifications. It is up to UE implementation in conjunction to RAN4 specification support.</w:t>
            </w:r>
          </w:p>
          <w:p w14:paraId="68FBD572" w14:textId="77777777" w:rsidR="0080648E" w:rsidRPr="00BB7DDF" w:rsidRDefault="0080648E" w:rsidP="00622449">
            <w:pPr>
              <w:numPr>
                <w:ilvl w:val="0"/>
                <w:numId w:val="12"/>
              </w:numPr>
              <w:autoSpaceDE/>
              <w:autoSpaceDN/>
              <w:adjustRightInd/>
              <w:snapToGrid/>
              <w:spacing w:after="80"/>
              <w:ind w:left="714" w:hanging="357"/>
              <w:jc w:val="left"/>
              <w:textAlignment w:val="center"/>
              <w:rPr>
                <w:rFonts w:ascii="DengXian" w:eastAsia="DengXian" w:hAnsi="DengXian"/>
                <w:sz w:val="20"/>
                <w:szCs w:val="20"/>
                <w:lang w:val="en-GB" w:eastAsia="zh-CN"/>
              </w:rPr>
            </w:pPr>
            <w:r w:rsidRPr="00BB7DDF">
              <w:rPr>
                <w:rFonts w:eastAsia="DengXian"/>
                <w:sz w:val="20"/>
                <w:szCs w:val="20"/>
                <w:lang w:val="en-GB" w:eastAsia="zh-CN"/>
              </w:rPr>
              <w:t>If no consensus in RAN1#98, no further discussion in RAN1.</w:t>
            </w:r>
          </w:p>
        </w:tc>
      </w:tr>
    </w:tbl>
    <w:p w14:paraId="22CA5625" w14:textId="2698B060" w:rsidR="00BB7DDF" w:rsidRDefault="00E25FB8" w:rsidP="00424AA1">
      <w:pPr>
        <w:spacing w:before="80"/>
        <w:rPr>
          <w:sz w:val="20"/>
          <w:szCs w:val="24"/>
        </w:rPr>
      </w:pPr>
      <w:r>
        <w:rPr>
          <w:sz w:val="20"/>
        </w:rPr>
        <w:t xml:space="preserve">Due to lack of consensus in RAN1#98, the discussion on MPE was prematurely concluded. In Rel.17, these alternatives (not limited necessarily to the above agreement) can be further discussed. Specifically, for UEs supporting </w:t>
      </w:r>
      <w:r>
        <w:rPr>
          <w:i/>
          <w:sz w:val="20"/>
        </w:rPr>
        <w:t>beamCorrespondenceWithoutUL-BeamSweeping</w:t>
      </w:r>
      <w:r>
        <w:rPr>
          <w:sz w:val="18"/>
        </w:rPr>
        <w:t xml:space="preserve">, </w:t>
      </w:r>
      <w:r>
        <w:rPr>
          <w:sz w:val="20"/>
          <w:szCs w:val="24"/>
        </w:rPr>
        <w:t>the UL beam selection is established on DL beam sweeping and UE rep</w:t>
      </w:r>
      <w:r w:rsidR="00FB305A">
        <w:rPr>
          <w:sz w:val="20"/>
          <w:szCs w:val="24"/>
        </w:rPr>
        <w:t>orting. However, the power back-</w:t>
      </w:r>
      <w:r>
        <w:rPr>
          <w:sz w:val="20"/>
          <w:szCs w:val="24"/>
        </w:rPr>
        <w:t>off impact was not taken into account in the current beam reporting mechanism. Hence, we have following</w:t>
      </w:r>
    </w:p>
    <w:p w14:paraId="716F9FDC" w14:textId="191330AE" w:rsidR="00BD5740" w:rsidRDefault="00097E22" w:rsidP="00FB7FA7">
      <w:pPr>
        <w:pStyle w:val="ListParagraph"/>
        <w:numPr>
          <w:ilvl w:val="0"/>
          <w:numId w:val="32"/>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BD5740" w:rsidRPr="00BD5740">
        <w:rPr>
          <w:rFonts w:ascii="Times New Roman" w:hAnsi="Times New Roman" w:cs="Times New Roman"/>
          <w:b/>
          <w:color w:val="000000" w:themeColor="text1"/>
          <w:sz w:val="22"/>
          <w:szCs w:val="20"/>
        </w:rPr>
        <w:t>For UE supporting beam correspondence without UL beam sweeping, RAN1 should study and, if necessary, specify MPE-aware beam reporting.</w:t>
      </w:r>
      <w:r w:rsidR="000F30DF">
        <w:rPr>
          <w:rFonts w:ascii="Times New Roman" w:hAnsi="Times New Roman" w:cs="Times New Roman"/>
          <w:b/>
          <w:color w:val="000000" w:themeColor="text1"/>
          <w:sz w:val="22"/>
          <w:szCs w:val="20"/>
        </w:rPr>
        <w:t xml:space="preserve"> </w:t>
      </w:r>
    </w:p>
    <w:p w14:paraId="5B0A4321" w14:textId="48E70B91" w:rsidR="00BD5740" w:rsidRDefault="00BD5740" w:rsidP="00BD5740">
      <w:pPr>
        <w:spacing w:before="80"/>
        <w:rPr>
          <w:sz w:val="20"/>
        </w:rPr>
      </w:pPr>
      <w:r>
        <w:rPr>
          <w:sz w:val="20"/>
        </w:rPr>
        <w:t xml:space="preserve">For UEs supporting beam correspondence with UL beam sweeping, the SRS based beam sweeping is necessary. When a UE carries out this UL beam sweeping procedure, the UE may apply the power back off on a per Tx beam basis. More specifically, different SRS resources within the SRS resource set with </w:t>
      </w:r>
      <w:r>
        <w:rPr>
          <w:i/>
          <w:iCs/>
          <w:sz w:val="20"/>
        </w:rPr>
        <w:t>usage</w:t>
      </w:r>
      <w:r>
        <w:rPr>
          <w:sz w:val="20"/>
        </w:rPr>
        <w:t xml:space="preserve"> set to ‘beam management’ may have different P-MPR values. SRS resources with their Tx beams experiencing the MPE issue should apply a large</w:t>
      </w:r>
      <w:r w:rsidR="007D30F4">
        <w:rPr>
          <w:sz w:val="20"/>
        </w:rPr>
        <w:t>r</w:t>
      </w:r>
      <w:r>
        <w:rPr>
          <w:sz w:val="20"/>
        </w:rPr>
        <w:t xml:space="preserve"> power back off</w:t>
      </w:r>
      <w:r w:rsidR="007D30F4">
        <w:rPr>
          <w:sz w:val="20"/>
        </w:rPr>
        <w:t xml:space="preserve"> value</w:t>
      </w:r>
      <w:r>
        <w:rPr>
          <w:sz w:val="20"/>
        </w:rPr>
        <w:t xml:space="preserve">, e.g. 10dB, when compared to other SRS resources not experiencing </w:t>
      </w:r>
      <w:r w:rsidR="00D45D29">
        <w:rPr>
          <w:sz w:val="20"/>
        </w:rPr>
        <w:t>power back off</w:t>
      </w:r>
      <w:r>
        <w:rPr>
          <w:sz w:val="20"/>
        </w:rPr>
        <w:t>. Therefore,</w:t>
      </w:r>
      <w:r w:rsidR="0045378A">
        <w:rPr>
          <w:sz w:val="20"/>
        </w:rPr>
        <w:t xml:space="preserve"> to enable fair SRS resource selection</w:t>
      </w:r>
      <w:r w:rsidR="004856D5">
        <w:rPr>
          <w:sz w:val="20"/>
        </w:rPr>
        <w:t xml:space="preserve"> among SRS resources with different P-MPR values</w:t>
      </w:r>
      <w:r w:rsidR="0045378A">
        <w:rPr>
          <w:sz w:val="20"/>
        </w:rPr>
        <w:t>,</w:t>
      </w:r>
      <w:r>
        <w:rPr>
          <w:sz w:val="20"/>
        </w:rPr>
        <w:t xml:space="preserve"> </w:t>
      </w:r>
      <w:r w:rsidR="004856D5">
        <w:rPr>
          <w:sz w:val="20"/>
        </w:rPr>
        <w:t xml:space="preserve">UEs </w:t>
      </w:r>
      <w:r w:rsidR="0045378A">
        <w:rPr>
          <w:sz w:val="20"/>
        </w:rPr>
        <w:t xml:space="preserve">should </w:t>
      </w:r>
      <w:r w:rsidR="004856D5">
        <w:rPr>
          <w:sz w:val="20"/>
        </w:rPr>
        <w:t xml:space="preserve">provide </w:t>
      </w:r>
      <w:r w:rsidR="00FB305A">
        <w:rPr>
          <w:sz w:val="20"/>
        </w:rPr>
        <w:t>power back</w:t>
      </w:r>
      <w:r w:rsidR="004856D5">
        <w:rPr>
          <w:sz w:val="20"/>
        </w:rPr>
        <w:t xml:space="preserve"> values per SRS resource</w:t>
      </w:r>
      <w:r w:rsidR="00FB305A">
        <w:rPr>
          <w:sz w:val="20"/>
        </w:rPr>
        <w:t xml:space="preserve"> (UL Tx beam) to NW</w:t>
      </w:r>
      <w:r>
        <w:rPr>
          <w:sz w:val="20"/>
        </w:rPr>
        <w:t>. Hence we have</w:t>
      </w:r>
    </w:p>
    <w:p w14:paraId="71DD97A0" w14:textId="62B383B4" w:rsidR="0013417D" w:rsidRPr="00FB7FA7" w:rsidRDefault="00097E22" w:rsidP="00FB7FA7">
      <w:pPr>
        <w:pStyle w:val="ListParagraph"/>
        <w:numPr>
          <w:ilvl w:val="0"/>
          <w:numId w:val="32"/>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w:t>
      </w:r>
      <w:r w:rsidR="00222D69">
        <w:rPr>
          <w:rFonts w:ascii="Times New Roman" w:hAnsi="Times New Roman" w:cs="Times New Roman"/>
          <w:b/>
          <w:color w:val="000000" w:themeColor="text1"/>
          <w:sz w:val="22"/>
          <w:szCs w:val="20"/>
        </w:rPr>
        <w:t xml:space="preserve"> </w:t>
      </w:r>
      <w:r w:rsidR="0013417D">
        <w:rPr>
          <w:rFonts w:ascii="Times New Roman" w:hAnsi="Times New Roman" w:cs="Times New Roman"/>
          <w:b/>
          <w:color w:val="000000" w:themeColor="text1"/>
          <w:sz w:val="22"/>
          <w:szCs w:val="20"/>
        </w:rPr>
        <w:t xml:space="preserve">For UE supporting beam correspondence with the aid of UL beam sweeping, RAN1 </w:t>
      </w:r>
      <w:r w:rsidR="00577580">
        <w:rPr>
          <w:rFonts w:ascii="Times New Roman" w:hAnsi="Times New Roman" w:cs="Times New Roman"/>
          <w:b/>
          <w:color w:val="000000" w:themeColor="text1"/>
          <w:sz w:val="22"/>
          <w:szCs w:val="20"/>
        </w:rPr>
        <w:t xml:space="preserve">should </w:t>
      </w:r>
      <w:r w:rsidR="0013417D">
        <w:rPr>
          <w:rFonts w:ascii="Times New Roman" w:hAnsi="Times New Roman" w:cs="Times New Roman"/>
          <w:b/>
          <w:color w:val="000000" w:themeColor="text1"/>
          <w:sz w:val="22"/>
          <w:szCs w:val="20"/>
        </w:rPr>
        <w:t>specif</w:t>
      </w:r>
      <w:r w:rsidR="00577580">
        <w:rPr>
          <w:rFonts w:ascii="Times New Roman" w:hAnsi="Times New Roman" w:cs="Times New Roman"/>
          <w:b/>
          <w:color w:val="000000" w:themeColor="text1"/>
          <w:sz w:val="22"/>
          <w:szCs w:val="20"/>
        </w:rPr>
        <w:t>y</w:t>
      </w:r>
      <w:r w:rsidR="0013417D">
        <w:rPr>
          <w:rFonts w:ascii="Times New Roman" w:hAnsi="Times New Roman" w:cs="Times New Roman"/>
          <w:b/>
          <w:color w:val="000000" w:themeColor="text1"/>
          <w:sz w:val="22"/>
          <w:szCs w:val="20"/>
        </w:rPr>
        <w:t xml:space="preserve"> UE behavior on MPE-aware UL beam sweeping</w:t>
      </w:r>
      <w:r w:rsidR="0013417D" w:rsidRPr="00556B33">
        <w:rPr>
          <w:rFonts w:ascii="Times New Roman" w:hAnsi="Times New Roman" w:cs="Times New Roman"/>
          <w:b/>
          <w:color w:val="000000" w:themeColor="text1"/>
          <w:sz w:val="22"/>
          <w:szCs w:val="20"/>
        </w:rPr>
        <w:t>.</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D666E0" w:rsidRPr="00797A8E" w14:paraId="701F56A7" w14:textId="77777777" w:rsidTr="00622449">
        <w:trPr>
          <w:trHeight w:val="689"/>
        </w:trPr>
        <w:tc>
          <w:tcPr>
            <w:tcW w:w="9259" w:type="dxa"/>
          </w:tcPr>
          <w:p w14:paraId="2775B97A" w14:textId="77777777" w:rsidR="00D666E0" w:rsidRPr="00921422" w:rsidRDefault="00D666E0" w:rsidP="00622449">
            <w:pPr>
              <w:numPr>
                <w:ilvl w:val="0"/>
                <w:numId w:val="26"/>
              </w:numPr>
              <w:autoSpaceDE/>
              <w:autoSpaceDN/>
              <w:adjustRightInd/>
              <w:snapToGrid/>
              <w:spacing w:after="0"/>
              <w:ind w:left="720"/>
              <w:contextualSpacing/>
              <w:jc w:val="left"/>
              <w:rPr>
                <w:rFonts w:eastAsia="Batang"/>
                <w:b/>
                <w:sz w:val="20"/>
                <w:szCs w:val="20"/>
                <w:lang w:val="en-GB"/>
              </w:rPr>
            </w:pPr>
            <w:r w:rsidRPr="00921422">
              <w:rPr>
                <w:rFonts w:eastAsia="Batang"/>
                <w:b/>
                <w:sz w:val="20"/>
                <w:szCs w:val="20"/>
                <w:lang w:val="en-GB"/>
              </w:rPr>
              <w:t xml:space="preserve">[Issue 5] For Rel.17 NR FeMIMO, on MPE mitigation (that is, minimizing the UL coverage loss due to the UE having to meet the MPE regulation), in RAN1#103-e: </w:t>
            </w:r>
          </w:p>
          <w:p w14:paraId="6A593B35" w14:textId="77777777" w:rsidR="00D666E0" w:rsidRPr="00921422" w:rsidRDefault="00D666E0" w:rsidP="00622449">
            <w:pPr>
              <w:numPr>
                <w:ilvl w:val="1"/>
                <w:numId w:val="26"/>
              </w:numPr>
              <w:autoSpaceDE/>
              <w:autoSpaceDN/>
              <w:adjustRightInd/>
              <w:snapToGrid/>
              <w:spacing w:after="0"/>
              <w:ind w:left="1440"/>
              <w:contextualSpacing/>
              <w:jc w:val="left"/>
              <w:rPr>
                <w:rFonts w:eastAsia="Batang"/>
                <w:sz w:val="20"/>
                <w:szCs w:val="20"/>
                <w:lang w:val="en-GB"/>
              </w:rPr>
            </w:pPr>
            <w:r w:rsidRPr="00921422">
              <w:rPr>
                <w:rFonts w:eastAsia="Batang"/>
                <w:sz w:val="20"/>
                <w:szCs w:val="20"/>
                <w:lang w:val="en-GB"/>
              </w:rPr>
              <w:t xml:space="preserve">If </w:t>
            </w:r>
            <w:r w:rsidRPr="000F30DF">
              <w:rPr>
                <w:rFonts w:eastAsia="Batang"/>
                <w:sz w:val="20"/>
                <w:szCs w:val="20"/>
                <w:lang w:val="en-GB"/>
              </w:rPr>
              <w:t xml:space="preserve">needed, </w:t>
            </w:r>
            <w:r w:rsidRPr="00622449">
              <w:rPr>
                <w:rFonts w:eastAsia="Batang"/>
                <w:sz w:val="20"/>
                <w:szCs w:val="20"/>
                <w:lang w:val="en-GB"/>
              </w:rPr>
              <w:t>identify candidate solutions to be down-selected in future meeting(s).</w:t>
            </w:r>
            <w:r w:rsidRPr="00921422">
              <w:rPr>
                <w:rFonts w:eastAsia="Batang"/>
                <w:sz w:val="20"/>
                <w:szCs w:val="20"/>
                <w:lang w:val="en-GB"/>
              </w:rPr>
              <w:t xml:space="preserve"> The following sub-categories can be used:</w:t>
            </w:r>
          </w:p>
          <w:p w14:paraId="7C4161CD" w14:textId="77777777" w:rsidR="00D666E0" w:rsidRPr="00921422" w:rsidRDefault="00D666E0" w:rsidP="00622449">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CAT0. The need for specification support for MPE event detection and, if needed, candidate solutions</w:t>
            </w:r>
          </w:p>
          <w:p w14:paraId="7351F7D8" w14:textId="77777777" w:rsidR="00D666E0" w:rsidRPr="00921422" w:rsidRDefault="00D666E0" w:rsidP="00622449">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CAT1. The need for UE reporting associated with an MPE and/or a potential/anticipated MPE event if the UE selects a certain UL spatial resource, e.g., corresponding to DL or UL RS</w:t>
            </w:r>
          </w:p>
          <w:p w14:paraId="2A9E1BC5" w14:textId="77777777" w:rsidR="00D666E0" w:rsidRPr="00921422" w:rsidRDefault="00D666E0" w:rsidP="00622449">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CAT2. The need for NW signaling in response to the reported MPE event (taking into account issue 1) and UE behavior after receiving the NW signalling</w:t>
            </w:r>
          </w:p>
          <w:p w14:paraId="0E9C299D" w14:textId="77777777" w:rsidR="00D666E0" w:rsidRPr="00921422" w:rsidRDefault="00D666E0" w:rsidP="00622449">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RAN4 has agreed to specify P-MPR reporting (cf. CRs for TS 38.101/102/133) which can be used as a baseline scheme for further enhancement</w:t>
            </w:r>
          </w:p>
          <w:p w14:paraId="17F525BC" w14:textId="77777777" w:rsidR="00D666E0" w:rsidRPr="00921422" w:rsidRDefault="00D666E0" w:rsidP="00622449">
            <w:pPr>
              <w:numPr>
                <w:ilvl w:val="2"/>
                <w:numId w:val="26"/>
              </w:numPr>
              <w:autoSpaceDE/>
              <w:autoSpaceDN/>
              <w:adjustRightInd/>
              <w:snapToGrid/>
              <w:spacing w:after="0"/>
              <w:ind w:left="2160"/>
              <w:contextualSpacing/>
              <w:jc w:val="left"/>
              <w:rPr>
                <w:rFonts w:eastAsia="Batang"/>
                <w:sz w:val="20"/>
                <w:szCs w:val="20"/>
                <w:lang w:val="en-GB"/>
              </w:rPr>
            </w:pPr>
            <w:r w:rsidRPr="00921422">
              <w:rPr>
                <w:rFonts w:eastAsia="Batang"/>
                <w:sz w:val="20"/>
                <w:szCs w:val="20"/>
                <w:lang w:val="en-GB"/>
              </w:rPr>
              <w:t>Note: This may be related to outcome of issue 4b)</w:t>
            </w:r>
          </w:p>
          <w:p w14:paraId="32B54B87" w14:textId="77777777" w:rsidR="00D666E0" w:rsidRPr="00622449" w:rsidRDefault="00D666E0" w:rsidP="00622449">
            <w:pPr>
              <w:numPr>
                <w:ilvl w:val="1"/>
                <w:numId w:val="26"/>
              </w:numPr>
              <w:autoSpaceDE/>
              <w:autoSpaceDN/>
              <w:adjustRightInd/>
              <w:spacing w:after="80"/>
              <w:ind w:left="1434" w:hanging="357"/>
              <w:jc w:val="left"/>
              <w:rPr>
                <w:rFonts w:eastAsia="Batang"/>
                <w:sz w:val="20"/>
                <w:szCs w:val="20"/>
                <w:lang w:val="en-GB"/>
              </w:rPr>
            </w:pPr>
            <w:r w:rsidRPr="00921422">
              <w:rPr>
                <w:rFonts w:eastAsia="Batang"/>
                <w:sz w:val="20"/>
                <w:szCs w:val="20"/>
                <w:lang w:val="en-GB"/>
              </w:rPr>
              <w:t>Companies are encouraged to submit evaluation results based on the agreed EVM to justify the benefits of the candidate solutions</w:t>
            </w:r>
          </w:p>
        </w:tc>
      </w:tr>
    </w:tbl>
    <w:p w14:paraId="75A60812" w14:textId="357C137C" w:rsidR="00D666E0" w:rsidRPr="00FB7FA7" w:rsidRDefault="00D666E0" w:rsidP="00FB7FA7">
      <w:pPr>
        <w:pStyle w:val="ListParagraph"/>
        <w:spacing w:before="80" w:after="80"/>
        <w:ind w:left="0"/>
        <w:rPr>
          <w:rFonts w:ascii="Times New Roman" w:hAnsi="Times New Roman" w:cs="Times New Roman"/>
          <w:color w:val="000000" w:themeColor="text1"/>
          <w:sz w:val="20"/>
          <w:szCs w:val="20"/>
        </w:rPr>
      </w:pPr>
      <w:r w:rsidRPr="00FB7FA7">
        <w:rPr>
          <w:rFonts w:ascii="Times New Roman" w:hAnsi="Times New Roman" w:cs="Times New Roman"/>
          <w:color w:val="000000" w:themeColor="text1"/>
          <w:sz w:val="20"/>
          <w:szCs w:val="20"/>
        </w:rPr>
        <w:t xml:space="preserve">In RAN1#102e, Issue 5 was identified to handle the MPE issue and it was listed as </w:t>
      </w:r>
      <w:r>
        <w:rPr>
          <w:rFonts w:ascii="Times New Roman" w:hAnsi="Times New Roman" w:cs="Times New Roman"/>
          <w:color w:val="000000" w:themeColor="text1"/>
          <w:sz w:val="20"/>
          <w:szCs w:val="20"/>
        </w:rPr>
        <w:t>above</w:t>
      </w:r>
      <w:r w:rsidRPr="00FB7FA7">
        <w:rPr>
          <w:rFonts w:ascii="Times New Roman" w:hAnsi="Times New Roman" w:cs="Times New Roman"/>
          <w:color w:val="000000" w:themeColor="text1"/>
          <w:sz w:val="20"/>
          <w:szCs w:val="20"/>
        </w:rPr>
        <w:t xml:space="preserve">. Given what we </w:t>
      </w:r>
      <w:r w:rsidR="001E558C">
        <w:rPr>
          <w:rFonts w:ascii="Times New Roman" w:hAnsi="Times New Roman" w:cs="Times New Roman"/>
          <w:color w:val="000000" w:themeColor="text1"/>
          <w:sz w:val="20"/>
          <w:szCs w:val="20"/>
        </w:rPr>
        <w:t>have</w:t>
      </w:r>
      <w:r>
        <w:rPr>
          <w:rFonts w:ascii="Times New Roman" w:hAnsi="Times New Roman" w:cs="Times New Roman"/>
          <w:color w:val="000000" w:themeColor="text1"/>
          <w:sz w:val="20"/>
          <w:szCs w:val="20"/>
        </w:rPr>
        <w:t xml:space="preserve"> </w:t>
      </w:r>
      <w:r w:rsidRPr="00FB7FA7">
        <w:rPr>
          <w:rFonts w:ascii="Times New Roman" w:hAnsi="Times New Roman" w:cs="Times New Roman"/>
          <w:color w:val="000000" w:themeColor="text1"/>
          <w:sz w:val="20"/>
          <w:szCs w:val="20"/>
        </w:rPr>
        <w:t xml:space="preserve">mentioned, we </w:t>
      </w:r>
      <w:r>
        <w:rPr>
          <w:rFonts w:ascii="Times New Roman" w:hAnsi="Times New Roman" w:cs="Times New Roman"/>
          <w:color w:val="000000" w:themeColor="text1"/>
          <w:sz w:val="20"/>
          <w:szCs w:val="20"/>
        </w:rPr>
        <w:t>would like to have</w:t>
      </w:r>
      <w:r w:rsidRPr="00FB7FA7">
        <w:rPr>
          <w:rFonts w:ascii="Times New Roman" w:hAnsi="Times New Roman" w:cs="Times New Roman"/>
          <w:color w:val="000000" w:themeColor="text1"/>
          <w:sz w:val="20"/>
          <w:szCs w:val="20"/>
        </w:rPr>
        <w:t xml:space="preserve">  </w:t>
      </w:r>
    </w:p>
    <w:p w14:paraId="05FC35A8" w14:textId="74EE7A6A" w:rsidR="00D666E0" w:rsidRPr="00622449" w:rsidRDefault="00D666E0" w:rsidP="00FB7FA7">
      <w:pPr>
        <w:pStyle w:val="ListParagraph"/>
        <w:numPr>
          <w:ilvl w:val="0"/>
          <w:numId w:val="32"/>
        </w:numPr>
        <w:spacing w:before="80"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 RAN1 supports</w:t>
      </w:r>
      <w:r w:rsidR="00DE6721">
        <w:rPr>
          <w:rFonts w:ascii="Times New Roman" w:hAnsi="Times New Roman" w:cs="Times New Roman"/>
          <w:b/>
          <w:color w:val="000000" w:themeColor="text1"/>
          <w:sz w:val="22"/>
          <w:szCs w:val="20"/>
        </w:rPr>
        <w:t xml:space="preserve"> (CAT1.) the UE reporting associated with an MPE and/or a potential/anticipated MPE event.</w:t>
      </w:r>
    </w:p>
    <w:p w14:paraId="6AC1C90B" w14:textId="50FF83EC" w:rsidR="00DF2D6F" w:rsidRPr="00DF2D6F" w:rsidRDefault="00DF2D6F" w:rsidP="00DF2D6F">
      <w:pPr>
        <w:pStyle w:val="Heading2"/>
        <w:rPr>
          <w:sz w:val="22"/>
          <w:lang w:eastAsia="ja-JP"/>
        </w:rPr>
      </w:pPr>
      <w:r>
        <w:rPr>
          <w:sz w:val="22"/>
          <w:lang w:eastAsia="ja-JP"/>
        </w:rPr>
        <w:t>Beam</w:t>
      </w:r>
      <w:r w:rsidR="00DE6402">
        <w:rPr>
          <w:sz w:val="22"/>
          <w:lang w:eastAsia="ja-JP"/>
        </w:rPr>
        <w:t>/panel</w:t>
      </w:r>
      <w:r>
        <w:rPr>
          <w:sz w:val="22"/>
          <w:lang w:eastAsia="ja-JP"/>
        </w:rPr>
        <w:t>-specific P-MPR reporting</w:t>
      </w:r>
    </w:p>
    <w:p w14:paraId="030AD41F" w14:textId="64BAEBCE" w:rsidR="00855514" w:rsidRDefault="00855514" w:rsidP="00D93B95">
      <w:pPr>
        <w:pStyle w:val="BodyText"/>
      </w:pPr>
      <w:r>
        <w:rPr>
          <w:rFonts w:eastAsia="MS Gothic"/>
          <w:lang w:eastAsia="ja-JP"/>
        </w:rPr>
        <w:t xml:space="preserve">The UL transmit power is strictly limited by regulators’ limitations </w:t>
      </w:r>
      <w:r w:rsidR="00FB305A">
        <w:rPr>
          <w:rFonts w:eastAsia="MS Gothic"/>
          <w:lang w:eastAsia="ja-JP"/>
        </w:rPr>
        <w:t xml:space="preserve">on MPE. Therefore, a power back </w:t>
      </w:r>
      <w:r>
        <w:rPr>
          <w:rFonts w:eastAsia="MS Gothic"/>
          <w:lang w:eastAsia="ja-JP"/>
        </w:rPr>
        <w:t>off (P-MPR) can be used by UEs to meet the MPE limitation defined in the Rel-15 RAN4 specification. However, since the P-</w:t>
      </w:r>
      <w:r>
        <w:rPr>
          <w:rFonts w:eastAsia="MS Gothic"/>
          <w:lang w:eastAsia="ja-JP"/>
        </w:rPr>
        <w:lastRenderedPageBreak/>
        <w:t xml:space="preserve">MPR value can be </w:t>
      </w:r>
      <w:r>
        <w:t>significant and unpredictable in real life, it</w:t>
      </w:r>
      <w:r>
        <w:rPr>
          <w:rFonts w:eastAsia="MS Gothic"/>
          <w:lang w:eastAsia="ja-JP"/>
        </w:rPr>
        <w:t xml:space="preserve"> will severely reduce the UL coverage and potentially result in radio link failures (RLFs). In Rel-16, </w:t>
      </w:r>
      <w:r>
        <w:t>enhancements of the MPE solution target avoiding RLFs and connection releases caused by FR2 UE RF exposure compliance</w:t>
      </w:r>
      <w:bookmarkStart w:id="7" w:name="_Hlk8895418"/>
      <w:r>
        <w:t>.</w:t>
      </w:r>
      <w:bookmarkEnd w:id="7"/>
      <w:r>
        <w:rPr>
          <w:rFonts w:eastAsia="MS Gothic"/>
          <w:lang w:eastAsia="ja-JP"/>
        </w:rPr>
        <w:t xml:space="preserve"> </w:t>
      </w:r>
      <w:r>
        <w:t xml:space="preserve">In RAN4#93, it was agreed that the P-MPR shall be indicated to the network through MAC-CE </w:t>
      </w:r>
      <w:r>
        <w:fldChar w:fldCharType="begin"/>
      </w:r>
      <w:r>
        <w:instrText xml:space="preserve"> REF _Ref47103287 \r \h </w:instrText>
      </w:r>
      <w:r>
        <w:fldChar w:fldCharType="separate"/>
      </w:r>
      <w:r w:rsidR="006D01BF">
        <w:t>[2]</w:t>
      </w:r>
      <w:r>
        <w:fldChar w:fldCharType="end"/>
      </w:r>
      <w:r>
        <w:t xml:space="preserve">. </w:t>
      </w:r>
    </w:p>
    <w:p w14:paraId="11515839" w14:textId="1BD07BEA" w:rsidR="00855514" w:rsidRDefault="00855514" w:rsidP="00C355F1">
      <w:pPr>
        <w:autoSpaceDE/>
        <w:adjustRightInd/>
        <w:snapToGrid/>
        <w:rPr>
          <w:rFonts w:eastAsia="MS Gothic"/>
          <w:sz w:val="20"/>
          <w:szCs w:val="20"/>
          <w:lang w:eastAsia="ja-JP"/>
        </w:rPr>
      </w:pPr>
      <w:r>
        <w:rPr>
          <w:rFonts w:eastAsia="MS Gothic"/>
          <w:sz w:val="20"/>
          <w:szCs w:val="20"/>
          <w:lang w:eastAsia="ja-JP"/>
        </w:rPr>
        <w:t>For Rel-17 multiple-beam operation with MPE impact, it is re</w:t>
      </w:r>
      <w:r w:rsidR="003538E7">
        <w:rPr>
          <w:rFonts w:eastAsia="MS Gothic"/>
          <w:sz w:val="20"/>
          <w:szCs w:val="20"/>
          <w:lang w:eastAsia="ja-JP"/>
        </w:rPr>
        <w:t>asonable for RAN1 to consider</w:t>
      </w:r>
      <w:r>
        <w:rPr>
          <w:rFonts w:eastAsia="MS Gothic"/>
          <w:sz w:val="20"/>
          <w:szCs w:val="20"/>
          <w:lang w:eastAsia="ja-JP"/>
        </w:rPr>
        <w:t xml:space="preserve"> support</w:t>
      </w:r>
      <w:r w:rsidR="003538E7">
        <w:rPr>
          <w:rFonts w:eastAsia="MS Gothic"/>
          <w:sz w:val="20"/>
          <w:szCs w:val="20"/>
          <w:lang w:eastAsia="ja-JP"/>
        </w:rPr>
        <w:t>ing</w:t>
      </w:r>
      <w:r>
        <w:rPr>
          <w:rFonts w:eastAsia="MS Gothic"/>
          <w:sz w:val="20"/>
          <w:szCs w:val="20"/>
          <w:lang w:eastAsia="ja-JP"/>
        </w:rPr>
        <w:t xml:space="preserve"> the existing RAN4 solutions. As we mentioned earlier, RAN4 has agreed in RAN4#93 to indicate the P-MPR value to the network, so that the network can estimate a reasonable UL duty cycle for the UE to avoid potential radio link failure and UL coverage loss. From RAN1 aspect, it can further associate the P-MPR value with spatial relation, e.g., reporting P-MPR of multiple candidate UL beams, so that the gNB can select the optimal beam pair for the uplink transmission. </w:t>
      </w:r>
    </w:p>
    <w:p w14:paraId="78B240D2" w14:textId="6335726D" w:rsidR="00855514" w:rsidRPr="00D93B95" w:rsidRDefault="00097E22" w:rsidP="00FB7FA7">
      <w:pPr>
        <w:pStyle w:val="ListParagraph"/>
        <w:numPr>
          <w:ilvl w:val="0"/>
          <w:numId w:val="32"/>
        </w:numPr>
        <w:spacing w:after="120"/>
        <w:rPr>
          <w:rFonts w:ascii="Times New Roman" w:hAnsi="Times New Roman" w:cs="Times New Roman"/>
          <w:sz w:val="22"/>
          <w:szCs w:val="20"/>
        </w:rPr>
      </w:pPr>
      <w:bookmarkStart w:id="8" w:name="_Ref31781978"/>
      <w:r>
        <w:rPr>
          <w:rFonts w:ascii="Times New Roman" w:eastAsia="MS Gothic" w:hAnsi="Times New Roman" w:cs="Times New Roman"/>
          <w:b/>
          <w:bCs/>
          <w:sz w:val="22"/>
          <w:szCs w:val="20"/>
          <w:lang w:eastAsia="ja-JP"/>
        </w:rPr>
        <w:t>:</w:t>
      </w:r>
      <w:r w:rsidR="00D93B95" w:rsidRPr="00D93B95">
        <w:rPr>
          <w:rFonts w:ascii="Times New Roman" w:eastAsia="MS Gothic" w:hAnsi="Times New Roman" w:cs="Times New Roman"/>
          <w:b/>
          <w:bCs/>
          <w:sz w:val="22"/>
          <w:szCs w:val="20"/>
          <w:lang w:eastAsia="ja-JP"/>
        </w:rPr>
        <w:t xml:space="preserve"> </w:t>
      </w:r>
      <w:r w:rsidR="00855514" w:rsidRPr="00D93B95">
        <w:rPr>
          <w:rFonts w:ascii="Times New Roman" w:eastAsia="MS Gothic" w:hAnsi="Times New Roman" w:cs="Times New Roman"/>
          <w:b/>
          <w:bCs/>
          <w:sz w:val="22"/>
          <w:szCs w:val="20"/>
          <w:lang w:eastAsia="ja-JP"/>
        </w:rPr>
        <w:t>Associate the P-MPR values with the spatial relation for UL transmission to mitigate the coverage loss due to the MPE.</w:t>
      </w:r>
      <w:bookmarkEnd w:id="8"/>
      <w:r w:rsidR="00855514" w:rsidRPr="00D93B95">
        <w:rPr>
          <w:rFonts w:ascii="Times New Roman" w:eastAsia="MS Gothic" w:hAnsi="Times New Roman" w:cs="Times New Roman"/>
          <w:b/>
          <w:bCs/>
          <w:sz w:val="22"/>
          <w:szCs w:val="20"/>
          <w:lang w:eastAsia="ja-JP"/>
        </w:rPr>
        <w:t xml:space="preserve"> </w:t>
      </w:r>
    </w:p>
    <w:p w14:paraId="696DA861" w14:textId="77777777" w:rsidR="00855514" w:rsidRDefault="00855514" w:rsidP="00C355F1">
      <w:pPr>
        <w:autoSpaceDE/>
        <w:adjustRightInd/>
        <w:snapToGrid/>
        <w:spacing w:before="80"/>
        <w:rPr>
          <w:sz w:val="20"/>
          <w:szCs w:val="20"/>
          <w:lang w:val="en-GB"/>
        </w:rPr>
      </w:pPr>
      <w:r>
        <w:rPr>
          <w:sz w:val="20"/>
          <w:szCs w:val="20"/>
          <w:lang w:val="en-GB"/>
        </w:rPr>
        <w:t xml:space="preserve">Some possible ways to implement the above proposals have been discussed in RAN1 during Rel-16. However, to our understanding, no consensus was reached due to the limited time of the discussions. We believe those methods are still valid and need to be further discussed in Rel-17 to support further agreements reached in RAN4. </w:t>
      </w:r>
    </w:p>
    <w:p w14:paraId="2EE18740" w14:textId="1CD42266" w:rsidR="00855514" w:rsidRDefault="00855514" w:rsidP="00C355F1">
      <w:pPr>
        <w:autoSpaceDE/>
        <w:adjustRightInd/>
        <w:snapToGrid/>
        <w:spacing w:before="80"/>
        <w:rPr>
          <w:sz w:val="20"/>
          <w:szCs w:val="20"/>
          <w:lang w:val="en-GB"/>
        </w:rPr>
      </w:pPr>
      <w:r>
        <w:rPr>
          <w:sz w:val="20"/>
          <w:szCs w:val="20"/>
          <w:lang w:val="en-GB"/>
        </w:rPr>
        <w:t xml:space="preserve">We reiterate one possible solution here which addresses </w:t>
      </w:r>
      <w:r w:rsidRPr="00EF0266">
        <w:rPr>
          <w:sz w:val="20"/>
          <w:szCs w:val="20"/>
          <w:lang w:val="en-GB"/>
        </w:rPr>
        <w:t xml:space="preserve">our </w:t>
      </w:r>
      <w:r w:rsidRPr="00EF0266">
        <w:rPr>
          <w:sz w:val="20"/>
          <w:szCs w:val="20"/>
          <w:lang w:val="en-GB"/>
        </w:rPr>
        <w:fldChar w:fldCharType="begin"/>
      </w:r>
      <w:r w:rsidRPr="00EF0266">
        <w:rPr>
          <w:sz w:val="20"/>
          <w:szCs w:val="20"/>
          <w:lang w:val="en-GB"/>
        </w:rPr>
        <w:instrText xml:space="preserve"> REF _Ref31781978 \r \h  \* MERGEFORMAT </w:instrText>
      </w:r>
      <w:r w:rsidRPr="00EF0266">
        <w:rPr>
          <w:sz w:val="20"/>
          <w:szCs w:val="20"/>
          <w:lang w:val="en-GB"/>
        </w:rPr>
      </w:r>
      <w:r w:rsidRPr="00EF0266">
        <w:rPr>
          <w:sz w:val="20"/>
          <w:szCs w:val="20"/>
          <w:lang w:val="en-GB"/>
        </w:rPr>
        <w:fldChar w:fldCharType="separate"/>
      </w:r>
      <w:r w:rsidR="006D01BF">
        <w:rPr>
          <w:sz w:val="20"/>
          <w:szCs w:val="20"/>
          <w:lang w:val="en-GB"/>
        </w:rPr>
        <w:t>Proposal 15</w:t>
      </w:r>
      <w:r w:rsidRPr="00EF0266">
        <w:rPr>
          <w:sz w:val="20"/>
          <w:szCs w:val="20"/>
          <w:lang w:val="en-GB"/>
        </w:rPr>
        <w:fldChar w:fldCharType="end"/>
      </w:r>
      <w:r>
        <w:rPr>
          <w:sz w:val="20"/>
          <w:szCs w:val="20"/>
          <w:lang w:val="en-GB"/>
        </w:rPr>
        <w:t xml:space="preserve"> the UE can report the preferred UL beam (via reference RS index) in the UL report which includes estimated P-MPR value. The reference RS index could include CSI-RS/SSB as well as SRS for gNB to select the optimal beam pair. </w:t>
      </w:r>
    </w:p>
    <w:p w14:paraId="1D0E7F50" w14:textId="688B3238" w:rsidR="00855514" w:rsidRDefault="00855514" w:rsidP="00C355F1">
      <w:pPr>
        <w:autoSpaceDE/>
        <w:adjustRightInd/>
        <w:snapToGrid/>
        <w:spacing w:before="80"/>
        <w:rPr>
          <w:sz w:val="20"/>
          <w:szCs w:val="20"/>
          <w:lang w:val="en-GB"/>
        </w:rPr>
      </w:pPr>
      <w:r>
        <w:rPr>
          <w:sz w:val="20"/>
          <w:szCs w:val="20"/>
          <w:lang w:val="en-GB"/>
        </w:rPr>
        <w:t>For multi UE-panel operation, a</w:t>
      </w:r>
      <w:r w:rsidR="003538E7">
        <w:rPr>
          <w:sz w:val="20"/>
          <w:szCs w:val="20"/>
          <w:lang w:val="en-GB"/>
        </w:rPr>
        <w:t xml:space="preserve"> more straight</w:t>
      </w:r>
      <w:r>
        <w:rPr>
          <w:sz w:val="20"/>
          <w:szCs w:val="20"/>
          <w:lang w:val="en-GB"/>
        </w:rPr>
        <w:t xml:space="preserve"> forward way is to let the UE report a</w:t>
      </w:r>
      <w:r w:rsidR="003538E7">
        <w:rPr>
          <w:sz w:val="20"/>
          <w:szCs w:val="20"/>
          <w:lang w:val="en-GB"/>
        </w:rPr>
        <w:t xml:space="preserve"> P-MPR value associated to a UE </w:t>
      </w:r>
      <w:r>
        <w:rPr>
          <w:sz w:val="20"/>
          <w:szCs w:val="20"/>
          <w:lang w:val="en-GB"/>
        </w:rPr>
        <w:t>panel ID. Please note here that the MPE level is related to the physical ant</w:t>
      </w:r>
      <w:r w:rsidR="003538E7">
        <w:rPr>
          <w:sz w:val="20"/>
          <w:szCs w:val="20"/>
          <w:lang w:val="en-GB"/>
        </w:rPr>
        <w:t xml:space="preserve">enna panels. Therefore, a panel </w:t>
      </w:r>
      <w:r>
        <w:rPr>
          <w:sz w:val="20"/>
          <w:szCs w:val="20"/>
          <w:lang w:val="en-GB"/>
        </w:rPr>
        <w:t>ID likely needs to be related to a single physical antenna panel. If the P-MPR of each UE-panel is indicated to the network, the gNB can specify which panel to use and further optimize of the UL scheduling, resource allocation, etc.</w:t>
      </w:r>
    </w:p>
    <w:p w14:paraId="5036EA77" w14:textId="1138569C" w:rsidR="00855514" w:rsidRPr="00227875" w:rsidRDefault="00097E22" w:rsidP="00FB7FA7">
      <w:pPr>
        <w:pStyle w:val="ListParagraph"/>
        <w:numPr>
          <w:ilvl w:val="0"/>
          <w:numId w:val="32"/>
        </w:numPr>
        <w:spacing w:after="120"/>
        <w:jc w:val="left"/>
        <w:rPr>
          <w:rFonts w:ascii="Times New Roman" w:hAnsi="Times New Roman" w:cs="Times New Roman"/>
          <w:sz w:val="28"/>
          <w:szCs w:val="24"/>
        </w:rPr>
      </w:pPr>
      <w:r>
        <w:rPr>
          <w:rFonts w:ascii="Times New Roman" w:hAnsi="Times New Roman" w:cs="Times New Roman"/>
          <w:b/>
          <w:bCs/>
          <w:sz w:val="22"/>
          <w:lang w:val="en-GB"/>
        </w:rPr>
        <w:t>:</w:t>
      </w:r>
      <w:r w:rsidR="00227875" w:rsidRPr="00227875">
        <w:rPr>
          <w:rFonts w:ascii="Times New Roman" w:hAnsi="Times New Roman" w:cs="Times New Roman"/>
          <w:b/>
          <w:bCs/>
          <w:sz w:val="22"/>
          <w:lang w:val="en-GB"/>
        </w:rPr>
        <w:t xml:space="preserve"> </w:t>
      </w:r>
      <w:r w:rsidR="00855514" w:rsidRPr="00227875">
        <w:rPr>
          <w:rFonts w:ascii="Times New Roman" w:hAnsi="Times New Roman" w:cs="Times New Roman"/>
          <w:b/>
          <w:bCs/>
          <w:sz w:val="22"/>
          <w:lang w:val="en-GB"/>
        </w:rPr>
        <w:t>Introduc</w:t>
      </w:r>
      <w:r w:rsidR="000D46D8">
        <w:rPr>
          <w:rFonts w:ascii="Times New Roman" w:hAnsi="Times New Roman" w:cs="Times New Roman"/>
          <w:b/>
          <w:bCs/>
          <w:sz w:val="22"/>
          <w:lang w:val="en-GB"/>
        </w:rPr>
        <w:t>e</w:t>
      </w:r>
      <w:r w:rsidR="00855514" w:rsidRPr="00227875">
        <w:rPr>
          <w:rFonts w:ascii="Times New Roman" w:hAnsi="Times New Roman" w:cs="Times New Roman"/>
          <w:b/>
          <w:bCs/>
          <w:sz w:val="22"/>
          <w:lang w:val="en-GB"/>
        </w:rPr>
        <w:t xml:space="preserve"> a panel-speci</w:t>
      </w:r>
      <w:r w:rsidR="002008DE">
        <w:rPr>
          <w:rFonts w:ascii="Times New Roman" w:hAnsi="Times New Roman" w:cs="Times New Roman"/>
          <w:b/>
          <w:bCs/>
          <w:sz w:val="22"/>
          <w:lang w:val="en-GB"/>
        </w:rPr>
        <w:t xml:space="preserve">fic P-MPR </w:t>
      </w:r>
      <w:r w:rsidR="000D46D8">
        <w:rPr>
          <w:rFonts w:ascii="Times New Roman" w:hAnsi="Times New Roman" w:cs="Times New Roman"/>
          <w:b/>
          <w:bCs/>
          <w:sz w:val="22"/>
          <w:lang w:val="en-GB"/>
        </w:rPr>
        <w:t xml:space="preserve">reporting </w:t>
      </w:r>
      <w:r w:rsidR="002008DE">
        <w:rPr>
          <w:rFonts w:ascii="Times New Roman" w:hAnsi="Times New Roman" w:cs="Times New Roman"/>
          <w:b/>
          <w:bCs/>
          <w:sz w:val="22"/>
          <w:lang w:val="en-GB"/>
        </w:rPr>
        <w:t xml:space="preserve">associated to a panel </w:t>
      </w:r>
      <w:r w:rsidR="00855514" w:rsidRPr="00227875">
        <w:rPr>
          <w:rFonts w:ascii="Times New Roman" w:hAnsi="Times New Roman" w:cs="Times New Roman"/>
          <w:b/>
          <w:bCs/>
          <w:sz w:val="22"/>
          <w:lang w:val="en-GB"/>
        </w:rPr>
        <w:t>ID.</w:t>
      </w:r>
      <w:r w:rsidR="00855514" w:rsidRPr="00227875">
        <w:rPr>
          <w:rFonts w:ascii="Times New Roman" w:hAnsi="Times New Roman" w:cs="Times New Roman"/>
          <w:sz w:val="28"/>
          <w:szCs w:val="24"/>
        </w:rPr>
        <w:t xml:space="preserve"> </w:t>
      </w:r>
    </w:p>
    <w:p w14:paraId="247F5231" w14:textId="4237131A" w:rsidR="00DE6402" w:rsidRPr="00DE6402" w:rsidRDefault="00DE6402" w:rsidP="00DE6402">
      <w:pPr>
        <w:pStyle w:val="Heading2"/>
        <w:rPr>
          <w:sz w:val="22"/>
          <w:lang w:eastAsia="ja-JP"/>
        </w:rPr>
      </w:pPr>
      <w:r>
        <w:rPr>
          <w:sz w:val="22"/>
          <w:lang w:eastAsia="ja-JP"/>
        </w:rPr>
        <w:t xml:space="preserve">UL beam/panel </w:t>
      </w:r>
      <w:r w:rsidR="003538E7">
        <w:rPr>
          <w:sz w:val="22"/>
          <w:lang w:eastAsia="ja-JP"/>
        </w:rPr>
        <w:t>switching</w:t>
      </w:r>
      <w:r>
        <w:rPr>
          <w:sz w:val="22"/>
          <w:lang w:eastAsia="ja-JP"/>
        </w:rPr>
        <w:t xml:space="preserve"> to avoid MPE</w:t>
      </w:r>
    </w:p>
    <w:p w14:paraId="6F661368" w14:textId="0ACD38D3" w:rsidR="00DE6402" w:rsidRPr="003538E7" w:rsidRDefault="00DE6402" w:rsidP="00DE6402">
      <w:pPr>
        <w:pStyle w:val="BodyText"/>
      </w:pPr>
      <w:r>
        <w:t xml:space="preserve">Enhancements from RAN4 are limited to transmitted power control and uplink scheduling. However, even for the same antenna panel, the exposure level can be different between different beams, and even larger differences can be observed between different panels. An example from </w:t>
      </w:r>
      <w:r w:rsidR="002F1E28">
        <w:rPr>
          <w:color w:val="0000FF"/>
        </w:rPr>
        <w:fldChar w:fldCharType="begin"/>
      </w:r>
      <w:r w:rsidR="002F1E28">
        <w:instrText xml:space="preserve"> REF _Ref47596349 \r \h </w:instrText>
      </w:r>
      <w:r w:rsidR="002F1E28">
        <w:rPr>
          <w:color w:val="0000FF"/>
        </w:rPr>
      </w:r>
      <w:r w:rsidR="002F1E28">
        <w:rPr>
          <w:color w:val="0000FF"/>
        </w:rPr>
        <w:fldChar w:fldCharType="separate"/>
      </w:r>
      <w:r w:rsidR="006D01BF">
        <w:t>[3]</w:t>
      </w:r>
      <w:r w:rsidR="002F1E28">
        <w:rPr>
          <w:color w:val="0000FF"/>
        </w:rPr>
        <w:fldChar w:fldCharType="end"/>
      </w:r>
      <w:r w:rsidR="002F1E28">
        <w:rPr>
          <w:color w:val="0000FF"/>
        </w:rPr>
        <w:t xml:space="preserve"> </w:t>
      </w:r>
      <w:r>
        <w:t xml:space="preserve">is shown below in </w:t>
      </w:r>
      <w:r>
        <w:rPr>
          <w:highlight w:val="yellow"/>
        </w:rPr>
        <w:fldChar w:fldCharType="begin"/>
      </w:r>
      <w:r>
        <w:instrText xml:space="preserve"> REF _Ref47103483 \r \h </w:instrText>
      </w:r>
      <w:r>
        <w:rPr>
          <w:highlight w:val="yellow"/>
        </w:rPr>
      </w:r>
      <w:r>
        <w:rPr>
          <w:highlight w:val="yellow"/>
        </w:rPr>
        <w:fldChar w:fldCharType="separate"/>
      </w:r>
      <w:r w:rsidR="006D01BF">
        <w:t>Figure 3</w:t>
      </w:r>
      <w:r>
        <w:rPr>
          <w:highlight w:val="yellow"/>
        </w:rPr>
        <w:fldChar w:fldCharType="end"/>
      </w:r>
      <w:r>
        <w:t>. The free space power density of three different array designs averaged over 4 cm</w:t>
      </w:r>
      <w:r>
        <w:rPr>
          <w:vertAlign w:val="superscript"/>
        </w:rPr>
        <w:t xml:space="preserve">2 </w:t>
      </w:r>
      <w:r>
        <w:t xml:space="preserve">is plotted: For the same array, the power density level varies </w:t>
      </w:r>
      <w:r w:rsidR="003538E7">
        <w:t>for</w:t>
      </w:r>
      <w:r>
        <w:t xml:space="preserve"> each spatial filter (beam). For different array designs, the difference is even more pronounced. As a result, one can expect the actual max UL duty cycle, and P-MPR to be different for each beam in a real implementation. Therefore, we believe that beam/panel switching can be an effective solution and enhancement to mitigating the </w:t>
      </w:r>
      <w:r w:rsidR="003538E7">
        <w:t xml:space="preserve">UL </w:t>
      </w:r>
      <w:r>
        <w:t>coverage loss due to MPE</w:t>
      </w:r>
      <w:r w:rsidR="003538E7">
        <w:t>.</w:t>
      </w:r>
    </w:p>
    <w:p w14:paraId="3A03684E" w14:textId="77777777" w:rsidR="00DE6402" w:rsidRDefault="00DE6402" w:rsidP="00DE6402">
      <w:pPr>
        <w:pStyle w:val="BodyText"/>
        <w:jc w:val="center"/>
        <w:rPr>
          <w:noProof/>
        </w:rPr>
      </w:pPr>
      <w:r>
        <w:rPr>
          <w:noProof/>
          <w:lang w:eastAsia="zh-CN"/>
        </w:rPr>
        <w:drawing>
          <wp:inline distT="0" distB="0" distL="0" distR="0" wp14:anchorId="00AA1536" wp14:editId="17FC6354">
            <wp:extent cx="2084705" cy="10750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4705" cy="1075055"/>
                    </a:xfrm>
                    <a:prstGeom prst="rect">
                      <a:avLst/>
                    </a:prstGeom>
                    <a:noFill/>
                    <a:ln>
                      <a:noFill/>
                    </a:ln>
                  </pic:spPr>
                </pic:pic>
              </a:graphicData>
            </a:graphic>
          </wp:inline>
        </w:drawing>
      </w:r>
      <w:r>
        <w:rPr>
          <w:noProof/>
        </w:rPr>
        <w:t xml:space="preserve">      </w:t>
      </w:r>
      <w:r>
        <w:rPr>
          <w:noProof/>
          <w:lang w:eastAsia="zh-CN"/>
        </w:rPr>
        <w:drawing>
          <wp:inline distT="0" distB="0" distL="0" distR="0" wp14:anchorId="487B5586" wp14:editId="3E8CCA03">
            <wp:extent cx="2011045" cy="10750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11045" cy="1075055"/>
                    </a:xfrm>
                    <a:prstGeom prst="rect">
                      <a:avLst/>
                    </a:prstGeom>
                    <a:noFill/>
                    <a:ln>
                      <a:noFill/>
                    </a:ln>
                  </pic:spPr>
                </pic:pic>
              </a:graphicData>
            </a:graphic>
          </wp:inline>
        </w:drawing>
      </w:r>
    </w:p>
    <w:p w14:paraId="2FC544FD" w14:textId="77777777" w:rsidR="00DE6402" w:rsidRDefault="00DE6402" w:rsidP="00DE6402">
      <w:pPr>
        <w:pStyle w:val="BodyText"/>
        <w:jc w:val="center"/>
        <w:rPr>
          <w:b/>
          <w:bCs/>
          <w:noProof/>
          <w:sz w:val="16"/>
          <w:szCs w:val="16"/>
        </w:rPr>
      </w:pPr>
      <w:r>
        <w:rPr>
          <w:b/>
          <w:bCs/>
          <w:noProof/>
          <w:sz w:val="16"/>
          <w:szCs w:val="16"/>
        </w:rPr>
        <w:t>(a)</w:t>
      </w:r>
    </w:p>
    <w:p w14:paraId="3DF470C8" w14:textId="77777777" w:rsidR="00DE6402" w:rsidRDefault="00DE6402" w:rsidP="00DE6402">
      <w:pPr>
        <w:pStyle w:val="BodyText"/>
        <w:jc w:val="center"/>
        <w:rPr>
          <w:noProof/>
        </w:rPr>
      </w:pPr>
      <w:r>
        <w:rPr>
          <w:noProof/>
          <w:lang w:eastAsia="zh-CN"/>
        </w:rPr>
        <w:drawing>
          <wp:inline distT="0" distB="0" distL="0" distR="0" wp14:anchorId="3A2EAC75" wp14:editId="2B9AD667">
            <wp:extent cx="4541520" cy="1391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1520" cy="1391285"/>
                    </a:xfrm>
                    <a:prstGeom prst="rect">
                      <a:avLst/>
                    </a:prstGeom>
                    <a:noFill/>
                    <a:ln>
                      <a:noFill/>
                    </a:ln>
                  </pic:spPr>
                </pic:pic>
              </a:graphicData>
            </a:graphic>
          </wp:inline>
        </w:drawing>
      </w:r>
    </w:p>
    <w:p w14:paraId="65977E72" w14:textId="77777777" w:rsidR="00DE6402" w:rsidRDefault="00DE6402" w:rsidP="00DE6402">
      <w:pPr>
        <w:pStyle w:val="BodyText"/>
        <w:jc w:val="center"/>
        <w:rPr>
          <w:b/>
          <w:bCs/>
          <w:noProof/>
          <w:sz w:val="16"/>
          <w:szCs w:val="16"/>
        </w:rPr>
      </w:pPr>
      <w:r>
        <w:rPr>
          <w:b/>
          <w:bCs/>
          <w:noProof/>
          <w:sz w:val="16"/>
          <w:szCs w:val="16"/>
        </w:rPr>
        <w:t>(b)</w:t>
      </w:r>
    </w:p>
    <w:p w14:paraId="7FDADACA" w14:textId="39C916DE" w:rsidR="00DE6402" w:rsidRPr="00227875" w:rsidRDefault="00DE6402" w:rsidP="003538E7">
      <w:pPr>
        <w:pStyle w:val="ListParagraph"/>
        <w:numPr>
          <w:ilvl w:val="0"/>
          <w:numId w:val="13"/>
        </w:numPr>
        <w:spacing w:after="120"/>
        <w:jc w:val="center"/>
        <w:rPr>
          <w:b/>
          <w:bCs/>
          <w:sz w:val="16"/>
          <w:szCs w:val="18"/>
        </w:rPr>
      </w:pPr>
      <w:bookmarkStart w:id="9" w:name="_Ref47103483"/>
      <w:r w:rsidRPr="00227875">
        <w:rPr>
          <w:rFonts w:ascii="Times New Roman" w:hAnsi="Times New Roman" w:cs="Times New Roman"/>
          <w:b/>
          <w:sz w:val="16"/>
          <w:szCs w:val="18"/>
          <w:lang w:eastAsia="ja-JP"/>
        </w:rPr>
        <w:t xml:space="preserve">: </w:t>
      </w:r>
      <w:r w:rsidR="003538E7" w:rsidRPr="003538E7">
        <w:rPr>
          <w:b/>
          <w:bCs/>
          <w:sz w:val="18"/>
          <w:szCs w:val="18"/>
        </w:rPr>
        <w:t>The view of simulation models of 28 GHz UE mock-ups of t</w:t>
      </w:r>
      <w:r w:rsidR="00D017D3">
        <w:rPr>
          <w:b/>
          <w:bCs/>
          <w:sz w:val="18"/>
          <w:szCs w:val="18"/>
        </w:rPr>
        <w:t>hree different 4×1 arrays, and p</w:t>
      </w:r>
      <w:r w:rsidR="003538E7" w:rsidRPr="003538E7">
        <w:rPr>
          <w:b/>
          <w:bCs/>
          <w:sz w:val="18"/>
          <w:szCs w:val="18"/>
        </w:rPr>
        <w:t xml:space="preserve">hase excitation scheme with a progressive phase shift βi (b) </w:t>
      </w:r>
      <w:r w:rsidR="00D017D3">
        <w:rPr>
          <w:b/>
          <w:bCs/>
          <w:sz w:val="18"/>
          <w:szCs w:val="18"/>
        </w:rPr>
        <w:t>m</w:t>
      </w:r>
      <w:r w:rsidR="003538E7" w:rsidRPr="003538E7">
        <w:rPr>
          <w:b/>
          <w:bCs/>
          <w:sz w:val="18"/>
          <w:szCs w:val="18"/>
        </w:rPr>
        <w:t>aximum 4 cm</w:t>
      </w:r>
      <w:r w:rsidR="00D017D3">
        <w:rPr>
          <w:b/>
          <w:bCs/>
          <w:sz w:val="18"/>
          <w:szCs w:val="18"/>
        </w:rPr>
        <w:t xml:space="preserve"> </w:t>
      </w:r>
      <w:r w:rsidR="003538E7" w:rsidRPr="003538E7">
        <w:rPr>
          <w:b/>
          <w:bCs/>
          <w:sz w:val="18"/>
          <w:szCs w:val="18"/>
        </w:rPr>
        <w:t>2-averaged incident power density when d (distance to the antenna array)  and βi vary for 28 GHz 4×1 array</w:t>
      </w:r>
      <w:r w:rsidRPr="003538E7">
        <w:rPr>
          <w:b/>
          <w:bCs/>
          <w:sz w:val="18"/>
          <w:szCs w:val="18"/>
        </w:rPr>
        <w:t>.</w:t>
      </w:r>
      <w:bookmarkEnd w:id="9"/>
      <w:r w:rsidRPr="003538E7">
        <w:rPr>
          <w:b/>
          <w:bCs/>
          <w:sz w:val="18"/>
          <w:szCs w:val="18"/>
        </w:rPr>
        <w:t xml:space="preserve"> </w:t>
      </w:r>
    </w:p>
    <w:p w14:paraId="0A086F7F" w14:textId="352657CD" w:rsidR="00DE6402" w:rsidRPr="00D93B95" w:rsidRDefault="00A75359" w:rsidP="00401F3B">
      <w:pPr>
        <w:pStyle w:val="ListParagraph"/>
        <w:numPr>
          <w:ilvl w:val="0"/>
          <w:numId w:val="15"/>
        </w:numPr>
        <w:spacing w:after="120"/>
        <w:ind w:left="0" w:firstLine="0"/>
        <w:rPr>
          <w:rFonts w:ascii="Times New Roman" w:hAnsi="Times New Roman" w:cs="Times New Roman"/>
          <w:sz w:val="22"/>
          <w:szCs w:val="20"/>
        </w:rPr>
      </w:pPr>
      <w:r w:rsidRPr="00097E22">
        <w:rPr>
          <w:rFonts w:ascii="Times New Roman" w:hAnsi="Times New Roman" w:cs="Times New Roman"/>
          <w:b/>
          <w:bCs/>
          <w:sz w:val="22"/>
          <w:szCs w:val="20"/>
        </w:rPr>
        <w:lastRenderedPageBreak/>
        <w:t>:</w:t>
      </w:r>
      <w:r w:rsidR="00401F3B">
        <w:rPr>
          <w:rFonts w:ascii="Times New Roman" w:eastAsia="MS Gothic" w:hAnsi="Times New Roman" w:cs="Times New Roman"/>
          <w:b/>
          <w:bCs/>
          <w:sz w:val="22"/>
          <w:szCs w:val="20"/>
          <w:lang w:eastAsia="ja-JP"/>
        </w:rPr>
        <w:t xml:space="preserve"> </w:t>
      </w:r>
      <w:r w:rsidR="00DE6402" w:rsidRPr="00D93B95">
        <w:rPr>
          <w:rFonts w:ascii="Times New Roman" w:eastAsia="MS Gothic" w:hAnsi="Times New Roman" w:cs="Times New Roman"/>
          <w:b/>
          <w:bCs/>
          <w:sz w:val="22"/>
          <w:szCs w:val="20"/>
          <w:lang w:eastAsia="ja-JP"/>
        </w:rPr>
        <w:t>Beam/panel switching can be an effective soluti</w:t>
      </w:r>
      <w:r w:rsidR="00E92F0B">
        <w:rPr>
          <w:rFonts w:ascii="Times New Roman" w:eastAsia="MS Gothic" w:hAnsi="Times New Roman" w:cs="Times New Roman"/>
          <w:b/>
          <w:bCs/>
          <w:sz w:val="22"/>
          <w:szCs w:val="20"/>
          <w:lang w:eastAsia="ja-JP"/>
        </w:rPr>
        <w:t>on and enhancement to mitigate</w:t>
      </w:r>
      <w:r w:rsidR="00DE6402" w:rsidRPr="00D93B95">
        <w:rPr>
          <w:rFonts w:ascii="Times New Roman" w:eastAsia="MS Gothic" w:hAnsi="Times New Roman" w:cs="Times New Roman"/>
          <w:b/>
          <w:bCs/>
          <w:sz w:val="22"/>
          <w:szCs w:val="20"/>
          <w:lang w:eastAsia="ja-JP"/>
        </w:rPr>
        <w:t xml:space="preserve"> the </w:t>
      </w:r>
      <w:r w:rsidR="003538E7">
        <w:rPr>
          <w:rFonts w:ascii="Times New Roman" w:eastAsia="MS Gothic" w:hAnsi="Times New Roman" w:cs="Times New Roman"/>
          <w:b/>
          <w:bCs/>
          <w:sz w:val="22"/>
          <w:szCs w:val="20"/>
          <w:lang w:eastAsia="ja-JP"/>
        </w:rPr>
        <w:t xml:space="preserve">UL </w:t>
      </w:r>
      <w:r w:rsidR="00DE6402" w:rsidRPr="00D93B95">
        <w:rPr>
          <w:rFonts w:ascii="Times New Roman" w:eastAsia="MS Gothic" w:hAnsi="Times New Roman" w:cs="Times New Roman"/>
          <w:b/>
          <w:bCs/>
          <w:sz w:val="22"/>
          <w:szCs w:val="20"/>
          <w:lang w:eastAsia="ja-JP"/>
        </w:rPr>
        <w:t>coverage loss due to MPE.</w:t>
      </w:r>
    </w:p>
    <w:p w14:paraId="2FA1AC09" w14:textId="5896656C" w:rsidR="00BF326B" w:rsidRDefault="00BF326B" w:rsidP="00D93B95">
      <w:pPr>
        <w:pStyle w:val="ListParagraph"/>
        <w:spacing w:after="120"/>
        <w:ind w:left="0"/>
        <w:rPr>
          <w:rFonts w:ascii="Times New Roman" w:hAnsi="Times New Roman" w:cs="Times New Roman"/>
          <w:color w:val="000000" w:themeColor="text1"/>
          <w:sz w:val="20"/>
          <w:szCs w:val="20"/>
        </w:rPr>
      </w:pPr>
      <w:r w:rsidRPr="00BF326B">
        <w:rPr>
          <w:rFonts w:ascii="Times New Roman" w:hAnsi="Times New Roman" w:cs="Times New Roman"/>
          <w:color w:val="000000" w:themeColor="text1"/>
          <w:sz w:val="20"/>
          <w:szCs w:val="20"/>
        </w:rPr>
        <w:t xml:space="preserve">In addition </w:t>
      </w:r>
      <w:r w:rsidR="00037E2D">
        <w:rPr>
          <w:rFonts w:ascii="Times New Roman" w:hAnsi="Times New Roman" w:cs="Times New Roman"/>
          <w:color w:val="000000" w:themeColor="text1"/>
          <w:sz w:val="20"/>
          <w:szCs w:val="20"/>
        </w:rPr>
        <w:t xml:space="preserve">to </w:t>
      </w:r>
      <w:r w:rsidRPr="00BF326B">
        <w:rPr>
          <w:rFonts w:ascii="Times New Roman" w:hAnsi="Times New Roman" w:cs="Times New Roman"/>
          <w:color w:val="000000" w:themeColor="text1"/>
          <w:sz w:val="20"/>
          <w:szCs w:val="20"/>
        </w:rPr>
        <w:t>the effort</w:t>
      </w:r>
      <w:r w:rsidR="00037E2D">
        <w:rPr>
          <w:rFonts w:ascii="Times New Roman" w:hAnsi="Times New Roman" w:cs="Times New Roman"/>
          <w:color w:val="000000" w:themeColor="text1"/>
          <w:sz w:val="20"/>
          <w:szCs w:val="20"/>
        </w:rPr>
        <w:t>s</w:t>
      </w:r>
      <w:r w:rsidRPr="00BF326B">
        <w:rPr>
          <w:rFonts w:ascii="Times New Roman" w:hAnsi="Times New Roman" w:cs="Times New Roman"/>
          <w:color w:val="000000" w:themeColor="text1"/>
          <w:sz w:val="20"/>
          <w:szCs w:val="20"/>
        </w:rPr>
        <w:t xml:space="preserve"> </w:t>
      </w:r>
      <w:r w:rsidR="00037E2D">
        <w:rPr>
          <w:rFonts w:ascii="Times New Roman" w:hAnsi="Times New Roman" w:cs="Times New Roman"/>
          <w:color w:val="000000" w:themeColor="text1"/>
          <w:sz w:val="20"/>
          <w:szCs w:val="20"/>
        </w:rPr>
        <w:t>on enhancing MPE related beam reporting</w:t>
      </w:r>
      <w:r w:rsidR="00401F3B">
        <w:rPr>
          <w:rFonts w:ascii="Times New Roman" w:hAnsi="Times New Roman" w:cs="Times New Roman"/>
          <w:color w:val="000000" w:themeColor="text1"/>
          <w:sz w:val="20"/>
          <w:szCs w:val="20"/>
        </w:rPr>
        <w:t xml:space="preserve"> and P-MPR reporting</w:t>
      </w:r>
      <w:r w:rsidR="00037E2D">
        <w:rPr>
          <w:rFonts w:ascii="Times New Roman" w:hAnsi="Times New Roman" w:cs="Times New Roman"/>
          <w:color w:val="000000" w:themeColor="text1"/>
          <w:sz w:val="20"/>
          <w:szCs w:val="20"/>
        </w:rPr>
        <w:t xml:space="preserve">, another way to avoid MPE is to </w:t>
      </w:r>
      <w:r w:rsidR="00D017D3">
        <w:rPr>
          <w:rFonts w:ascii="Times New Roman" w:hAnsi="Times New Roman" w:cs="Times New Roman"/>
          <w:color w:val="000000" w:themeColor="text1"/>
          <w:sz w:val="20"/>
          <w:szCs w:val="20"/>
        </w:rPr>
        <w:t xml:space="preserve">switch from a </w:t>
      </w:r>
      <w:r w:rsidR="00037E2D">
        <w:rPr>
          <w:rFonts w:ascii="Times New Roman" w:hAnsi="Times New Roman" w:cs="Times New Roman"/>
          <w:color w:val="000000" w:themeColor="text1"/>
          <w:sz w:val="20"/>
          <w:szCs w:val="20"/>
        </w:rPr>
        <w:t xml:space="preserve">beam which exceeds </w:t>
      </w:r>
      <w:r w:rsidR="00D017D3">
        <w:rPr>
          <w:rFonts w:ascii="Times New Roman" w:hAnsi="Times New Roman" w:cs="Times New Roman"/>
          <w:color w:val="000000" w:themeColor="text1"/>
          <w:sz w:val="20"/>
          <w:szCs w:val="20"/>
        </w:rPr>
        <w:t xml:space="preserve">the </w:t>
      </w:r>
      <w:r w:rsidR="00037E2D">
        <w:rPr>
          <w:rFonts w:ascii="Times New Roman" w:hAnsi="Times New Roman" w:cs="Times New Roman"/>
          <w:color w:val="000000" w:themeColor="text1"/>
          <w:sz w:val="20"/>
          <w:szCs w:val="20"/>
        </w:rPr>
        <w:t xml:space="preserve">maximum exposure limit. For instance, when a UE is served by two TRPs, if one UL Tx beam with one TRP </w:t>
      </w:r>
      <w:r w:rsidR="00D017D3">
        <w:rPr>
          <w:rFonts w:ascii="Times New Roman" w:hAnsi="Times New Roman" w:cs="Times New Roman"/>
          <w:color w:val="000000" w:themeColor="text1"/>
          <w:sz w:val="20"/>
          <w:szCs w:val="20"/>
        </w:rPr>
        <w:t>shall</w:t>
      </w:r>
      <w:r w:rsidR="00037E2D">
        <w:rPr>
          <w:rFonts w:ascii="Times New Roman" w:hAnsi="Times New Roman" w:cs="Times New Roman"/>
          <w:color w:val="000000" w:themeColor="text1"/>
          <w:sz w:val="20"/>
          <w:szCs w:val="20"/>
        </w:rPr>
        <w:t xml:space="preserve"> back off Tx power due to MPE, this UE could choose the other TRP for UL transmission. </w:t>
      </w:r>
      <w:r w:rsidR="00DC6146">
        <w:rPr>
          <w:rFonts w:ascii="Times New Roman" w:hAnsi="Times New Roman" w:cs="Times New Roman"/>
          <w:color w:val="000000" w:themeColor="text1"/>
          <w:sz w:val="20"/>
          <w:szCs w:val="20"/>
        </w:rPr>
        <w:t>In such case it would be beneficial to study the UE triggered UL Tx beam change. Hence</w:t>
      </w:r>
      <w:r w:rsidR="00D017D3">
        <w:rPr>
          <w:rFonts w:ascii="Times New Roman" w:hAnsi="Times New Roman" w:cs="Times New Roman"/>
          <w:color w:val="000000" w:themeColor="text1"/>
          <w:sz w:val="20"/>
          <w:szCs w:val="20"/>
        </w:rPr>
        <w:t>,</w:t>
      </w:r>
      <w:r w:rsidR="00DC6146">
        <w:rPr>
          <w:rFonts w:ascii="Times New Roman" w:hAnsi="Times New Roman" w:cs="Times New Roman"/>
          <w:color w:val="000000" w:themeColor="text1"/>
          <w:sz w:val="20"/>
          <w:szCs w:val="20"/>
        </w:rPr>
        <w:t xml:space="preserve"> we have</w:t>
      </w:r>
    </w:p>
    <w:p w14:paraId="30DD971F" w14:textId="2A9EA3B0" w:rsidR="00037E2D" w:rsidRPr="00401F3B" w:rsidRDefault="00A75359" w:rsidP="00FB7FA7">
      <w:pPr>
        <w:pStyle w:val="ListParagraph"/>
        <w:numPr>
          <w:ilvl w:val="0"/>
          <w:numId w:val="32"/>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D017D3"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sidR="00D017D3">
        <w:rPr>
          <w:rFonts w:ascii="Times New Roman" w:hAnsi="Times New Roman" w:cs="Times New Roman"/>
          <w:b/>
          <w:color w:val="000000" w:themeColor="text1"/>
          <w:sz w:val="22"/>
          <w:szCs w:val="20"/>
        </w:rPr>
        <w:t xml:space="preserve"> triggered UL beam/panel switch</w:t>
      </w:r>
      <w:r w:rsidR="00DC6146">
        <w:rPr>
          <w:rFonts w:ascii="Times New Roman" w:hAnsi="Times New Roman" w:cs="Times New Roman"/>
          <w:b/>
          <w:color w:val="000000" w:themeColor="text1"/>
          <w:sz w:val="22"/>
          <w:szCs w:val="20"/>
        </w:rPr>
        <w:t>.</w:t>
      </w:r>
    </w:p>
    <w:p w14:paraId="7F1690A7" w14:textId="00E7FADF" w:rsidR="00401F3B" w:rsidRPr="00401F3B" w:rsidRDefault="00401F3B" w:rsidP="00401F3B">
      <w:pPr>
        <w:spacing w:before="80"/>
        <w:rPr>
          <w:sz w:val="20"/>
          <w:lang w:eastAsia="zh-CN"/>
        </w:rPr>
      </w:pPr>
      <w:r>
        <w:rPr>
          <w:sz w:val="20"/>
          <w:lang w:val="en-GB" w:eastAsia="zh-CN"/>
        </w:rPr>
        <w:t xml:space="preserve">As a further observation, we notice that the MPE issue only affects UL. Therefore, it is possible to only switch the UL beam or panel to overcome the UL coverage limitation caused by the MPE restriction. </w:t>
      </w:r>
      <w:r w:rsidR="006B393E">
        <w:rPr>
          <w:sz w:val="20"/>
          <w:lang w:val="en-GB" w:eastAsia="zh-CN"/>
        </w:rPr>
        <w:t>Depending on w</w:t>
      </w:r>
      <w:r>
        <w:rPr>
          <w:sz w:val="20"/>
          <w:lang w:eastAsia="zh-CN"/>
        </w:rPr>
        <w:t xml:space="preserve">hether beam correspondence holds or not at </w:t>
      </w:r>
      <w:r w:rsidR="006B393E">
        <w:rPr>
          <w:sz w:val="20"/>
          <w:lang w:eastAsia="zh-CN"/>
        </w:rPr>
        <w:t xml:space="preserve">the </w:t>
      </w:r>
      <w:r>
        <w:rPr>
          <w:sz w:val="20"/>
          <w:lang w:eastAsia="zh-CN"/>
        </w:rPr>
        <w:t>UE side, due to UL MPE issue, the UE may be scheduled with a</w:t>
      </w:r>
      <w:r w:rsidR="006B393E">
        <w:rPr>
          <w:sz w:val="20"/>
          <w:lang w:eastAsia="zh-CN"/>
        </w:rPr>
        <w:t>n</w:t>
      </w:r>
      <w:r>
        <w:rPr>
          <w:sz w:val="20"/>
          <w:lang w:eastAsia="zh-CN"/>
        </w:rPr>
        <w:t xml:space="preserve"> UL Tx beam which is not the corresponding DL Rx beam. From Rel.15/16 spec, the difference between UL Tx beam and DL Rx beam mentioned above is surely not restricted, thanks to two parallel beam management mechanisms, i.e. TCI states in DL and </w:t>
      </w:r>
      <w:r>
        <w:rPr>
          <w:i/>
          <w:sz w:val="20"/>
          <w:lang w:eastAsia="zh-CN"/>
        </w:rPr>
        <w:t>SpatialRelationInfo</w:t>
      </w:r>
      <w:r>
        <w:rPr>
          <w:sz w:val="20"/>
          <w:lang w:eastAsia="zh-CN"/>
        </w:rPr>
        <w:t xml:space="preserve"> in UL. So we have following observation</w:t>
      </w:r>
    </w:p>
    <w:p w14:paraId="1FB84125" w14:textId="065FB9C5" w:rsidR="00401F3B" w:rsidRPr="00401F3B" w:rsidRDefault="00097E22" w:rsidP="00401F3B">
      <w:pPr>
        <w:pStyle w:val="ListParagraph"/>
        <w:numPr>
          <w:ilvl w:val="0"/>
          <w:numId w:val="15"/>
        </w:numPr>
        <w:spacing w:after="120"/>
        <w:ind w:left="0" w:firstLine="0"/>
        <w:rPr>
          <w:rFonts w:ascii="Times New Roman" w:eastAsia="MS Gothic" w:hAnsi="Times New Roman" w:cs="Times New Roman"/>
          <w:b/>
          <w:bCs/>
          <w:sz w:val="22"/>
          <w:szCs w:val="20"/>
          <w:lang w:eastAsia="ja-JP"/>
        </w:rPr>
      </w:pPr>
      <w:r>
        <w:rPr>
          <w:rFonts w:ascii="Times New Roman" w:eastAsia="MS Gothic" w:hAnsi="Times New Roman" w:cs="Times New Roman"/>
          <w:b/>
          <w:bCs/>
          <w:sz w:val="22"/>
          <w:szCs w:val="20"/>
          <w:lang w:eastAsia="ja-JP"/>
        </w:rPr>
        <w:t>:</w:t>
      </w:r>
      <w:r w:rsidR="00401F3B">
        <w:rPr>
          <w:rFonts w:ascii="Times New Roman" w:eastAsia="MS Gothic" w:hAnsi="Times New Roman" w:cs="Times New Roman"/>
          <w:b/>
          <w:bCs/>
          <w:sz w:val="22"/>
          <w:szCs w:val="20"/>
          <w:lang w:eastAsia="ja-JP"/>
        </w:rPr>
        <w:t xml:space="preserve"> </w:t>
      </w:r>
      <w:r w:rsidR="006B393E" w:rsidRPr="006B393E">
        <w:rPr>
          <w:rFonts w:ascii="Times New Roman" w:eastAsia="MS Gothic" w:hAnsi="Times New Roman" w:cs="Times New Roman"/>
          <w:b/>
          <w:bCs/>
          <w:sz w:val="22"/>
          <w:szCs w:val="20"/>
          <w:lang w:val="en-GB" w:eastAsia="ja-JP"/>
        </w:rPr>
        <w:t xml:space="preserve">Depending on </w:t>
      </w:r>
      <w:r w:rsidR="006B393E">
        <w:rPr>
          <w:rFonts w:ascii="Times New Roman" w:eastAsia="MS Gothic" w:hAnsi="Times New Roman" w:cs="Times New Roman"/>
          <w:b/>
          <w:bCs/>
          <w:sz w:val="22"/>
          <w:szCs w:val="20"/>
          <w:lang w:val="en-GB" w:eastAsia="ja-JP"/>
        </w:rPr>
        <w:t>w</w:t>
      </w:r>
      <w:r w:rsidR="00401F3B" w:rsidRPr="00401F3B">
        <w:rPr>
          <w:rFonts w:ascii="Times New Roman" w:eastAsia="MS Gothic" w:hAnsi="Times New Roman" w:cs="Times New Roman"/>
          <w:b/>
          <w:bCs/>
          <w:sz w:val="22"/>
          <w:szCs w:val="20"/>
          <w:lang w:eastAsia="ja-JP"/>
        </w:rPr>
        <w:t>hether beam correspondence holds or not at UE side, the UE can be scheduled with an UL Tx beam which is not the corresponding DL Rx beam due to UL MPE issue.</w:t>
      </w:r>
    </w:p>
    <w:p w14:paraId="61282996" w14:textId="5F49DCB1" w:rsidR="00401F3B" w:rsidRPr="00401F3B" w:rsidRDefault="00401F3B" w:rsidP="00401F3B">
      <w:pPr>
        <w:rPr>
          <w:sz w:val="20"/>
          <w:szCs w:val="20"/>
        </w:rPr>
      </w:pPr>
      <w:r>
        <w:rPr>
          <w:sz w:val="20"/>
          <w:szCs w:val="20"/>
        </w:rPr>
        <w:t>With the observation above, it is possible to use different beam pair</w:t>
      </w:r>
      <w:r w:rsidR="006B393E">
        <w:rPr>
          <w:sz w:val="20"/>
          <w:szCs w:val="20"/>
        </w:rPr>
        <w:t>s</w:t>
      </w:r>
      <w:r>
        <w:rPr>
          <w:sz w:val="20"/>
          <w:szCs w:val="20"/>
        </w:rPr>
        <w:t xml:space="preserve"> or even different antenna panels for DL and UL. A UE can switch the UL beam or panel towards a new direction or even another TRP but still keep the DL beam if the current beam pair runs into a low UL coverage caused by the MPE restriction. </w:t>
      </w:r>
    </w:p>
    <w:p w14:paraId="739294F0" w14:textId="17C56233" w:rsidR="00531840" w:rsidRPr="001B6AC0" w:rsidRDefault="001B6AC0" w:rsidP="00531840">
      <w:pPr>
        <w:pStyle w:val="Heading1"/>
        <w:rPr>
          <w:sz w:val="24"/>
          <w:lang w:eastAsia="ja-JP"/>
        </w:rPr>
      </w:pPr>
      <w:r w:rsidRPr="001B6AC0">
        <w:rPr>
          <w:sz w:val="24"/>
          <w:lang w:eastAsia="ja-JP"/>
        </w:rPr>
        <w:t>D</w:t>
      </w:r>
      <w:r w:rsidR="00531840" w:rsidRPr="001B6AC0">
        <w:rPr>
          <w:sz w:val="24"/>
          <w:lang w:eastAsia="ja-JP"/>
        </w:rPr>
        <w:t>efinition</w:t>
      </w:r>
      <w:r w:rsidRPr="001B6AC0">
        <w:rPr>
          <w:sz w:val="24"/>
          <w:lang w:eastAsia="ja-JP"/>
        </w:rPr>
        <w:t xml:space="preserve"> on UE antenna</w:t>
      </w:r>
      <w:r w:rsidR="0042527F">
        <w:rPr>
          <w:sz w:val="24"/>
          <w:lang w:eastAsia="ja-JP"/>
        </w:rPr>
        <w:t>s</w:t>
      </w:r>
    </w:p>
    <w:p w14:paraId="63668FEA" w14:textId="68A9FD32" w:rsidR="00AA23FE" w:rsidRPr="00064768" w:rsidRDefault="00AA23FE" w:rsidP="00AA23FE">
      <w:pPr>
        <w:pStyle w:val="Heading2"/>
        <w:rPr>
          <w:sz w:val="22"/>
          <w:lang w:eastAsia="ja-JP"/>
        </w:rPr>
      </w:pPr>
      <w:r w:rsidRPr="00064768">
        <w:rPr>
          <w:sz w:val="22"/>
          <w:lang w:eastAsia="ja-JP"/>
        </w:rPr>
        <w:t>Antenna panel definition</w:t>
      </w:r>
    </w:p>
    <w:p w14:paraId="390614E6" w14:textId="391B08A8" w:rsidR="00064768" w:rsidRPr="006C202C" w:rsidRDefault="00531840" w:rsidP="00531840">
      <w:pPr>
        <w:spacing w:after="80"/>
        <w:rPr>
          <w:sz w:val="20"/>
          <w:lang w:eastAsia="zh-CN"/>
        </w:rPr>
      </w:pPr>
      <w:r w:rsidRPr="001608E0">
        <w:rPr>
          <w:sz w:val="20"/>
          <w:lang w:eastAsia="zh-CN"/>
        </w:rPr>
        <w:t>During offline discussion</w:t>
      </w:r>
      <w:r w:rsidR="0085670B">
        <w:rPr>
          <w:sz w:val="20"/>
          <w:lang w:eastAsia="zh-CN"/>
        </w:rPr>
        <w:t>s</w:t>
      </w:r>
      <w:r w:rsidRPr="001608E0">
        <w:rPr>
          <w:sz w:val="20"/>
          <w:lang w:eastAsia="zh-CN"/>
        </w:rPr>
        <w:t xml:space="preserve"> of RAN1#96bis, it was pointed out that RAN1 still does not have </w:t>
      </w:r>
      <w:r w:rsidR="0085670B">
        <w:rPr>
          <w:sz w:val="20"/>
          <w:lang w:eastAsia="zh-CN"/>
        </w:rPr>
        <w:t xml:space="preserve">a </w:t>
      </w:r>
      <w:r w:rsidRPr="001608E0">
        <w:rPr>
          <w:sz w:val="20"/>
          <w:lang w:eastAsia="zh-CN"/>
        </w:rPr>
        <w:t>clear definition of UE’s antenna panel(s). Because different UE vendors may implement UE antenna panels in different ways, the co</w:t>
      </w:r>
      <w:r w:rsidR="0085670B">
        <w:rPr>
          <w:sz w:val="20"/>
          <w:lang w:eastAsia="zh-CN"/>
        </w:rPr>
        <w:t xml:space="preserve">nventional panel definition, </w:t>
      </w:r>
      <w:r w:rsidRPr="001608E0">
        <w:rPr>
          <w:sz w:val="20"/>
          <w:lang w:eastAsia="zh-CN"/>
        </w:rPr>
        <w:t xml:space="preserve">a physical antenna array with either single or dual polarization, </w:t>
      </w:r>
      <w:r w:rsidR="00D7593B">
        <w:rPr>
          <w:sz w:val="20"/>
          <w:szCs w:val="20"/>
          <w:lang w:eastAsia="zh-CN"/>
        </w:rPr>
        <w:t xml:space="preserve">doesn’t cover all aspects </w:t>
      </w:r>
      <w:r w:rsidRPr="001608E0">
        <w:rPr>
          <w:sz w:val="20"/>
          <w:lang w:eastAsia="zh-CN"/>
        </w:rPr>
        <w:t xml:space="preserve">for panel-specific beam selection. The following </w:t>
      </w:r>
      <w:r>
        <w:rPr>
          <w:sz w:val="20"/>
          <w:lang w:eastAsia="zh-CN"/>
        </w:rPr>
        <w:t xml:space="preserve">conclusion was </w:t>
      </w:r>
      <w:r w:rsidR="0085670B">
        <w:rPr>
          <w:sz w:val="20"/>
          <w:lang w:eastAsia="zh-CN"/>
        </w:rPr>
        <w:t>reached</w:t>
      </w:r>
      <w:r>
        <w:rPr>
          <w:sz w:val="20"/>
          <w:lang w:eastAsia="zh-CN"/>
        </w:rPr>
        <w:t xml:space="preserve"> for informative purpose and </w:t>
      </w:r>
      <w:r w:rsidRPr="001608E0">
        <w:rPr>
          <w:sz w:val="20"/>
          <w:lang w:eastAsia="zh-CN"/>
        </w:rPr>
        <w:t xml:space="preserve">companies </w:t>
      </w:r>
      <w:r>
        <w:rPr>
          <w:sz w:val="20"/>
          <w:lang w:eastAsia="zh-CN"/>
        </w:rPr>
        <w:t xml:space="preserve">have been given enough </w:t>
      </w:r>
      <w:r w:rsidRPr="001608E0">
        <w:rPr>
          <w:sz w:val="20"/>
          <w:lang w:eastAsia="zh-CN"/>
        </w:rPr>
        <w:t>time to digest the consequences.</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531840" w:rsidRPr="00797A8E" w14:paraId="0DF7B3F6" w14:textId="77777777" w:rsidTr="00D65BE2">
        <w:trPr>
          <w:trHeight w:val="3241"/>
        </w:trPr>
        <w:tc>
          <w:tcPr>
            <w:tcW w:w="9259" w:type="dxa"/>
          </w:tcPr>
          <w:p w14:paraId="784AB8C2" w14:textId="77777777" w:rsidR="003967ED" w:rsidRPr="003967ED" w:rsidRDefault="003967ED" w:rsidP="003967ED">
            <w:pPr>
              <w:spacing w:after="60"/>
              <w:rPr>
                <w:b/>
                <w:bCs/>
                <w:sz w:val="20"/>
                <w:szCs w:val="24"/>
                <w:lang w:eastAsia="x-none"/>
              </w:rPr>
            </w:pPr>
            <w:r w:rsidRPr="003967ED">
              <w:rPr>
                <w:b/>
                <w:bCs/>
                <w:lang w:eastAsia="x-none"/>
              </w:rPr>
              <w:t>Conclusion</w:t>
            </w:r>
          </w:p>
          <w:p w14:paraId="659EEFFF"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From RAN1 point of view, a “UE panel” would be a logical entity and how to map physical UE antennas to the logical entity is up to UE implementation. </w:t>
            </w:r>
          </w:p>
          <w:p w14:paraId="1D69FDDA"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For certain condition(s), gNB can assume the mapping between UE’s physical antennas to the logical entity “UE panel” activated for transmission will not be changed </w:t>
            </w:r>
          </w:p>
          <w:p w14:paraId="063C6379"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 “UE panel” is transparent to gNB</w:t>
            </w:r>
          </w:p>
          <w:p w14:paraId="55C0D32D"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UE capability includes at least the number of “UE panels”.</w:t>
            </w:r>
          </w:p>
          <w:p w14:paraId="6172445B" w14:textId="77777777" w:rsidR="003967ED" w:rsidRDefault="003967ED" w:rsidP="003967ED">
            <w:pPr>
              <w:pStyle w:val="LGTdoc"/>
              <w:numPr>
                <w:ilvl w:val="1"/>
                <w:numId w:val="23"/>
              </w:numPr>
              <w:spacing w:afterLines="0" w:line="240" w:lineRule="auto"/>
              <w:contextualSpacing/>
              <w:rPr>
                <w:bCs/>
                <w:sz w:val="20"/>
                <w:szCs w:val="20"/>
                <w:lang w:val="en-US"/>
              </w:rPr>
            </w:pPr>
            <w:r>
              <w:rPr>
                <w:bCs/>
                <w:sz w:val="20"/>
                <w:szCs w:val="20"/>
                <w:lang w:val="en-US"/>
              </w:rPr>
              <w:t>FFS: Whether/how to define the certain condition(s)</w:t>
            </w:r>
          </w:p>
          <w:p w14:paraId="77B53D2F"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The duration of time over which the gNB assumes there will be no change</w:t>
            </w:r>
          </w:p>
          <w:p w14:paraId="7EF92403" w14:textId="77777777" w:rsidR="003967ED" w:rsidRDefault="003967ED" w:rsidP="003967ED">
            <w:pPr>
              <w:pStyle w:val="LGTdoc"/>
              <w:numPr>
                <w:ilvl w:val="2"/>
                <w:numId w:val="23"/>
              </w:numPr>
              <w:spacing w:afterLines="0" w:line="240" w:lineRule="auto"/>
              <w:contextualSpacing/>
              <w:rPr>
                <w:bCs/>
                <w:sz w:val="20"/>
                <w:szCs w:val="20"/>
                <w:lang w:val="en-US"/>
              </w:rPr>
            </w:pPr>
            <w:r>
              <w:rPr>
                <w:bCs/>
                <w:sz w:val="20"/>
                <w:szCs w:val="20"/>
                <w:lang w:val="en-US"/>
              </w:rPr>
              <w:t>For example: Until next update or report from UE</w:t>
            </w:r>
          </w:p>
          <w:p w14:paraId="36E795AE" w14:textId="77777777" w:rsidR="003967ED" w:rsidRDefault="003967ED" w:rsidP="003967ED">
            <w:pPr>
              <w:pStyle w:val="LGTdoc"/>
              <w:numPr>
                <w:ilvl w:val="0"/>
                <w:numId w:val="23"/>
              </w:numPr>
              <w:spacing w:afterLines="0" w:line="240" w:lineRule="auto"/>
              <w:ind w:left="720" w:hanging="320"/>
              <w:contextualSpacing/>
              <w:rPr>
                <w:bCs/>
                <w:sz w:val="20"/>
                <w:szCs w:val="20"/>
                <w:lang w:val="en-US"/>
              </w:rPr>
            </w:pPr>
            <w:r>
              <w:rPr>
                <w:bCs/>
                <w:sz w:val="20"/>
                <w:szCs w:val="20"/>
                <w:lang w:val="en-US"/>
              </w:rPr>
              <w:t xml:space="preserve">(Informative) Depending on UE’s own implementation, a “UE panel” can have at least the following functionality as an operational role of </w:t>
            </w:r>
          </w:p>
          <w:p w14:paraId="059DB364" w14:textId="160A85E2" w:rsidR="00531840" w:rsidRPr="003967ED" w:rsidRDefault="003967ED" w:rsidP="00064768">
            <w:pPr>
              <w:pStyle w:val="LGTdoc"/>
              <w:numPr>
                <w:ilvl w:val="1"/>
                <w:numId w:val="23"/>
              </w:numPr>
              <w:spacing w:afterLines="0" w:after="120" w:line="240" w:lineRule="auto"/>
              <w:ind w:left="1202" w:hanging="403"/>
              <w:contextualSpacing/>
              <w:rPr>
                <w:bCs/>
                <w:sz w:val="20"/>
                <w:szCs w:val="20"/>
                <w:lang w:val="en-US"/>
              </w:rPr>
            </w:pPr>
            <w:r>
              <w:rPr>
                <w:bCs/>
                <w:sz w:val="20"/>
                <w:szCs w:val="20"/>
                <w:lang w:val="en-US"/>
              </w:rPr>
              <w:t>Unit of antenna group to control its Tx beam independently</w:t>
            </w:r>
          </w:p>
        </w:tc>
      </w:tr>
    </w:tbl>
    <w:p w14:paraId="70741E7E" w14:textId="0A676C8A" w:rsidR="00064768" w:rsidRDefault="00064768" w:rsidP="00064768">
      <w:pPr>
        <w:spacing w:before="80"/>
        <w:rPr>
          <w:sz w:val="20"/>
          <w:szCs w:val="20"/>
          <w:lang w:eastAsia="zh-CN"/>
        </w:rPr>
      </w:pPr>
      <w:r>
        <w:rPr>
          <w:sz w:val="20"/>
          <w:szCs w:val="20"/>
          <w:lang w:eastAsia="ja-JP"/>
        </w:rPr>
        <w:t xml:space="preserve">Furthermore, in the </w:t>
      </w:r>
      <w:r>
        <w:rPr>
          <w:sz w:val="20"/>
          <w:szCs w:val="20"/>
          <w:lang w:eastAsia="zh-CN"/>
        </w:rPr>
        <w:t xml:space="preserve">WID on multi-beam enhancement of Rel.17, features facilitating UL beam selection for UEs equipped with multiple panels, considering UL coverage loss mitigation due to MPE, based on UL beam indication with the unified TCI framework for UL fast panel selection are targeted. To </w:t>
      </w:r>
      <w:r w:rsidR="00B50A4D">
        <w:rPr>
          <w:sz w:val="20"/>
          <w:szCs w:val="20"/>
          <w:lang w:eastAsia="zh-CN"/>
        </w:rPr>
        <w:t>achieve those goals</w:t>
      </w:r>
      <w:r w:rsidR="00317148">
        <w:rPr>
          <w:sz w:val="20"/>
          <w:szCs w:val="20"/>
          <w:lang w:eastAsia="zh-CN"/>
        </w:rPr>
        <w:t xml:space="preserve">, we have following </w:t>
      </w:r>
    </w:p>
    <w:p w14:paraId="57FF1922" w14:textId="7B1E6E1E" w:rsidR="00064768" w:rsidRDefault="00A75359" w:rsidP="00064768">
      <w:pPr>
        <w:pStyle w:val="ListParagraph"/>
        <w:numPr>
          <w:ilvl w:val="0"/>
          <w:numId w:val="15"/>
        </w:numPr>
        <w:spacing w:after="120"/>
        <w:ind w:left="0" w:firstLine="0"/>
        <w:rPr>
          <w:rFonts w:ascii="Times New Roman" w:hAnsi="Times New Roman" w:cs="Times New Roman"/>
          <w:b/>
          <w:sz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064768" w:rsidRPr="006E6D6E">
        <w:rPr>
          <w:rFonts w:ascii="Times New Roman" w:hAnsi="Times New Roman" w:cs="Times New Roman"/>
          <w:b/>
          <w:sz w:val="22"/>
        </w:rPr>
        <w:t xml:space="preserve">To enable an efficient implementation of features for </w:t>
      </w:r>
      <w:r w:rsidR="00DA5784">
        <w:rPr>
          <w:rFonts w:ascii="Times New Roman" w:hAnsi="Times New Roman" w:cs="Times New Roman"/>
          <w:b/>
          <w:sz w:val="22"/>
        </w:rPr>
        <w:t xml:space="preserve">Rel.17 </w:t>
      </w:r>
      <w:r w:rsidR="00B50A4D">
        <w:rPr>
          <w:rFonts w:ascii="Times New Roman" w:hAnsi="Times New Roman" w:cs="Times New Roman"/>
          <w:b/>
          <w:sz w:val="22"/>
        </w:rPr>
        <w:t xml:space="preserve">UL </w:t>
      </w:r>
      <w:r w:rsidR="00064768" w:rsidRPr="006E6D6E">
        <w:rPr>
          <w:rFonts w:ascii="Times New Roman" w:hAnsi="Times New Roman" w:cs="Times New Roman"/>
          <w:b/>
          <w:sz w:val="22"/>
        </w:rPr>
        <w:t>multi</w:t>
      </w:r>
      <w:r w:rsidR="00DA5784">
        <w:rPr>
          <w:rFonts w:ascii="Times New Roman" w:hAnsi="Times New Roman" w:cs="Times New Roman"/>
          <w:b/>
          <w:sz w:val="22"/>
        </w:rPr>
        <w:t>-</w:t>
      </w:r>
      <w:r w:rsidR="00064768" w:rsidRPr="006E6D6E">
        <w:rPr>
          <w:rFonts w:ascii="Times New Roman" w:hAnsi="Times New Roman" w:cs="Times New Roman"/>
          <w:b/>
          <w:sz w:val="22"/>
        </w:rPr>
        <w:t>panel operation, a definition of “UE</w:t>
      </w:r>
      <w:r w:rsidR="00DA5784">
        <w:rPr>
          <w:rFonts w:ascii="Times New Roman" w:hAnsi="Times New Roman" w:cs="Times New Roman"/>
          <w:b/>
          <w:sz w:val="22"/>
        </w:rPr>
        <w:t xml:space="preserve"> </w:t>
      </w:r>
      <w:r w:rsidR="00064768" w:rsidRPr="006E6D6E">
        <w:rPr>
          <w:rFonts w:ascii="Times New Roman" w:hAnsi="Times New Roman" w:cs="Times New Roman"/>
          <w:b/>
          <w:sz w:val="22"/>
        </w:rPr>
        <w:t>panel” is a prerequisite.</w:t>
      </w:r>
    </w:p>
    <w:p w14:paraId="578309B5" w14:textId="60496587" w:rsidR="00317148" w:rsidRDefault="00317148" w:rsidP="00520C26">
      <w:pPr>
        <w:rPr>
          <w:sz w:val="20"/>
          <w:szCs w:val="20"/>
          <w:lang w:eastAsia="ko-KR"/>
        </w:rPr>
      </w:pPr>
      <w:r>
        <w:rPr>
          <w:sz w:val="20"/>
          <w:szCs w:val="20"/>
          <w:lang w:eastAsia="ko-KR"/>
        </w:rPr>
        <w:t xml:space="preserve">The definition of antenna panel may vary from implementation to implementation. However, </w:t>
      </w:r>
      <w:r w:rsidR="00B50A4D">
        <w:rPr>
          <w:sz w:val="20"/>
          <w:szCs w:val="20"/>
          <w:lang w:eastAsia="ko-KR"/>
        </w:rPr>
        <w:t>to enable an effective multi-</w:t>
      </w:r>
      <w:r>
        <w:rPr>
          <w:sz w:val="20"/>
          <w:szCs w:val="20"/>
          <w:lang w:eastAsia="ko-KR"/>
        </w:rPr>
        <w:t>panel operation, we sugg</w:t>
      </w:r>
      <w:r w:rsidR="00B50A4D">
        <w:rPr>
          <w:sz w:val="20"/>
          <w:szCs w:val="20"/>
          <w:lang w:eastAsia="ko-KR"/>
        </w:rPr>
        <w:t xml:space="preserve">est that the definition of a UE </w:t>
      </w:r>
      <w:r>
        <w:rPr>
          <w:sz w:val="20"/>
          <w:szCs w:val="20"/>
          <w:lang w:eastAsia="ko-KR"/>
        </w:rPr>
        <w:t xml:space="preserve">panel shall be formulated in such a way that it can be associated with one or more of the properties listed below. </w:t>
      </w:r>
    </w:p>
    <w:p w14:paraId="5918548C" w14:textId="3ADDA88A" w:rsidR="00317148" w:rsidRDefault="00B50A4D"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w:t>
      </w:r>
      <w:r w:rsidR="00317148">
        <w:rPr>
          <w:b/>
          <w:bCs/>
          <w:sz w:val="20"/>
          <w:szCs w:val="20"/>
          <w:u w:val="single"/>
          <w:lang w:eastAsia="ko-KR"/>
        </w:rPr>
        <w:t>anel properties</w:t>
      </w:r>
    </w:p>
    <w:p w14:paraId="15705900" w14:textId="79235286" w:rsidR="00317148" w:rsidRDefault="00222F15" w:rsidP="00B50A4D">
      <w:pPr>
        <w:pStyle w:val="ListParagraph"/>
        <w:numPr>
          <w:ilvl w:val="0"/>
          <w:numId w:val="21"/>
        </w:numPr>
        <w:tabs>
          <w:tab w:val="left" w:pos="426"/>
          <w:tab w:val="left" w:pos="709"/>
        </w:tabs>
        <w:spacing w:afterLines="50" w:after="120" w:line="240" w:lineRule="atLeast"/>
        <w:ind w:hanging="718"/>
        <w:contextualSpacing/>
        <w:rPr>
          <w:sz w:val="20"/>
          <w:szCs w:val="20"/>
          <w:lang w:eastAsia="ko-KR"/>
        </w:rPr>
      </w:pPr>
      <w:r>
        <w:rPr>
          <w:sz w:val="20"/>
          <w:szCs w:val="20"/>
          <w:lang w:eastAsia="ko-KR"/>
        </w:rPr>
        <w:t xml:space="preserve">A UE </w:t>
      </w:r>
      <w:r w:rsidR="00317148">
        <w:rPr>
          <w:sz w:val="20"/>
          <w:szCs w:val="20"/>
          <w:lang w:eastAsia="ko-KR"/>
        </w:rPr>
        <w:t xml:space="preserve">panel supports </w:t>
      </w:r>
      <w:r w:rsidR="00317148">
        <w:rPr>
          <w:b/>
          <w:bCs/>
          <w:i/>
          <w:iCs/>
          <w:sz w:val="20"/>
          <w:szCs w:val="20"/>
          <w:lang w:eastAsia="ko-KR"/>
        </w:rPr>
        <w:t>Y</w:t>
      </w:r>
      <w:r w:rsidR="00317148">
        <w:rPr>
          <w:sz w:val="20"/>
          <w:szCs w:val="20"/>
          <w:lang w:eastAsia="ko-KR"/>
        </w:rPr>
        <w:t xml:space="preserve"> beams</w:t>
      </w:r>
    </w:p>
    <w:p w14:paraId="12131C2F" w14:textId="3A4B7A0F"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Whether a UE</w:t>
      </w:r>
      <w:r w:rsidR="00222F15">
        <w:rPr>
          <w:sz w:val="20"/>
          <w:szCs w:val="20"/>
          <w:lang w:eastAsia="ko-KR"/>
        </w:rPr>
        <w:t xml:space="preserve"> </w:t>
      </w:r>
      <w:r>
        <w:rPr>
          <w:sz w:val="20"/>
          <w:szCs w:val="20"/>
          <w:lang w:eastAsia="ko-KR"/>
        </w:rPr>
        <w:t>panel supports beam correspondence (BC)</w:t>
      </w:r>
    </w:p>
    <w:p w14:paraId="022CFFFC" w14:textId="330BD722"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A UE</w:t>
      </w:r>
      <w:r w:rsidR="00222F15">
        <w:rPr>
          <w:sz w:val="20"/>
          <w:szCs w:val="20"/>
          <w:lang w:eastAsia="ko-KR"/>
        </w:rPr>
        <w:t xml:space="preserve"> </w:t>
      </w:r>
      <w:r>
        <w:rPr>
          <w:sz w:val="20"/>
          <w:szCs w:val="20"/>
          <w:lang w:eastAsia="ko-KR"/>
        </w:rPr>
        <w:t xml:space="preserve">panel supports </w:t>
      </w:r>
      <w:r>
        <w:rPr>
          <w:b/>
          <w:bCs/>
          <w:i/>
          <w:iCs/>
          <w:sz w:val="20"/>
          <w:szCs w:val="20"/>
          <w:lang w:eastAsia="ko-KR"/>
        </w:rPr>
        <w:t>Y</w:t>
      </w:r>
      <w:r>
        <w:rPr>
          <w:sz w:val="20"/>
          <w:szCs w:val="20"/>
          <w:vertAlign w:val="subscript"/>
          <w:lang w:eastAsia="ko-KR"/>
        </w:rPr>
        <w:t>RX</w:t>
      </w:r>
      <w:r>
        <w:rPr>
          <w:sz w:val="20"/>
          <w:szCs w:val="20"/>
          <w:lang w:eastAsia="ko-KR"/>
        </w:rPr>
        <w:t xml:space="preserve"> independent Rx-beams (from the </w:t>
      </w:r>
      <w:r>
        <w:rPr>
          <w:b/>
          <w:bCs/>
          <w:i/>
          <w:iCs/>
          <w:sz w:val="20"/>
          <w:szCs w:val="20"/>
          <w:lang w:eastAsia="ko-KR"/>
        </w:rPr>
        <w:t>Y</w:t>
      </w:r>
      <w:r>
        <w:rPr>
          <w:sz w:val="20"/>
          <w:szCs w:val="20"/>
          <w:lang w:eastAsia="ko-KR"/>
        </w:rPr>
        <w:t xml:space="preserve"> set of beams)</w:t>
      </w:r>
    </w:p>
    <w:p w14:paraId="13650FE9"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lastRenderedPageBreak/>
        <w:t xml:space="preserve">coherent </w:t>
      </w:r>
    </w:p>
    <w:p w14:paraId="27201B51"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non-coherent </w:t>
      </w:r>
    </w:p>
    <w:p w14:paraId="15C4A95A" w14:textId="42168F75"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A </w:t>
      </w:r>
      <w:r w:rsidR="00222F15">
        <w:rPr>
          <w:sz w:val="20"/>
          <w:szCs w:val="20"/>
          <w:lang w:eastAsia="ko-KR"/>
        </w:rPr>
        <w:t>UE panel</w:t>
      </w:r>
      <w:r>
        <w:rPr>
          <w:sz w:val="20"/>
          <w:szCs w:val="20"/>
          <w:lang w:eastAsia="ko-KR"/>
        </w:rPr>
        <w:t xml:space="preserve"> supports </w:t>
      </w:r>
      <w:r w:rsidRPr="00B50A4D">
        <w:rPr>
          <w:sz w:val="20"/>
          <w:szCs w:val="20"/>
          <w:lang w:eastAsia="ko-KR"/>
        </w:rPr>
        <w:t>Y</w:t>
      </w:r>
      <w:r w:rsidRPr="00222F15">
        <w:rPr>
          <w:sz w:val="20"/>
          <w:szCs w:val="20"/>
          <w:vertAlign w:val="subscript"/>
          <w:lang w:eastAsia="ko-KR"/>
        </w:rPr>
        <w:t>TX</w:t>
      </w:r>
      <w:r w:rsidR="007875B2">
        <w:rPr>
          <w:sz w:val="20"/>
          <w:szCs w:val="20"/>
          <w:lang w:eastAsia="ko-KR"/>
        </w:rPr>
        <w:t xml:space="preserve"> independent Tx </w:t>
      </w:r>
      <w:r>
        <w:rPr>
          <w:sz w:val="20"/>
          <w:szCs w:val="20"/>
          <w:lang w:eastAsia="ko-KR"/>
        </w:rPr>
        <w:t xml:space="preserve">beams (from the </w:t>
      </w:r>
      <w:r w:rsidRPr="00B50A4D">
        <w:rPr>
          <w:sz w:val="20"/>
          <w:szCs w:val="20"/>
          <w:lang w:eastAsia="ko-KR"/>
        </w:rPr>
        <w:t>Y</w:t>
      </w:r>
      <w:r>
        <w:rPr>
          <w:sz w:val="20"/>
          <w:szCs w:val="20"/>
          <w:lang w:eastAsia="ko-KR"/>
        </w:rPr>
        <w:t xml:space="preserve"> set of beams)</w:t>
      </w:r>
    </w:p>
    <w:p w14:paraId="34A19AA4"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coherent </w:t>
      </w:r>
    </w:p>
    <w:p w14:paraId="36B66137"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 xml:space="preserve">non-coherent </w:t>
      </w:r>
    </w:p>
    <w:p w14:paraId="0DBC5A71" w14:textId="4FBB21D5"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Each beam from a </w:t>
      </w:r>
      <w:r w:rsidR="00222F15">
        <w:rPr>
          <w:sz w:val="20"/>
          <w:szCs w:val="20"/>
          <w:lang w:eastAsia="ko-KR"/>
        </w:rPr>
        <w:t>UE panel</w:t>
      </w:r>
      <w:r>
        <w:rPr>
          <w:sz w:val="20"/>
          <w:szCs w:val="20"/>
          <w:lang w:eastAsia="ko-KR"/>
        </w:rPr>
        <w:t xml:space="preserve"> may support one or two polarizations when </w:t>
      </w:r>
      <w:r w:rsidRPr="00B50A4D">
        <w:rPr>
          <w:sz w:val="20"/>
          <w:szCs w:val="20"/>
          <w:lang w:eastAsia="ko-KR"/>
        </w:rPr>
        <w:t>receiving</w:t>
      </w:r>
    </w:p>
    <w:p w14:paraId="0DE66444"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Single layer (coherent)</w:t>
      </w:r>
    </w:p>
    <w:p w14:paraId="5AA1358E"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Dual layer (coherent or non-coherent)</w:t>
      </w:r>
    </w:p>
    <w:p w14:paraId="759072E8" w14:textId="018FDC9F" w:rsidR="00317148" w:rsidRDefault="00317148" w:rsidP="00B50A4D">
      <w:pPr>
        <w:pStyle w:val="ListParagraph"/>
        <w:numPr>
          <w:ilvl w:val="0"/>
          <w:numId w:val="21"/>
        </w:numPr>
        <w:tabs>
          <w:tab w:val="left" w:pos="426"/>
        </w:tabs>
        <w:spacing w:afterLines="50" w:after="120" w:line="240" w:lineRule="atLeast"/>
        <w:ind w:hanging="718"/>
        <w:contextualSpacing/>
        <w:rPr>
          <w:sz w:val="20"/>
          <w:szCs w:val="20"/>
          <w:lang w:eastAsia="ko-KR"/>
        </w:rPr>
      </w:pPr>
      <w:r>
        <w:rPr>
          <w:sz w:val="20"/>
          <w:szCs w:val="20"/>
          <w:lang w:eastAsia="ko-KR"/>
        </w:rPr>
        <w:t xml:space="preserve">Each beam from a </w:t>
      </w:r>
      <w:r w:rsidR="00222F15">
        <w:rPr>
          <w:sz w:val="20"/>
          <w:szCs w:val="20"/>
          <w:lang w:eastAsia="ko-KR"/>
        </w:rPr>
        <w:t>UE panel</w:t>
      </w:r>
      <w:r>
        <w:rPr>
          <w:sz w:val="20"/>
          <w:szCs w:val="20"/>
          <w:lang w:eastAsia="ko-KR"/>
        </w:rPr>
        <w:t xml:space="preserve"> may support one or two polarizations when </w:t>
      </w:r>
      <w:r w:rsidRPr="00B50A4D">
        <w:rPr>
          <w:sz w:val="20"/>
          <w:szCs w:val="20"/>
          <w:lang w:eastAsia="ko-KR"/>
        </w:rPr>
        <w:t>transmitting</w:t>
      </w:r>
    </w:p>
    <w:p w14:paraId="419524D1"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Single layer (coherent)</w:t>
      </w:r>
    </w:p>
    <w:p w14:paraId="11B24D8E" w14:textId="77777777" w:rsidR="00317148" w:rsidRDefault="00317148" w:rsidP="00B50A4D">
      <w:pPr>
        <w:pStyle w:val="ListParagraph"/>
        <w:numPr>
          <w:ilvl w:val="1"/>
          <w:numId w:val="21"/>
        </w:numPr>
        <w:tabs>
          <w:tab w:val="left" w:pos="993"/>
        </w:tabs>
        <w:spacing w:afterLines="50" w:after="120" w:line="240" w:lineRule="atLeast"/>
        <w:ind w:hanging="873"/>
        <w:contextualSpacing/>
        <w:rPr>
          <w:sz w:val="20"/>
          <w:szCs w:val="20"/>
          <w:lang w:eastAsia="ko-KR"/>
        </w:rPr>
      </w:pPr>
      <w:r>
        <w:rPr>
          <w:sz w:val="20"/>
          <w:szCs w:val="20"/>
          <w:lang w:eastAsia="ko-KR"/>
        </w:rPr>
        <w:t>Dual layer (coherent or non-coherent)</w:t>
      </w:r>
    </w:p>
    <w:p w14:paraId="0055FC15" w14:textId="760CC51B" w:rsidR="00317148" w:rsidRDefault="00317148" w:rsidP="00520C26">
      <w:pPr>
        <w:pStyle w:val="ListParagraph"/>
        <w:numPr>
          <w:ilvl w:val="0"/>
          <w:numId w:val="21"/>
        </w:numPr>
        <w:tabs>
          <w:tab w:val="left" w:pos="426"/>
        </w:tabs>
        <w:spacing w:after="120" w:line="240" w:lineRule="atLeast"/>
        <w:ind w:hanging="720"/>
        <w:contextualSpacing/>
        <w:rPr>
          <w:sz w:val="20"/>
          <w:szCs w:val="20"/>
          <w:lang w:eastAsia="ko-KR"/>
        </w:rPr>
      </w:pPr>
      <w:r>
        <w:rPr>
          <w:sz w:val="20"/>
          <w:szCs w:val="20"/>
          <w:lang w:eastAsia="ko-KR"/>
        </w:rPr>
        <w:t xml:space="preserve">A </w:t>
      </w:r>
      <w:r w:rsidR="00222F15">
        <w:rPr>
          <w:sz w:val="20"/>
          <w:szCs w:val="20"/>
          <w:lang w:eastAsia="ko-KR"/>
        </w:rPr>
        <w:t>UE panel</w:t>
      </w:r>
      <w:r>
        <w:rPr>
          <w:sz w:val="20"/>
          <w:szCs w:val="20"/>
          <w:lang w:eastAsia="ko-KR"/>
        </w:rPr>
        <w:t xml:space="preserve"> has an associated P-MPR</w:t>
      </w:r>
    </w:p>
    <w:p w14:paraId="7DB46DA5" w14:textId="0C17A137" w:rsidR="00317148" w:rsidRDefault="00317148" w:rsidP="00317148">
      <w:pPr>
        <w:spacing w:afterLines="50" w:line="240" w:lineRule="atLeast"/>
        <w:contextualSpacing/>
        <w:rPr>
          <w:sz w:val="20"/>
          <w:szCs w:val="20"/>
          <w:lang w:eastAsia="ko-KR"/>
        </w:rPr>
      </w:pPr>
      <w:r>
        <w:rPr>
          <w:sz w:val="20"/>
          <w:szCs w:val="20"/>
          <w:lang w:eastAsia="ko-KR"/>
        </w:rPr>
        <w:t>To enable the mu</w:t>
      </w:r>
      <w:r w:rsidR="007875B2">
        <w:rPr>
          <w:sz w:val="20"/>
          <w:szCs w:val="20"/>
          <w:lang w:eastAsia="ko-KR"/>
        </w:rPr>
        <w:t xml:space="preserve">lti-panel operation and let UE </w:t>
      </w:r>
      <w:r>
        <w:rPr>
          <w:sz w:val="20"/>
          <w:szCs w:val="20"/>
          <w:lang w:eastAsia="ko-KR"/>
        </w:rPr>
        <w:t>select the optimal panel, a panel ID in addition to the spatial relation is necessary. This ID enables the UE to report the panel specific capability as listed above. In addition, some other UE panel propert</w:t>
      </w:r>
      <w:r w:rsidR="007875B2">
        <w:rPr>
          <w:sz w:val="20"/>
          <w:szCs w:val="20"/>
          <w:lang w:eastAsia="ko-KR"/>
        </w:rPr>
        <w:t xml:space="preserve">ies are not listed above, e.g. </w:t>
      </w:r>
      <w:r>
        <w:rPr>
          <w:sz w:val="20"/>
          <w:szCs w:val="20"/>
          <w:lang w:eastAsia="ko-KR"/>
        </w:rPr>
        <w:t xml:space="preserve">supported beam widths, has not been discussed so much in RAN1 so far. However, we identify them as critical for further enhancement on multiple beam operation and coverage extension, which shall not be precluded in the discussion. </w:t>
      </w:r>
      <w:r>
        <w:rPr>
          <w:sz w:val="20"/>
          <w:szCs w:val="20"/>
          <w:lang w:eastAsia="zh-CN"/>
        </w:rPr>
        <w:t>Consequently, for a UE that support</w:t>
      </w:r>
      <w:r w:rsidR="00A87129">
        <w:rPr>
          <w:sz w:val="20"/>
          <w:szCs w:val="20"/>
          <w:lang w:eastAsia="zh-CN"/>
        </w:rPr>
        <w:t>s multi-</w:t>
      </w:r>
      <w:r>
        <w:rPr>
          <w:sz w:val="20"/>
          <w:szCs w:val="20"/>
          <w:lang w:eastAsia="zh-CN"/>
        </w:rPr>
        <w:t>panel operation, the following capabilities or properties may a</w:t>
      </w:r>
      <w:r w:rsidR="00A87129">
        <w:rPr>
          <w:sz w:val="20"/>
          <w:szCs w:val="20"/>
          <w:lang w:eastAsia="zh-CN"/>
        </w:rPr>
        <w:t>lso need to be further defined</w:t>
      </w:r>
      <w:r w:rsidR="001B6AC0">
        <w:rPr>
          <w:sz w:val="20"/>
          <w:szCs w:val="20"/>
          <w:lang w:eastAsia="zh-CN"/>
        </w:rPr>
        <w:t xml:space="preserve"> and have following proposal</w:t>
      </w:r>
    </w:p>
    <w:p w14:paraId="0DDF3FBE" w14:textId="470B0FA9" w:rsidR="00317148" w:rsidRDefault="00222F15" w:rsidP="00B50A4D">
      <w:pPr>
        <w:pStyle w:val="ListParagraph"/>
        <w:spacing w:afterLines="50" w:after="120" w:line="240" w:lineRule="atLeast"/>
        <w:ind w:left="718" w:hanging="718"/>
        <w:contextualSpacing/>
        <w:rPr>
          <w:b/>
          <w:bCs/>
          <w:sz w:val="20"/>
          <w:szCs w:val="20"/>
          <w:u w:val="single"/>
          <w:lang w:eastAsia="ko-KR"/>
        </w:rPr>
      </w:pPr>
      <w:r>
        <w:rPr>
          <w:b/>
          <w:bCs/>
          <w:sz w:val="20"/>
          <w:szCs w:val="20"/>
          <w:u w:val="single"/>
          <w:lang w:eastAsia="ko-KR"/>
        </w:rPr>
        <w:t>UE panel</w:t>
      </w:r>
      <w:r w:rsidR="00A87129">
        <w:rPr>
          <w:b/>
          <w:bCs/>
          <w:sz w:val="20"/>
          <w:szCs w:val="20"/>
          <w:u w:val="single"/>
          <w:lang w:eastAsia="ko-KR"/>
        </w:rPr>
        <w:t xml:space="preserve"> related p</w:t>
      </w:r>
      <w:r w:rsidR="00520C26">
        <w:rPr>
          <w:b/>
          <w:bCs/>
          <w:sz w:val="20"/>
          <w:szCs w:val="20"/>
          <w:u w:val="single"/>
          <w:lang w:eastAsia="ko-KR"/>
        </w:rPr>
        <w:t>roperties</w:t>
      </w:r>
    </w:p>
    <w:p w14:paraId="4D14EB69" w14:textId="459B9A86"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may have up to </w:t>
      </w:r>
      <w:r w:rsidRPr="00A87129">
        <w:rPr>
          <w:bCs/>
          <w:i/>
          <w:iCs/>
          <w:sz w:val="20"/>
          <w:szCs w:val="20"/>
          <w:lang w:eastAsia="ko-KR"/>
        </w:rPr>
        <w:t>X</w:t>
      </w:r>
      <w:r w:rsidRPr="00A87129">
        <w:rPr>
          <w:sz w:val="20"/>
          <w:szCs w:val="20"/>
          <w:vertAlign w:val="subscript"/>
          <w:lang w:eastAsia="ko-KR"/>
        </w:rPr>
        <w:t>1</w:t>
      </w:r>
      <w:r w:rsidRPr="00A87129">
        <w:rPr>
          <w:sz w:val="20"/>
          <w:szCs w:val="20"/>
          <w:lang w:eastAsia="ko-KR"/>
        </w:rPr>
        <w:t xml:space="preserve"> </w:t>
      </w:r>
      <w:r w:rsidR="00222F15" w:rsidRPr="00A87129">
        <w:rPr>
          <w:sz w:val="20"/>
          <w:szCs w:val="20"/>
          <w:lang w:eastAsia="ko-KR"/>
        </w:rPr>
        <w:t>UE panel</w:t>
      </w:r>
      <w:r w:rsidRPr="00A87129">
        <w:rPr>
          <w:sz w:val="20"/>
          <w:szCs w:val="20"/>
          <w:lang w:eastAsia="ko-KR"/>
        </w:rPr>
        <w:t>s</w:t>
      </w:r>
    </w:p>
    <w:p w14:paraId="369809D1" w14:textId="18034E86"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w:t>
      </w:r>
      <w:r w:rsidR="00222F15" w:rsidRPr="00A87129">
        <w:rPr>
          <w:sz w:val="20"/>
          <w:szCs w:val="20"/>
          <w:lang w:eastAsia="ko-KR"/>
        </w:rPr>
        <w:t>UE panel</w:t>
      </w:r>
      <w:r w:rsidRPr="00A87129">
        <w:rPr>
          <w:sz w:val="20"/>
          <w:szCs w:val="20"/>
          <w:lang w:eastAsia="ko-KR"/>
        </w:rPr>
        <w:t xml:space="preserve"> has an associated </w:t>
      </w:r>
      <w:r w:rsidR="00222F15" w:rsidRPr="00A87129">
        <w:rPr>
          <w:sz w:val="20"/>
          <w:szCs w:val="20"/>
          <w:lang w:eastAsia="ko-KR"/>
        </w:rPr>
        <w:t>UE panel</w:t>
      </w:r>
      <w:r w:rsidR="002058F0">
        <w:rPr>
          <w:sz w:val="20"/>
          <w:szCs w:val="20"/>
          <w:lang w:eastAsia="ko-KR"/>
        </w:rPr>
        <w:t xml:space="preserve"> ID</w:t>
      </w:r>
    </w:p>
    <w:p w14:paraId="01BD5545" w14:textId="509D58EB"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supports </w:t>
      </w:r>
      <w:r w:rsidRPr="00A87129">
        <w:rPr>
          <w:bCs/>
          <w:i/>
          <w:iCs/>
          <w:sz w:val="20"/>
          <w:szCs w:val="20"/>
          <w:lang w:eastAsia="ko-KR"/>
        </w:rPr>
        <w:t>N</w:t>
      </w:r>
      <w:r w:rsidRPr="00A87129">
        <w:rPr>
          <w:sz w:val="20"/>
          <w:szCs w:val="20"/>
          <w:vertAlign w:val="subscript"/>
          <w:lang w:eastAsia="ko-KR"/>
        </w:rPr>
        <w:t>Rx</w:t>
      </w:r>
      <w:r w:rsidRPr="00A87129">
        <w:rPr>
          <w:sz w:val="20"/>
          <w:szCs w:val="20"/>
          <w:lang w:eastAsia="ko-KR"/>
        </w:rPr>
        <w:t xml:space="preserve"> simultaneous Rx la</w:t>
      </w:r>
      <w:r w:rsidR="002058F0">
        <w:rPr>
          <w:sz w:val="20"/>
          <w:szCs w:val="20"/>
          <w:lang w:eastAsia="ko-KR"/>
        </w:rPr>
        <w:t>yers (coherent or non-coherent)</w:t>
      </w:r>
      <w:r w:rsidRPr="00A87129">
        <w:rPr>
          <w:sz w:val="20"/>
          <w:szCs w:val="20"/>
          <w:lang w:eastAsia="ko-KR"/>
        </w:rPr>
        <w:t>*</w:t>
      </w:r>
    </w:p>
    <w:p w14:paraId="577CF056" w14:textId="3F691294"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A UE supports </w:t>
      </w:r>
      <w:r w:rsidRPr="00A87129">
        <w:rPr>
          <w:bCs/>
          <w:i/>
          <w:iCs/>
          <w:sz w:val="20"/>
          <w:szCs w:val="20"/>
          <w:lang w:eastAsia="ko-KR"/>
        </w:rPr>
        <w:t>N</w:t>
      </w:r>
      <w:r w:rsidRPr="00A87129">
        <w:rPr>
          <w:sz w:val="20"/>
          <w:szCs w:val="20"/>
          <w:vertAlign w:val="subscript"/>
          <w:lang w:eastAsia="ko-KR"/>
        </w:rPr>
        <w:t>Tx</w:t>
      </w:r>
      <w:r w:rsidRPr="00A87129">
        <w:rPr>
          <w:sz w:val="20"/>
          <w:szCs w:val="20"/>
          <w:lang w:eastAsia="ko-KR"/>
        </w:rPr>
        <w:t xml:space="preserve"> simultaneous Tx layers (coherent or non-coherent)*</w:t>
      </w:r>
    </w:p>
    <w:p w14:paraId="6F1CFCE4" w14:textId="77777777"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A panel has an activation-delay when in standby</w:t>
      </w:r>
    </w:p>
    <w:p w14:paraId="461EAC04" w14:textId="4ADC893B" w:rsidR="00317148" w:rsidRPr="00A87129" w:rsidRDefault="00317148" w:rsidP="00D7593B">
      <w:pPr>
        <w:pStyle w:val="ListParagraph"/>
        <w:numPr>
          <w:ilvl w:val="0"/>
          <w:numId w:val="22"/>
        </w:numPr>
        <w:spacing w:afterLines="50" w:after="120" w:line="240" w:lineRule="atLeast"/>
        <w:ind w:left="426" w:hanging="426"/>
        <w:contextualSpacing/>
        <w:rPr>
          <w:sz w:val="20"/>
          <w:szCs w:val="20"/>
          <w:lang w:eastAsia="ko-KR"/>
        </w:rPr>
      </w:pPr>
      <w:r w:rsidRPr="00A87129">
        <w:rPr>
          <w:sz w:val="20"/>
          <w:szCs w:val="20"/>
          <w:lang w:eastAsia="ko-KR"/>
        </w:rPr>
        <w:t xml:space="preserve">Unit of </w:t>
      </w:r>
      <w:r w:rsidR="00222F15" w:rsidRPr="00A87129">
        <w:rPr>
          <w:sz w:val="20"/>
          <w:szCs w:val="20"/>
          <w:lang w:eastAsia="ko-KR"/>
        </w:rPr>
        <w:t>UE panel</w:t>
      </w:r>
      <w:r w:rsidRPr="00A87129">
        <w:rPr>
          <w:sz w:val="20"/>
          <w:szCs w:val="20"/>
          <w:lang w:eastAsia="ko-KR"/>
        </w:rPr>
        <w:t xml:space="preserve"> group to control UL timing</w:t>
      </w:r>
    </w:p>
    <w:p w14:paraId="21B9F297" w14:textId="7820FD65" w:rsidR="00317148" w:rsidRPr="00A87129" w:rsidRDefault="00317148" w:rsidP="00D7593B">
      <w:pPr>
        <w:pStyle w:val="ListParagraph"/>
        <w:numPr>
          <w:ilvl w:val="0"/>
          <w:numId w:val="22"/>
        </w:numPr>
        <w:spacing w:after="50" w:line="240" w:lineRule="atLeast"/>
        <w:ind w:left="425" w:hanging="425"/>
        <w:contextualSpacing/>
        <w:rPr>
          <w:sz w:val="20"/>
          <w:szCs w:val="20"/>
          <w:lang w:eastAsia="ko-KR"/>
        </w:rPr>
      </w:pPr>
      <w:r w:rsidRPr="00A87129">
        <w:rPr>
          <w:sz w:val="20"/>
          <w:szCs w:val="20"/>
          <w:lang w:eastAsia="ko-KR"/>
        </w:rPr>
        <w:t xml:space="preserve">Unit of </w:t>
      </w:r>
      <w:r w:rsidR="00222F15" w:rsidRPr="00A87129">
        <w:rPr>
          <w:sz w:val="20"/>
          <w:szCs w:val="20"/>
          <w:lang w:eastAsia="ko-KR"/>
        </w:rPr>
        <w:t>UE panel</w:t>
      </w:r>
      <w:r w:rsidRPr="00A87129">
        <w:rPr>
          <w:sz w:val="20"/>
          <w:szCs w:val="20"/>
          <w:lang w:eastAsia="ko-KR"/>
        </w:rPr>
        <w:t xml:space="preserve"> group to control transmit power</w:t>
      </w:r>
    </w:p>
    <w:p w14:paraId="759C5C3A" w14:textId="3612B6FC" w:rsidR="00317148" w:rsidRPr="00A87129" w:rsidRDefault="002058F0" w:rsidP="00D7593B">
      <w:pPr>
        <w:spacing w:afterLines="50" w:line="240" w:lineRule="atLeast"/>
        <w:contextualSpacing/>
        <w:rPr>
          <w:rFonts w:asciiTheme="minorHAnsi" w:hAnsiTheme="minorHAnsi" w:cstheme="minorHAnsi"/>
          <w:sz w:val="20"/>
          <w:szCs w:val="20"/>
          <w:lang w:eastAsia="ko-KR"/>
        </w:rPr>
      </w:pPr>
      <w:r>
        <w:rPr>
          <w:rFonts w:asciiTheme="minorHAnsi" w:hAnsiTheme="minorHAnsi" w:cstheme="minorHAnsi"/>
          <w:sz w:val="20"/>
          <w:szCs w:val="20"/>
          <w:lang w:eastAsia="ko-KR"/>
        </w:rPr>
        <w:t>*</w:t>
      </w:r>
      <w:r w:rsidR="00317148" w:rsidRPr="00A87129">
        <w:rPr>
          <w:rFonts w:asciiTheme="minorHAnsi" w:hAnsiTheme="minorHAnsi" w:cstheme="minorHAnsi"/>
          <w:sz w:val="20"/>
          <w:szCs w:val="20"/>
          <w:lang w:eastAsia="ko-KR"/>
        </w:rPr>
        <w:t>Partly defined in TS</w:t>
      </w:r>
      <w:r w:rsidR="00A87129" w:rsidRPr="00A87129">
        <w:rPr>
          <w:rFonts w:asciiTheme="minorHAnsi" w:hAnsiTheme="minorHAnsi" w:cstheme="minorHAnsi"/>
          <w:sz w:val="20"/>
          <w:szCs w:val="20"/>
          <w:lang w:eastAsia="ko-KR"/>
        </w:rPr>
        <w:t xml:space="preserve"> </w:t>
      </w:r>
      <w:r w:rsidR="00317148" w:rsidRPr="00A87129">
        <w:rPr>
          <w:rFonts w:asciiTheme="minorHAnsi" w:hAnsiTheme="minorHAnsi" w:cstheme="minorHAnsi"/>
          <w:sz w:val="20"/>
          <w:szCs w:val="20"/>
          <w:lang w:eastAsia="ko-KR"/>
        </w:rPr>
        <w:t xml:space="preserve">38.214, </w:t>
      </w:r>
      <w:r w:rsidR="00A87129" w:rsidRPr="00A87129">
        <w:rPr>
          <w:rFonts w:asciiTheme="minorHAnsi" w:hAnsiTheme="minorHAnsi" w:cstheme="minorHAnsi"/>
          <w:sz w:val="20"/>
          <w:szCs w:val="20"/>
          <w:lang w:eastAsia="ko-KR"/>
        </w:rPr>
        <w:t xml:space="preserve">section </w:t>
      </w:r>
      <w:r w:rsidR="00317148" w:rsidRPr="00A87129">
        <w:rPr>
          <w:rFonts w:asciiTheme="minorHAnsi" w:hAnsiTheme="minorHAnsi" w:cstheme="minorHAnsi"/>
          <w:sz w:val="20"/>
          <w:szCs w:val="20"/>
          <w:lang w:eastAsia="ko-KR"/>
        </w:rPr>
        <w:t>6.2.6.2.</w:t>
      </w:r>
    </w:p>
    <w:p w14:paraId="0A8B00F4" w14:textId="598F47D3" w:rsidR="00317148" w:rsidRPr="00245463" w:rsidRDefault="00097E22" w:rsidP="00FB7FA7">
      <w:pPr>
        <w:pStyle w:val="ListParagraph"/>
        <w:numPr>
          <w:ilvl w:val="0"/>
          <w:numId w:val="32"/>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00317148" w:rsidRPr="00245463">
        <w:rPr>
          <w:rFonts w:ascii="Times New Roman" w:hAnsi="Times New Roman" w:cs="Times New Roman"/>
          <w:b/>
          <w:bCs/>
          <w:sz w:val="22"/>
          <w:szCs w:val="20"/>
        </w:rPr>
        <w:t xml:space="preserve">We suggest that definition of a </w:t>
      </w:r>
      <w:r w:rsidR="00222F15">
        <w:rPr>
          <w:rFonts w:ascii="Times New Roman" w:hAnsi="Times New Roman" w:cs="Times New Roman"/>
          <w:b/>
          <w:bCs/>
          <w:sz w:val="22"/>
          <w:szCs w:val="20"/>
        </w:rPr>
        <w:t>UE panel</w:t>
      </w:r>
      <w:r w:rsidR="00317148"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34901D20" w14:textId="7219DD1A" w:rsidR="00064768" w:rsidRPr="00064768" w:rsidRDefault="00064768" w:rsidP="00064768">
      <w:pPr>
        <w:pStyle w:val="Heading2"/>
        <w:rPr>
          <w:sz w:val="22"/>
          <w:lang w:eastAsia="ja-JP"/>
        </w:rPr>
      </w:pPr>
      <w:r>
        <w:rPr>
          <w:sz w:val="22"/>
          <w:lang w:eastAsia="ja-JP"/>
        </w:rPr>
        <w:t>Analog</w:t>
      </w:r>
      <w:r w:rsidRPr="00064768">
        <w:rPr>
          <w:sz w:val="22"/>
          <w:lang w:eastAsia="ja-JP"/>
        </w:rPr>
        <w:t xml:space="preserve"> </w:t>
      </w:r>
      <w:r>
        <w:rPr>
          <w:sz w:val="22"/>
          <w:lang w:eastAsia="ja-JP"/>
        </w:rPr>
        <w:t xml:space="preserve">beam </w:t>
      </w:r>
      <w:r w:rsidRPr="00064768">
        <w:rPr>
          <w:sz w:val="22"/>
          <w:lang w:eastAsia="ja-JP"/>
        </w:rPr>
        <w:t>definition</w:t>
      </w:r>
    </w:p>
    <w:p w14:paraId="782C7E67" w14:textId="376F87C4" w:rsidR="00D855B9" w:rsidRPr="006E6D6E" w:rsidRDefault="001B6AC0" w:rsidP="00A97978">
      <w:pPr>
        <w:spacing w:before="80"/>
        <w:rPr>
          <w:sz w:val="20"/>
          <w:szCs w:val="20"/>
          <w:lang w:eastAsia="ko-KR"/>
        </w:rPr>
      </w:pPr>
      <w:r>
        <w:rPr>
          <w:sz w:val="20"/>
          <w:szCs w:val="20"/>
          <w:lang w:eastAsia="zh-CN"/>
        </w:rPr>
        <w:t>Besides UE antenna panel definition,</w:t>
      </w:r>
      <w:r w:rsidR="00064768">
        <w:rPr>
          <w:sz w:val="20"/>
          <w:lang w:eastAsia="zh-CN"/>
        </w:rPr>
        <w:t xml:space="preserve"> </w:t>
      </w:r>
      <w:r>
        <w:rPr>
          <w:sz w:val="20"/>
          <w:lang w:eastAsia="zh-CN"/>
        </w:rPr>
        <w:t>we also observe</w:t>
      </w:r>
      <w:r w:rsidR="00064768">
        <w:rPr>
          <w:sz w:val="20"/>
          <w:lang w:eastAsia="zh-CN"/>
        </w:rPr>
        <w:t xml:space="preserve"> that there is no definition of what a beam is. </w:t>
      </w:r>
      <w:r w:rsidR="006D3339">
        <w:rPr>
          <w:rFonts w:hint="eastAsia"/>
          <w:sz w:val="20"/>
          <w:lang w:eastAsia="zh-CN"/>
        </w:rPr>
        <w:t>T</w:t>
      </w:r>
      <w:r w:rsidR="006D3339">
        <w:rPr>
          <w:sz w:val="20"/>
          <w:lang w:eastAsia="zh-CN"/>
        </w:rPr>
        <w:t xml:space="preserve">hough analog </w:t>
      </w:r>
      <w:r w:rsidR="003A70A1">
        <w:rPr>
          <w:sz w:val="20"/>
          <w:lang w:eastAsia="zh-CN"/>
        </w:rPr>
        <w:t xml:space="preserve">beamforming </w:t>
      </w:r>
      <w:r w:rsidR="006D3339">
        <w:rPr>
          <w:sz w:val="20"/>
          <w:lang w:eastAsia="zh-CN"/>
        </w:rPr>
        <w:t>is highly up to UE implementation, but in</w:t>
      </w:r>
      <w:r w:rsidR="00064768">
        <w:rPr>
          <w:sz w:val="20"/>
          <w:lang w:eastAsia="zh-CN"/>
        </w:rPr>
        <w:t xml:space="preserve"> our understanding, a beam </w:t>
      </w:r>
      <w:r w:rsidR="006D3339">
        <w:rPr>
          <w:sz w:val="20"/>
          <w:lang w:eastAsia="zh-CN"/>
        </w:rPr>
        <w:t>can be defined as</w:t>
      </w:r>
    </w:p>
    <w:p w14:paraId="5DFA1AB8" w14:textId="2887E78E" w:rsidR="00D855B9" w:rsidRDefault="00097E22" w:rsidP="00FB7FA7">
      <w:pPr>
        <w:pStyle w:val="ListParagraph"/>
        <w:numPr>
          <w:ilvl w:val="0"/>
          <w:numId w:val="32"/>
        </w:numPr>
        <w:spacing w:after="80"/>
        <w:rPr>
          <w:sz w:val="20"/>
          <w:szCs w:val="20"/>
        </w:rPr>
      </w:pPr>
      <w:r w:rsidRPr="00097E22">
        <w:rPr>
          <w:rFonts w:ascii="Times New Roman" w:hAnsi="Times New Roman" w:cs="Times New Roman"/>
          <w:b/>
          <w:bCs/>
          <w:sz w:val="22"/>
          <w:szCs w:val="20"/>
        </w:rPr>
        <w:t>:</w:t>
      </w:r>
      <w:r w:rsidR="00D855B9" w:rsidRPr="00097E22">
        <w:rPr>
          <w:rFonts w:ascii="Times New Roman" w:hAnsi="Times New Roman" w:cs="Times New Roman"/>
          <w:b/>
          <w:bCs/>
          <w:sz w:val="20"/>
          <w:szCs w:val="20"/>
        </w:rPr>
        <w:t xml:space="preserve"> </w:t>
      </w:r>
      <w:r w:rsidR="0042527F">
        <w:rPr>
          <w:rFonts w:ascii="Times New Roman" w:hAnsi="Times New Roman" w:cs="Times New Roman"/>
          <w:b/>
          <w:sz w:val="22"/>
          <w:szCs w:val="22"/>
        </w:rPr>
        <w:t>A beam can be</w:t>
      </w:r>
      <w:r w:rsidR="00A97978">
        <w:rPr>
          <w:rFonts w:ascii="Times New Roman" w:hAnsi="Times New Roman" w:cs="Times New Roman"/>
          <w:b/>
          <w:sz w:val="22"/>
          <w:szCs w:val="22"/>
        </w:rPr>
        <w:t xml:space="preserve"> defined as </w:t>
      </w:r>
      <w:r w:rsidR="00D855B9" w:rsidRPr="006E6D6E">
        <w:rPr>
          <w:rFonts w:ascii="Times New Roman" w:hAnsi="Times New Roman" w:cs="Times New Roman"/>
          <w:b/>
          <w:sz w:val="22"/>
          <w:szCs w:val="22"/>
        </w:rPr>
        <w:t>a spatial filtering associated with one or two antenna ports carrying one or two layers separated in the polarization domain.</w:t>
      </w:r>
    </w:p>
    <w:p w14:paraId="2B8A6251" w14:textId="18A22B7C" w:rsidR="00064768" w:rsidRDefault="00A97978" w:rsidP="00064768">
      <w:pPr>
        <w:spacing w:after="80"/>
        <w:rPr>
          <w:sz w:val="20"/>
          <w:lang w:eastAsia="zh-CN"/>
        </w:rPr>
      </w:pPr>
      <w:r>
        <w:rPr>
          <w:sz w:val="20"/>
          <w:lang w:eastAsia="zh-CN"/>
        </w:rPr>
        <w:t>With the beam definition</w:t>
      </w:r>
      <w:r w:rsidR="006D3339">
        <w:rPr>
          <w:sz w:val="20"/>
          <w:lang w:eastAsia="zh-CN"/>
        </w:rPr>
        <w:t xml:space="preserve"> in hand</w:t>
      </w:r>
      <w:r w:rsidR="003A70A1">
        <w:rPr>
          <w:sz w:val="20"/>
          <w:lang w:eastAsia="zh-CN"/>
        </w:rPr>
        <w:t xml:space="preserve">, next one may </w:t>
      </w:r>
      <w:r w:rsidR="00CA55C4">
        <w:rPr>
          <w:sz w:val="20"/>
          <w:lang w:eastAsia="zh-CN"/>
        </w:rPr>
        <w:t>consider</w:t>
      </w:r>
      <w:r>
        <w:rPr>
          <w:sz w:val="20"/>
          <w:lang w:eastAsia="zh-CN"/>
        </w:rPr>
        <w:t xml:space="preserve"> whether </w:t>
      </w:r>
      <w:r w:rsidR="00CA55C4">
        <w:rPr>
          <w:sz w:val="20"/>
          <w:lang w:eastAsia="zh-CN"/>
        </w:rPr>
        <w:t xml:space="preserve">to signal </w:t>
      </w:r>
      <w:r w:rsidR="003A70A1">
        <w:rPr>
          <w:sz w:val="20"/>
          <w:lang w:eastAsia="zh-CN"/>
        </w:rPr>
        <w:t xml:space="preserve">the UE capability on whether </w:t>
      </w:r>
      <w:r w:rsidR="00064768">
        <w:rPr>
          <w:sz w:val="20"/>
          <w:lang w:eastAsia="zh-CN"/>
        </w:rPr>
        <w:t>single or dual layer</w:t>
      </w:r>
      <w:r w:rsidR="003A70A1">
        <w:rPr>
          <w:sz w:val="20"/>
          <w:lang w:eastAsia="zh-CN"/>
        </w:rPr>
        <w:t>(</w:t>
      </w:r>
      <w:r w:rsidR="00064768">
        <w:rPr>
          <w:sz w:val="20"/>
          <w:lang w:eastAsia="zh-CN"/>
        </w:rPr>
        <w:t>s</w:t>
      </w:r>
      <w:r w:rsidR="003A70A1">
        <w:rPr>
          <w:sz w:val="20"/>
          <w:lang w:eastAsia="zh-CN"/>
        </w:rPr>
        <w:t>)</w:t>
      </w:r>
      <w:r w:rsidR="00064768">
        <w:rPr>
          <w:sz w:val="20"/>
          <w:lang w:eastAsia="zh-CN"/>
        </w:rPr>
        <w:t xml:space="preserve"> are supported by a panel. In RAN4#90bis main session</w:t>
      </w:r>
      <w:r w:rsidR="002058F0">
        <w:rPr>
          <w:sz w:val="20"/>
          <w:lang w:eastAsia="zh-CN"/>
        </w:rPr>
        <w:t>’s</w:t>
      </w:r>
      <w:r w:rsidR="00064768">
        <w:rPr>
          <w:sz w:val="20"/>
          <w:lang w:eastAsia="zh-CN"/>
        </w:rPr>
        <w:t xml:space="preserve"> chairman notes, it was agreed to use 8 beams for an UL beam sweep in beam-correspondence test. In addition it was also agree to further study whether there is an advantage to specify the polarization aspect in the UL beam sweep. This may have system benefit</w:t>
      </w:r>
      <w:r w:rsidR="003A70A1">
        <w:rPr>
          <w:sz w:val="20"/>
          <w:lang w:eastAsia="zh-CN"/>
        </w:rPr>
        <w:t>s</w:t>
      </w:r>
      <w:r w:rsidR="00064768">
        <w:rPr>
          <w:sz w:val="20"/>
          <w:lang w:eastAsia="zh-CN"/>
        </w:rPr>
        <w:t xml:space="preserve"> </w:t>
      </w:r>
      <w:r w:rsidR="003A70A1">
        <w:rPr>
          <w:sz w:val="20"/>
          <w:lang w:eastAsia="zh-CN"/>
        </w:rPr>
        <w:t xml:space="preserve">both </w:t>
      </w:r>
      <w:r w:rsidR="00064768">
        <w:rPr>
          <w:sz w:val="20"/>
          <w:lang w:eastAsia="zh-CN"/>
        </w:rPr>
        <w:t xml:space="preserve">from a MU perspective as well as from a link level capacity perspective. </w:t>
      </w:r>
      <w:r w:rsidR="0042527F">
        <w:rPr>
          <w:sz w:val="20"/>
          <w:lang w:eastAsia="zh-CN"/>
        </w:rPr>
        <w:t>Hence we have following</w:t>
      </w:r>
    </w:p>
    <w:p w14:paraId="76EA7D30" w14:textId="00CB02FD" w:rsidR="00064768" w:rsidRPr="001A4E41" w:rsidRDefault="00097E22" w:rsidP="00FB7FA7">
      <w:pPr>
        <w:pStyle w:val="ListParagraph"/>
        <w:numPr>
          <w:ilvl w:val="0"/>
          <w:numId w:val="32"/>
        </w:numPr>
        <w:spacing w:after="80"/>
        <w:rPr>
          <w:rFonts w:ascii="Times New Roman" w:hAnsi="Times New Roman" w:cs="Times New Roman"/>
          <w:b/>
          <w:sz w:val="22"/>
          <w:szCs w:val="22"/>
        </w:rPr>
      </w:pPr>
      <w:r>
        <w:rPr>
          <w:rFonts w:ascii="Times New Roman" w:hAnsi="Times New Roman" w:cs="Times New Roman"/>
          <w:b/>
          <w:sz w:val="22"/>
          <w:szCs w:val="22"/>
        </w:rPr>
        <w:t>:</w:t>
      </w:r>
      <w:r w:rsidR="00064768">
        <w:rPr>
          <w:rFonts w:ascii="Times New Roman" w:hAnsi="Times New Roman" w:cs="Times New Roman"/>
          <w:b/>
          <w:sz w:val="22"/>
          <w:szCs w:val="22"/>
        </w:rPr>
        <w:t xml:space="preserve"> </w:t>
      </w:r>
      <w:r w:rsidR="00064768" w:rsidRPr="00556B33">
        <w:rPr>
          <w:rFonts w:ascii="Times New Roman" w:hAnsi="Times New Roman" w:cs="Times New Roman"/>
          <w:b/>
          <w:sz w:val="22"/>
          <w:szCs w:val="22"/>
        </w:rPr>
        <w:t xml:space="preserve">RAN1 needs to study and specify (if necessary) whether </w:t>
      </w:r>
      <w:r w:rsidR="006D3339">
        <w:rPr>
          <w:rFonts w:ascii="Times New Roman" w:hAnsi="Times New Roman" w:cs="Times New Roman"/>
          <w:b/>
          <w:sz w:val="22"/>
          <w:szCs w:val="22"/>
        </w:rPr>
        <w:t xml:space="preserve">additional signaling is necessary when </w:t>
      </w:r>
      <w:r w:rsidR="00064768" w:rsidRPr="00556B33">
        <w:rPr>
          <w:rFonts w:ascii="Times New Roman" w:hAnsi="Times New Roman" w:cs="Times New Roman"/>
          <w:b/>
          <w:sz w:val="22"/>
          <w:szCs w:val="22"/>
        </w:rPr>
        <w:t xml:space="preserve">a </w:t>
      </w:r>
      <w:r w:rsidR="00064768" w:rsidRPr="00556B33">
        <w:rPr>
          <w:rFonts w:ascii="Times New Roman" w:hAnsi="Times New Roman" w:cs="Times New Roman"/>
          <w:b/>
          <w:color w:val="000000" w:themeColor="text1"/>
          <w:sz w:val="22"/>
          <w:szCs w:val="20"/>
        </w:rPr>
        <w:t>beam can suppo</w:t>
      </w:r>
      <w:r w:rsidR="006D3339">
        <w:rPr>
          <w:rFonts w:ascii="Times New Roman" w:hAnsi="Times New Roman" w:cs="Times New Roman"/>
          <w:b/>
          <w:color w:val="000000" w:themeColor="text1"/>
          <w:sz w:val="22"/>
          <w:szCs w:val="20"/>
        </w:rPr>
        <w:t>rt up to two independent layers</w:t>
      </w:r>
      <w:r w:rsidR="00064768" w:rsidRPr="00556B33">
        <w:rPr>
          <w:rFonts w:ascii="Times New Roman" w:hAnsi="Times New Roman" w:cs="Times New Roman"/>
          <w:b/>
          <w:color w:val="000000" w:themeColor="text1"/>
          <w:sz w:val="22"/>
          <w:szCs w:val="20"/>
        </w:rPr>
        <w:t xml:space="preserve"> separated by polarization.</w:t>
      </w:r>
    </w:p>
    <w:p w14:paraId="053C3A7B" w14:textId="089C5586" w:rsidR="00CD7400" w:rsidRPr="006C202C" w:rsidRDefault="00842220" w:rsidP="007529CF">
      <w:pPr>
        <w:pStyle w:val="Heading1"/>
        <w:spacing w:after="80"/>
        <w:jc w:val="left"/>
        <w:rPr>
          <w:sz w:val="24"/>
          <w:lang w:eastAsia="zh-CN"/>
        </w:rPr>
      </w:pPr>
      <w:r w:rsidRPr="006C202C">
        <w:rPr>
          <w:sz w:val="24"/>
          <w:lang w:eastAsia="zh-CN"/>
        </w:rPr>
        <w:t>Conclusions</w:t>
      </w:r>
    </w:p>
    <w:p w14:paraId="3E397DE7" w14:textId="56FCD593" w:rsidR="002348EF" w:rsidRDefault="00345197" w:rsidP="00531840">
      <w:pPr>
        <w:spacing w:after="80"/>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44795D73" w14:textId="3C5D70DF" w:rsidR="009A015A" w:rsidRPr="00FB7FA7" w:rsidRDefault="009A015A" w:rsidP="009A015A">
      <w:pPr>
        <w:pStyle w:val="ListParagraph"/>
        <w:numPr>
          <w:ilvl w:val="0"/>
          <w:numId w:val="43"/>
        </w:numPr>
        <w:spacing w:after="80"/>
        <w:rPr>
          <w:b/>
          <w:sz w:val="22"/>
          <w:szCs w:val="24"/>
        </w:rPr>
      </w:pPr>
      <w:r>
        <w:rPr>
          <w:rFonts w:ascii="Times New Roman" w:hAnsi="Times New Roman" w:cs="Times New Roman"/>
          <w:b/>
          <w:sz w:val="22"/>
          <w:szCs w:val="24"/>
        </w:rPr>
        <w:t>: Support SRS for beam management configured in unified TCI to serve as a source RS for determining DL Rx beam at UE</w:t>
      </w:r>
      <w:r w:rsidRPr="00556B33">
        <w:rPr>
          <w:rFonts w:ascii="Times New Roman" w:hAnsi="Times New Roman" w:cs="Times New Roman"/>
          <w:b/>
          <w:sz w:val="22"/>
          <w:szCs w:val="24"/>
        </w:rPr>
        <w:t>.</w:t>
      </w:r>
    </w:p>
    <w:p w14:paraId="4A29C07B" w14:textId="77777777" w:rsidR="009A015A" w:rsidRPr="003E68D5" w:rsidRDefault="009A015A" w:rsidP="009A015A">
      <w:pPr>
        <w:pStyle w:val="ListParagraph"/>
        <w:numPr>
          <w:ilvl w:val="0"/>
          <w:numId w:val="43"/>
        </w:numPr>
        <w:spacing w:after="80"/>
        <w:rPr>
          <w:sz w:val="22"/>
          <w:szCs w:val="24"/>
        </w:rPr>
      </w:pPr>
      <w:r>
        <w:rPr>
          <w:rFonts w:ascii="Times New Roman" w:hAnsi="Times New Roman" w:cs="Times New Roman"/>
          <w:b/>
          <w:sz w:val="22"/>
          <w:szCs w:val="24"/>
        </w:rPr>
        <w:t>: To maintain the flexibility of DL and UL beam indication, support separate unified TCI state pools (Alt. 2-2) for DL and UL beam indication.</w:t>
      </w:r>
    </w:p>
    <w:p w14:paraId="65CA4477" w14:textId="77777777" w:rsidR="009A015A" w:rsidRPr="00C80538" w:rsidRDefault="009A015A" w:rsidP="009A015A">
      <w:pPr>
        <w:pStyle w:val="ListParagraph"/>
        <w:numPr>
          <w:ilvl w:val="0"/>
          <w:numId w:val="43"/>
        </w:numPr>
        <w:spacing w:after="80"/>
        <w:rPr>
          <w:sz w:val="22"/>
          <w:szCs w:val="22"/>
        </w:rPr>
      </w:pPr>
      <w:r>
        <w:rPr>
          <w:rFonts w:ascii="Times New Roman" w:hAnsi="Times New Roman" w:cs="Times New Roman"/>
          <w:b/>
          <w:sz w:val="22"/>
          <w:szCs w:val="22"/>
        </w:rPr>
        <w:t xml:space="preserve">: </w:t>
      </w:r>
      <w:r w:rsidRPr="00C80538">
        <w:rPr>
          <w:rFonts w:ascii="Times New Roman" w:hAnsi="Times New Roman" w:cs="Times New Roman"/>
          <w:b/>
          <w:sz w:val="22"/>
          <w:szCs w:val="22"/>
        </w:rPr>
        <w:t>For inter-band CCs, a common beam management procedure, including TCI states across bands, should be considered for data/control, DL/UL, multiple BWPs, multiple TRPs and multiple UE panels</w:t>
      </w:r>
      <w:r w:rsidRPr="00C80538">
        <w:rPr>
          <w:rFonts w:ascii="Times New Roman" w:hAnsi="Times New Roman" w:cs="Times New Roman"/>
          <w:b/>
          <w:bCs/>
          <w:sz w:val="22"/>
          <w:szCs w:val="22"/>
        </w:rPr>
        <w:t xml:space="preserve">. </w:t>
      </w:r>
    </w:p>
    <w:p w14:paraId="733C6E6B" w14:textId="77777777" w:rsidR="009A015A" w:rsidRPr="00C80538" w:rsidRDefault="009A015A" w:rsidP="009A015A">
      <w:pPr>
        <w:pStyle w:val="ListParagraph"/>
        <w:numPr>
          <w:ilvl w:val="0"/>
          <w:numId w:val="43"/>
        </w:numPr>
        <w:spacing w:after="120"/>
        <w:rPr>
          <w:sz w:val="22"/>
          <w:szCs w:val="20"/>
        </w:rPr>
      </w:pPr>
      <w:r>
        <w:rPr>
          <w:rFonts w:ascii="Times New Roman" w:hAnsi="Times New Roman" w:cs="Times New Roman"/>
          <w:b/>
          <w:sz w:val="22"/>
          <w:szCs w:val="20"/>
        </w:rPr>
        <w:lastRenderedPageBreak/>
        <w:t xml:space="preserve">: </w:t>
      </w:r>
      <w:r w:rsidRPr="00C80538">
        <w:rPr>
          <w:rFonts w:ascii="Times New Roman" w:hAnsi="Times New Roman" w:cs="Times New Roman"/>
          <w:b/>
          <w:sz w:val="22"/>
          <w:szCs w:val="20"/>
        </w:rPr>
        <w:t>The UE capabilities reporting related to simultaneously steer</w:t>
      </w:r>
      <w:r>
        <w:rPr>
          <w:rFonts w:ascii="Times New Roman" w:hAnsi="Times New Roman" w:cs="Times New Roman"/>
          <w:b/>
          <w:sz w:val="22"/>
          <w:szCs w:val="20"/>
        </w:rPr>
        <w:t>ing</w:t>
      </w:r>
      <w:r w:rsidRPr="00C80538">
        <w:rPr>
          <w:rFonts w:ascii="Times New Roman" w:hAnsi="Times New Roman" w:cs="Times New Roman"/>
          <w:b/>
          <w:sz w:val="22"/>
          <w:szCs w:val="20"/>
        </w:rPr>
        <w:t xml:space="preserve"> in the same direction beams belonging to CCs in different bands should be considered.</w:t>
      </w:r>
    </w:p>
    <w:p w14:paraId="6C0ABF8C" w14:textId="77777777" w:rsidR="009A015A" w:rsidRDefault="009A015A" w:rsidP="009A015A">
      <w:pPr>
        <w:pStyle w:val="ListParagraph"/>
        <w:numPr>
          <w:ilvl w:val="0"/>
          <w:numId w:val="43"/>
        </w:numPr>
        <w:spacing w:after="40"/>
        <w:rPr>
          <w:sz w:val="22"/>
          <w:szCs w:val="20"/>
        </w:rPr>
      </w:pPr>
      <w:r>
        <w:rPr>
          <w:rFonts w:ascii="Times New Roman" w:hAnsi="Times New Roman" w:cs="Times New Roman"/>
          <w:b/>
          <w:sz w:val="22"/>
          <w:szCs w:val="20"/>
        </w:rPr>
        <w:t>:</w:t>
      </w:r>
      <w:r w:rsidRPr="00C80538">
        <w:rPr>
          <w:rFonts w:ascii="Times New Roman" w:hAnsi="Times New Roman" w:cs="Times New Roman"/>
          <w:b/>
          <w:sz w:val="22"/>
          <w:szCs w:val="20"/>
        </w:rPr>
        <w:t xml:space="preserve"> For the optimization of TCI states across bands, the polarization property of beams should be considered.</w:t>
      </w:r>
    </w:p>
    <w:p w14:paraId="45A962BB" w14:textId="77777777" w:rsidR="009A015A" w:rsidRPr="00B120A2" w:rsidRDefault="009A015A" w:rsidP="009A015A">
      <w:pPr>
        <w:pStyle w:val="ListParagraph"/>
        <w:numPr>
          <w:ilvl w:val="0"/>
          <w:numId w:val="43"/>
        </w:numPr>
        <w:spacing w:after="40"/>
        <w:rPr>
          <w:sz w:val="22"/>
          <w:szCs w:val="20"/>
        </w:rPr>
      </w:pPr>
      <w:r>
        <w:rPr>
          <w:rFonts w:ascii="Times New Roman" w:hAnsi="Times New Roman" w:cs="Times New Roman"/>
          <w:b/>
          <w:sz w:val="22"/>
          <w:szCs w:val="20"/>
        </w:rPr>
        <w:t>: Investigate and specify (if the overall performance including overhead, latency and flexibility, reliability can be justified) the DCI based TCI state updating for DL and UL channels/signals</w:t>
      </w:r>
      <w:r w:rsidRPr="00C80538">
        <w:rPr>
          <w:rFonts w:ascii="Times New Roman" w:hAnsi="Times New Roman" w:cs="Times New Roman"/>
          <w:b/>
          <w:sz w:val="22"/>
          <w:szCs w:val="20"/>
        </w:rPr>
        <w:t>.</w:t>
      </w:r>
    </w:p>
    <w:p w14:paraId="5CE507C0" w14:textId="77777777" w:rsidR="009A015A" w:rsidRPr="00556B33" w:rsidRDefault="009A015A" w:rsidP="00FB7FA7">
      <w:pPr>
        <w:pStyle w:val="ListParagraph"/>
        <w:numPr>
          <w:ilvl w:val="0"/>
          <w:numId w:val="43"/>
        </w:numPr>
        <w:rPr>
          <w:sz w:val="22"/>
          <w:szCs w:val="24"/>
        </w:rPr>
      </w:pPr>
      <w:r>
        <w:rPr>
          <w:rFonts w:ascii="Times New Roman" w:hAnsi="Times New Roman" w:cs="Times New Roman"/>
          <w:b/>
          <w:sz w:val="22"/>
          <w:szCs w:val="24"/>
        </w:rPr>
        <w:t xml:space="preserve">: </w:t>
      </w:r>
      <w:r w:rsidRPr="00556B33">
        <w:rPr>
          <w:rFonts w:ascii="Times New Roman" w:hAnsi="Times New Roman" w:cs="Times New Roman"/>
          <w:b/>
          <w:sz w:val="22"/>
          <w:szCs w:val="24"/>
        </w:rPr>
        <w:t xml:space="preserve">Study and specify (if necessary) the L1/L2-centric approach </w:t>
      </w:r>
      <w:r>
        <w:rPr>
          <w:rFonts w:ascii="Times New Roman" w:hAnsi="Times New Roman" w:cs="Times New Roman"/>
          <w:b/>
          <w:sz w:val="22"/>
          <w:szCs w:val="24"/>
        </w:rPr>
        <w:t>for</w:t>
      </w:r>
      <w:r w:rsidRPr="00556B33">
        <w:rPr>
          <w:rFonts w:ascii="Times New Roman" w:hAnsi="Times New Roman" w:cs="Times New Roman"/>
          <w:b/>
          <w:sz w:val="22"/>
          <w:szCs w:val="24"/>
        </w:rPr>
        <w:t xml:space="preserve"> inter-cell mobility</w:t>
      </w:r>
    </w:p>
    <w:p w14:paraId="127F4B81" w14:textId="77777777" w:rsidR="009A015A" w:rsidRDefault="009A015A" w:rsidP="00FB7FA7">
      <w:pPr>
        <w:pStyle w:val="ListParagraph"/>
        <w:numPr>
          <w:ilvl w:val="0"/>
          <w:numId w:val="8"/>
        </w:numPr>
        <w:ind w:left="924" w:hanging="357"/>
        <w:rPr>
          <w:sz w:val="22"/>
          <w:szCs w:val="24"/>
        </w:rPr>
      </w:pPr>
      <w:r w:rsidRPr="00556B33">
        <w:rPr>
          <w:rFonts w:ascii="Times New Roman" w:hAnsi="Times New Roman" w:cs="Times New Roman"/>
          <w:b/>
          <w:sz w:val="22"/>
          <w:szCs w:val="24"/>
        </w:rPr>
        <w:t>Incorporate</w:t>
      </w:r>
      <w:r>
        <w:rPr>
          <w:rFonts w:ascii="Times New Roman" w:hAnsi="Times New Roman" w:cs="Times New Roman"/>
          <w:b/>
          <w:sz w:val="22"/>
          <w:szCs w:val="24"/>
        </w:rPr>
        <w:t>/associate</w:t>
      </w:r>
      <w:r w:rsidRPr="00556B33">
        <w:rPr>
          <w:rFonts w:ascii="Times New Roman" w:hAnsi="Times New Roman" w:cs="Times New Roman"/>
          <w:b/>
          <w:sz w:val="22"/>
          <w:szCs w:val="24"/>
        </w:rPr>
        <w:t xml:space="preserve"> PCI </w:t>
      </w:r>
      <w:r>
        <w:rPr>
          <w:rFonts w:ascii="Times New Roman" w:hAnsi="Times New Roman" w:cs="Times New Roman"/>
          <w:b/>
          <w:sz w:val="22"/>
          <w:szCs w:val="24"/>
        </w:rPr>
        <w:t xml:space="preserve">with unified </w:t>
      </w:r>
      <w:r w:rsidRPr="00556B33">
        <w:rPr>
          <w:rFonts w:ascii="Times New Roman" w:hAnsi="Times New Roman" w:cs="Times New Roman"/>
          <w:b/>
          <w:sz w:val="22"/>
          <w:szCs w:val="24"/>
        </w:rPr>
        <w:t>TCI state for DL beam management</w:t>
      </w:r>
    </w:p>
    <w:p w14:paraId="67BFF513" w14:textId="3FE4BF7A" w:rsidR="009A015A" w:rsidRPr="00FB7FA7" w:rsidRDefault="009A015A" w:rsidP="00FB7FA7">
      <w:pPr>
        <w:pStyle w:val="ListParagraph"/>
        <w:numPr>
          <w:ilvl w:val="0"/>
          <w:numId w:val="8"/>
        </w:numPr>
        <w:ind w:left="924" w:hanging="357"/>
        <w:rPr>
          <w:sz w:val="22"/>
          <w:szCs w:val="24"/>
        </w:rPr>
      </w:pPr>
      <w:r w:rsidRPr="00FB7FA7">
        <w:rPr>
          <w:rFonts w:ascii="Times New Roman" w:hAnsi="Times New Roman" w:cs="Times New Roman"/>
          <w:b/>
          <w:sz w:val="22"/>
          <w:szCs w:val="24"/>
        </w:rPr>
        <w:t>Incorporate</w:t>
      </w:r>
      <w:r w:rsidRPr="00FB7FA7">
        <w:rPr>
          <w:rFonts w:ascii="Times New Roman" w:hAnsi="Times New Roman" w:cs="Times New Roman"/>
          <w:b/>
          <w:sz w:val="22"/>
          <w:szCs w:val="24"/>
        </w:rPr>
        <w:t>/associate</w:t>
      </w:r>
      <w:r w:rsidRPr="00FB7FA7">
        <w:rPr>
          <w:rFonts w:ascii="Times New Roman" w:hAnsi="Times New Roman" w:cs="Times New Roman"/>
          <w:b/>
          <w:sz w:val="22"/>
          <w:szCs w:val="24"/>
        </w:rPr>
        <w:t xml:space="preserve"> PCI </w:t>
      </w:r>
      <w:r w:rsidRPr="00FB7FA7">
        <w:rPr>
          <w:rFonts w:ascii="Times New Roman" w:hAnsi="Times New Roman" w:cs="Times New Roman"/>
          <w:b/>
          <w:sz w:val="22"/>
          <w:szCs w:val="24"/>
        </w:rPr>
        <w:t xml:space="preserve">with unified TCI state or </w:t>
      </w:r>
      <w:r w:rsidRPr="00FB7FA7">
        <w:rPr>
          <w:rFonts w:ascii="Times New Roman" w:hAnsi="Times New Roman" w:cs="Times New Roman"/>
          <w:b/>
          <w:sz w:val="22"/>
          <w:szCs w:val="24"/>
        </w:rPr>
        <w:t>Spatial Relation for UL beam management</w:t>
      </w:r>
    </w:p>
    <w:p w14:paraId="65CAF1EC" w14:textId="395444D2" w:rsidR="009A015A" w:rsidRPr="00FB7FA7" w:rsidRDefault="009A015A" w:rsidP="00FB7FA7">
      <w:pPr>
        <w:pStyle w:val="ListParagraph"/>
        <w:numPr>
          <w:ilvl w:val="0"/>
          <w:numId w:val="43"/>
        </w:numPr>
        <w:spacing w:after="80"/>
        <w:rPr>
          <w:b/>
        </w:rPr>
      </w:pPr>
      <w:r w:rsidRPr="00097E22">
        <w:rPr>
          <w:rFonts w:ascii="Times New Roman" w:hAnsi="Times New Roman" w:cs="Times New Roman"/>
          <w:b/>
          <w:bCs/>
          <w:sz w:val="22"/>
          <w:szCs w:val="20"/>
        </w:rPr>
        <w:t>:</w:t>
      </w:r>
      <w:r>
        <w:rPr>
          <w:rFonts w:ascii="Times New Roman" w:hAnsi="Times New Roman" w:cs="Times New Roman"/>
          <w:b/>
          <w:bCs/>
          <w:sz w:val="22"/>
          <w:szCs w:val="20"/>
        </w:rPr>
        <w:t xml:space="preserve"> RAN1 studies and specifies if necessary the L1-event based TCI state </w:t>
      </w:r>
      <w:r w:rsidRPr="006C3C89">
        <w:rPr>
          <w:rFonts w:ascii="Times New Roman" w:hAnsi="Times New Roman" w:cs="Times New Roman"/>
          <w:b/>
          <w:bCs/>
          <w:sz w:val="22"/>
          <w:szCs w:val="20"/>
        </w:rPr>
        <w:t xml:space="preserve">automatic </w:t>
      </w:r>
      <w:r>
        <w:rPr>
          <w:rFonts w:ascii="Times New Roman" w:hAnsi="Times New Roman" w:cs="Times New Roman"/>
          <w:b/>
          <w:bCs/>
          <w:sz w:val="22"/>
          <w:szCs w:val="20"/>
        </w:rPr>
        <w:t>activation from non-serving cell</w:t>
      </w:r>
      <w:r w:rsidRPr="00556B33">
        <w:rPr>
          <w:rFonts w:ascii="Times New Roman" w:hAnsi="Times New Roman" w:cs="Times New Roman"/>
          <w:b/>
          <w:sz w:val="22"/>
          <w:szCs w:val="22"/>
        </w:rPr>
        <w:t>.</w:t>
      </w:r>
    </w:p>
    <w:p w14:paraId="71920305" w14:textId="77777777" w:rsidR="009A015A" w:rsidRPr="00556B33" w:rsidRDefault="009A015A" w:rsidP="009A015A">
      <w:pPr>
        <w:pStyle w:val="ListParagraph"/>
        <w:numPr>
          <w:ilvl w:val="0"/>
          <w:numId w:val="43"/>
        </w:numPr>
        <w:spacing w:after="8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A</w:t>
      </w:r>
      <w:r w:rsidRPr="00556B33">
        <w:rPr>
          <w:rFonts w:ascii="Times New Roman" w:hAnsi="Times New Roman" w:cs="Times New Roman"/>
          <w:b/>
          <w:sz w:val="22"/>
          <w:szCs w:val="22"/>
        </w:rPr>
        <w:t xml:space="preserve"> </w:t>
      </w:r>
      <w:r>
        <w:rPr>
          <w:rFonts w:ascii="Times New Roman" w:hAnsi="Times New Roman" w:cs="Times New Roman"/>
          <w:b/>
          <w:sz w:val="22"/>
          <w:szCs w:val="22"/>
        </w:rPr>
        <w:t xml:space="preserve">panel </w:t>
      </w:r>
      <w:r w:rsidRPr="00556B33">
        <w:rPr>
          <w:rFonts w:ascii="Times New Roman" w:hAnsi="Times New Roman" w:cs="Times New Roman"/>
          <w:b/>
          <w:sz w:val="22"/>
          <w:szCs w:val="22"/>
        </w:rPr>
        <w:t xml:space="preserve">ID </w:t>
      </w:r>
      <w:r>
        <w:rPr>
          <w:rFonts w:ascii="Times New Roman" w:hAnsi="Times New Roman" w:cs="Times New Roman"/>
          <w:b/>
          <w:sz w:val="22"/>
          <w:szCs w:val="22"/>
        </w:rPr>
        <w:t xml:space="preserve">either </w:t>
      </w:r>
      <w:r w:rsidRPr="00556B33">
        <w:rPr>
          <w:rFonts w:ascii="Times New Roman" w:hAnsi="Times New Roman" w:cs="Times New Roman"/>
          <w:b/>
          <w:sz w:val="22"/>
          <w:szCs w:val="22"/>
        </w:rPr>
        <w:t xml:space="preserve">explicitly </w:t>
      </w:r>
      <w:r>
        <w:rPr>
          <w:rFonts w:ascii="Times New Roman" w:hAnsi="Times New Roman" w:cs="Times New Roman"/>
          <w:b/>
          <w:sz w:val="22"/>
          <w:szCs w:val="22"/>
        </w:rPr>
        <w:t>or implicitly combined with unified TCI or Spatial Relation</w:t>
      </w:r>
      <w:r w:rsidRPr="00556B33">
        <w:rPr>
          <w:rFonts w:ascii="Times New Roman" w:hAnsi="Times New Roman" w:cs="Times New Roman"/>
          <w:b/>
          <w:sz w:val="22"/>
          <w:szCs w:val="22"/>
        </w:rPr>
        <w:t xml:space="preserve"> can be used for UL </w:t>
      </w:r>
      <w:r>
        <w:rPr>
          <w:rFonts w:ascii="Times New Roman" w:hAnsi="Times New Roman" w:cs="Times New Roman"/>
          <w:b/>
          <w:sz w:val="22"/>
          <w:szCs w:val="22"/>
        </w:rPr>
        <w:t>panel</w:t>
      </w:r>
      <w:r w:rsidRPr="00556B33">
        <w:rPr>
          <w:rFonts w:ascii="Times New Roman" w:hAnsi="Times New Roman" w:cs="Times New Roman"/>
          <w:b/>
          <w:sz w:val="22"/>
          <w:szCs w:val="22"/>
        </w:rPr>
        <w:t xml:space="preserve"> selection.</w:t>
      </w:r>
    </w:p>
    <w:p w14:paraId="4AC6BF88" w14:textId="77777777" w:rsidR="0057186A" w:rsidRPr="00556B33" w:rsidRDefault="0057186A" w:rsidP="0057186A">
      <w:pPr>
        <w:pStyle w:val="ListParagraph"/>
        <w:numPr>
          <w:ilvl w:val="0"/>
          <w:numId w:val="43"/>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Pr="00556B33">
        <w:rPr>
          <w:rFonts w:ascii="Times New Roman" w:hAnsi="Times New Roman" w:cs="Times New Roman"/>
          <w:b/>
          <w:sz w:val="22"/>
          <w:szCs w:val="22"/>
        </w:rPr>
        <w:t xml:space="preserve">Confirm the working assumption on panel </w:t>
      </w:r>
      <w:r>
        <w:rPr>
          <w:rFonts w:ascii="Times New Roman" w:hAnsi="Times New Roman" w:cs="Times New Roman"/>
          <w:b/>
          <w:sz w:val="22"/>
          <w:szCs w:val="22"/>
        </w:rPr>
        <w:t xml:space="preserve">selection for </w:t>
      </w:r>
      <w:r w:rsidRPr="00556B33">
        <w:rPr>
          <w:rFonts w:ascii="Times New Roman" w:hAnsi="Times New Roman" w:cs="Times New Roman"/>
          <w:b/>
          <w:sz w:val="22"/>
          <w:szCs w:val="22"/>
        </w:rPr>
        <w:t xml:space="preserve">PUSCH/PUCCH/SRS and include PRACH with </w:t>
      </w:r>
      <w:r>
        <w:rPr>
          <w:rFonts w:ascii="Times New Roman" w:hAnsi="Times New Roman" w:cs="Times New Roman"/>
          <w:b/>
          <w:sz w:val="22"/>
          <w:szCs w:val="22"/>
        </w:rPr>
        <w:t xml:space="preserve">its </w:t>
      </w:r>
      <w:r w:rsidRPr="00556B33">
        <w:rPr>
          <w:rFonts w:ascii="Times New Roman" w:hAnsi="Times New Roman" w:cs="Times New Roman"/>
          <w:b/>
          <w:sz w:val="22"/>
          <w:szCs w:val="22"/>
        </w:rPr>
        <w:t>conditions FFS.</w:t>
      </w:r>
    </w:p>
    <w:p w14:paraId="59C5685B" w14:textId="77777777" w:rsidR="0057186A" w:rsidRDefault="0057186A" w:rsidP="0057186A">
      <w:pPr>
        <w:pStyle w:val="ListParagraph"/>
        <w:numPr>
          <w:ilvl w:val="0"/>
          <w:numId w:val="43"/>
        </w:numPr>
        <w:spacing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 xml:space="preserve">: </w:t>
      </w:r>
      <w:r w:rsidRPr="00BD5740">
        <w:rPr>
          <w:rFonts w:ascii="Times New Roman" w:hAnsi="Times New Roman" w:cs="Times New Roman"/>
          <w:b/>
          <w:color w:val="000000" w:themeColor="text1"/>
          <w:sz w:val="22"/>
          <w:szCs w:val="20"/>
        </w:rPr>
        <w:t>For UE supporting beam correspondence without UL beam sweeping, RAN1 should study and, if necessary, specify MPE-aware beam reporting.</w:t>
      </w:r>
      <w:r>
        <w:rPr>
          <w:rFonts w:ascii="Times New Roman" w:hAnsi="Times New Roman" w:cs="Times New Roman"/>
          <w:b/>
          <w:color w:val="000000" w:themeColor="text1"/>
          <w:sz w:val="22"/>
          <w:szCs w:val="20"/>
        </w:rPr>
        <w:t xml:space="preserve"> </w:t>
      </w:r>
    </w:p>
    <w:p w14:paraId="07605404" w14:textId="77777777" w:rsidR="0057186A" w:rsidRPr="00B120A2" w:rsidRDefault="0057186A" w:rsidP="0057186A">
      <w:pPr>
        <w:pStyle w:val="ListParagraph"/>
        <w:numPr>
          <w:ilvl w:val="0"/>
          <w:numId w:val="43"/>
        </w:numPr>
        <w:spacing w:after="80"/>
        <w:rPr>
          <w:rFonts w:ascii="Times New Roman" w:hAnsi="Times New Roman" w:cs="Times New Roman"/>
          <w:b/>
          <w:sz w:val="22"/>
          <w:szCs w:val="22"/>
        </w:rPr>
      </w:pPr>
      <w:r>
        <w:rPr>
          <w:rFonts w:ascii="Times New Roman" w:hAnsi="Times New Roman" w:cs="Times New Roman"/>
          <w:b/>
          <w:color w:val="000000" w:themeColor="text1"/>
          <w:sz w:val="22"/>
          <w:szCs w:val="20"/>
        </w:rPr>
        <w:t>: For UE supporting beam correspondence with the aid of UL beam sweeping, RAN1 should specify UE behavior on MPE-aware UL beam sweeping</w:t>
      </w:r>
      <w:r w:rsidRPr="00556B33">
        <w:rPr>
          <w:rFonts w:ascii="Times New Roman" w:hAnsi="Times New Roman" w:cs="Times New Roman"/>
          <w:b/>
          <w:color w:val="000000" w:themeColor="text1"/>
          <w:sz w:val="22"/>
          <w:szCs w:val="20"/>
        </w:rPr>
        <w:t>.</w:t>
      </w:r>
    </w:p>
    <w:p w14:paraId="7C5D92DB" w14:textId="77777777" w:rsidR="0057186A" w:rsidRPr="00622449" w:rsidRDefault="0057186A" w:rsidP="0057186A">
      <w:pPr>
        <w:pStyle w:val="ListParagraph"/>
        <w:numPr>
          <w:ilvl w:val="0"/>
          <w:numId w:val="43"/>
        </w:numPr>
        <w:spacing w:before="80" w:after="80"/>
        <w:rPr>
          <w:rFonts w:ascii="Times New Roman" w:hAnsi="Times New Roman" w:cs="Times New Roman"/>
          <w:b/>
          <w:color w:val="000000" w:themeColor="text1"/>
          <w:sz w:val="22"/>
          <w:szCs w:val="20"/>
        </w:rPr>
      </w:pPr>
      <w:r>
        <w:rPr>
          <w:rFonts w:ascii="Times New Roman" w:hAnsi="Times New Roman" w:cs="Times New Roman"/>
          <w:b/>
          <w:color w:val="000000" w:themeColor="text1"/>
          <w:sz w:val="22"/>
          <w:szCs w:val="20"/>
        </w:rPr>
        <w:t>: RAN1 supports (CAT1.) the UE reporting associated with an MPE and/or a potential/anticipated MPE event.</w:t>
      </w:r>
    </w:p>
    <w:p w14:paraId="6DA3F5C7" w14:textId="77777777" w:rsidR="0057186A" w:rsidRPr="00D93B95" w:rsidRDefault="0057186A" w:rsidP="0057186A">
      <w:pPr>
        <w:pStyle w:val="ListParagraph"/>
        <w:numPr>
          <w:ilvl w:val="0"/>
          <w:numId w:val="43"/>
        </w:numPr>
        <w:spacing w:after="120"/>
        <w:rPr>
          <w:rFonts w:ascii="Times New Roman" w:hAnsi="Times New Roman" w:cs="Times New Roman"/>
          <w:sz w:val="22"/>
          <w:szCs w:val="20"/>
        </w:rPr>
      </w:pPr>
      <w:r>
        <w:rPr>
          <w:rFonts w:ascii="Times New Roman" w:eastAsia="MS Gothic" w:hAnsi="Times New Roman" w:cs="Times New Roman"/>
          <w:b/>
          <w:bCs/>
          <w:sz w:val="22"/>
          <w:szCs w:val="20"/>
          <w:lang w:eastAsia="ja-JP"/>
        </w:rPr>
        <w:t>:</w:t>
      </w:r>
      <w:r w:rsidRPr="00D93B95">
        <w:rPr>
          <w:rFonts w:ascii="Times New Roman" w:eastAsia="MS Gothic" w:hAnsi="Times New Roman" w:cs="Times New Roman"/>
          <w:b/>
          <w:bCs/>
          <w:sz w:val="22"/>
          <w:szCs w:val="20"/>
          <w:lang w:eastAsia="ja-JP"/>
        </w:rPr>
        <w:t xml:space="preserve"> Associate the P-MPR values with the spatial relation for UL transmission to mitigate the coverage loss due to the MPE. </w:t>
      </w:r>
    </w:p>
    <w:p w14:paraId="162F17A9" w14:textId="77777777" w:rsidR="0057186A" w:rsidRPr="00227875" w:rsidRDefault="0057186A" w:rsidP="0057186A">
      <w:pPr>
        <w:pStyle w:val="ListParagraph"/>
        <w:numPr>
          <w:ilvl w:val="0"/>
          <w:numId w:val="43"/>
        </w:numPr>
        <w:spacing w:after="120"/>
        <w:jc w:val="left"/>
        <w:rPr>
          <w:rFonts w:ascii="Times New Roman" w:hAnsi="Times New Roman" w:cs="Times New Roman"/>
          <w:sz w:val="28"/>
          <w:szCs w:val="24"/>
        </w:rPr>
      </w:pPr>
      <w:r>
        <w:rPr>
          <w:rFonts w:ascii="Times New Roman" w:hAnsi="Times New Roman" w:cs="Times New Roman"/>
          <w:b/>
          <w:bCs/>
          <w:sz w:val="22"/>
          <w:lang w:val="en-GB"/>
        </w:rPr>
        <w:t>:</w:t>
      </w:r>
      <w:r w:rsidRPr="00227875">
        <w:rPr>
          <w:rFonts w:ascii="Times New Roman" w:hAnsi="Times New Roman" w:cs="Times New Roman"/>
          <w:b/>
          <w:bCs/>
          <w:sz w:val="22"/>
          <w:lang w:val="en-GB"/>
        </w:rPr>
        <w:t xml:space="preserve"> Introduc</w:t>
      </w:r>
      <w:r>
        <w:rPr>
          <w:rFonts w:ascii="Times New Roman" w:hAnsi="Times New Roman" w:cs="Times New Roman"/>
          <w:b/>
          <w:bCs/>
          <w:sz w:val="22"/>
          <w:lang w:val="en-GB"/>
        </w:rPr>
        <w:t>e</w:t>
      </w:r>
      <w:r w:rsidRPr="00227875">
        <w:rPr>
          <w:rFonts w:ascii="Times New Roman" w:hAnsi="Times New Roman" w:cs="Times New Roman"/>
          <w:b/>
          <w:bCs/>
          <w:sz w:val="22"/>
          <w:lang w:val="en-GB"/>
        </w:rPr>
        <w:t xml:space="preserve"> a panel-speci</w:t>
      </w:r>
      <w:r>
        <w:rPr>
          <w:rFonts w:ascii="Times New Roman" w:hAnsi="Times New Roman" w:cs="Times New Roman"/>
          <w:b/>
          <w:bCs/>
          <w:sz w:val="22"/>
          <w:lang w:val="en-GB"/>
        </w:rPr>
        <w:t xml:space="preserve">fic P-MPR reporting associated to a panel </w:t>
      </w:r>
      <w:r w:rsidRPr="00227875">
        <w:rPr>
          <w:rFonts w:ascii="Times New Roman" w:hAnsi="Times New Roman" w:cs="Times New Roman"/>
          <w:b/>
          <w:bCs/>
          <w:sz w:val="22"/>
          <w:lang w:val="en-GB"/>
        </w:rPr>
        <w:t>ID.</w:t>
      </w:r>
      <w:r w:rsidRPr="00227875">
        <w:rPr>
          <w:rFonts w:ascii="Times New Roman" w:hAnsi="Times New Roman" w:cs="Times New Roman"/>
          <w:sz w:val="28"/>
          <w:szCs w:val="24"/>
        </w:rPr>
        <w:t xml:space="preserve"> </w:t>
      </w:r>
    </w:p>
    <w:p w14:paraId="787F8F85" w14:textId="77777777" w:rsidR="0057186A" w:rsidRPr="00401F3B" w:rsidRDefault="0057186A" w:rsidP="0057186A">
      <w:pPr>
        <w:pStyle w:val="ListParagraph"/>
        <w:numPr>
          <w:ilvl w:val="0"/>
          <w:numId w:val="43"/>
        </w:numPr>
        <w:spacing w:after="120"/>
        <w:rPr>
          <w:rFonts w:ascii="Times New Roman" w:hAnsi="Times New Roman" w:cs="Times New Roman"/>
          <w:b/>
          <w:sz w:val="22"/>
          <w:szCs w:val="22"/>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D017D3">
        <w:rPr>
          <w:rFonts w:ascii="Times New Roman" w:hAnsi="Times New Roman" w:cs="Times New Roman"/>
          <w:b/>
          <w:color w:val="000000" w:themeColor="text1"/>
          <w:sz w:val="22"/>
          <w:szCs w:val="20"/>
        </w:rPr>
        <w:t>To avoid UL MPE issue, it would be beneficial for RAN1 to study and, if necessary, specify the mechanism of UE</w:t>
      </w:r>
      <w:r>
        <w:rPr>
          <w:rFonts w:ascii="Times New Roman" w:hAnsi="Times New Roman" w:cs="Times New Roman"/>
          <w:b/>
          <w:color w:val="000000" w:themeColor="text1"/>
          <w:sz w:val="22"/>
          <w:szCs w:val="20"/>
        </w:rPr>
        <w:t xml:space="preserve"> triggered UL beam/panel switch.</w:t>
      </w:r>
    </w:p>
    <w:p w14:paraId="52F77F22" w14:textId="77777777" w:rsidR="0057186A" w:rsidRPr="00245463" w:rsidRDefault="0057186A" w:rsidP="0057186A">
      <w:pPr>
        <w:pStyle w:val="ListParagraph"/>
        <w:numPr>
          <w:ilvl w:val="0"/>
          <w:numId w:val="43"/>
        </w:numPr>
        <w:spacing w:after="80"/>
        <w:rPr>
          <w:rFonts w:ascii="Times New Roman" w:hAnsi="Times New Roman" w:cs="Times New Roman"/>
          <w:b/>
          <w:bCs/>
          <w:sz w:val="22"/>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sidRPr="00245463">
        <w:rPr>
          <w:rFonts w:ascii="Times New Roman" w:hAnsi="Times New Roman" w:cs="Times New Roman"/>
          <w:b/>
          <w:bCs/>
          <w:sz w:val="22"/>
          <w:szCs w:val="20"/>
        </w:rPr>
        <w:t xml:space="preserve">We suggest that definition of a </w:t>
      </w:r>
      <w:r>
        <w:rPr>
          <w:rFonts w:ascii="Times New Roman" w:hAnsi="Times New Roman" w:cs="Times New Roman"/>
          <w:b/>
          <w:bCs/>
          <w:sz w:val="22"/>
          <w:szCs w:val="20"/>
        </w:rPr>
        <w:t>UE panel</w:t>
      </w:r>
      <w:r w:rsidRPr="00245463">
        <w:rPr>
          <w:rFonts w:ascii="Times New Roman" w:hAnsi="Times New Roman" w:cs="Times New Roman"/>
          <w:b/>
          <w:bCs/>
          <w:sz w:val="22"/>
          <w:szCs w:val="20"/>
        </w:rPr>
        <w:t xml:space="preserve"> and the related properties are addressed prior to further advancing discussions related to UE panel enhancements.</w:t>
      </w:r>
    </w:p>
    <w:p w14:paraId="37F6F1D8" w14:textId="77777777" w:rsidR="0057186A" w:rsidRDefault="0057186A" w:rsidP="0057186A">
      <w:pPr>
        <w:pStyle w:val="ListParagraph"/>
        <w:numPr>
          <w:ilvl w:val="0"/>
          <w:numId w:val="43"/>
        </w:numPr>
        <w:spacing w:after="80"/>
        <w:rPr>
          <w:sz w:val="20"/>
          <w:szCs w:val="20"/>
        </w:rPr>
      </w:pPr>
      <w:r w:rsidRPr="00097E22">
        <w:rPr>
          <w:rFonts w:ascii="Times New Roman" w:hAnsi="Times New Roman" w:cs="Times New Roman"/>
          <w:b/>
          <w:bCs/>
          <w:sz w:val="22"/>
          <w:szCs w:val="20"/>
        </w:rPr>
        <w:t>:</w:t>
      </w:r>
      <w:r w:rsidRPr="00097E22">
        <w:rPr>
          <w:rFonts w:ascii="Times New Roman" w:hAnsi="Times New Roman" w:cs="Times New Roman"/>
          <w:b/>
          <w:bCs/>
          <w:sz w:val="20"/>
          <w:szCs w:val="20"/>
        </w:rPr>
        <w:t xml:space="preserve"> </w:t>
      </w:r>
      <w:r>
        <w:rPr>
          <w:rFonts w:ascii="Times New Roman" w:hAnsi="Times New Roman" w:cs="Times New Roman"/>
          <w:b/>
          <w:sz w:val="22"/>
          <w:szCs w:val="22"/>
        </w:rPr>
        <w:t xml:space="preserve">A beam can be defined as </w:t>
      </w:r>
      <w:r w:rsidRPr="006E6D6E">
        <w:rPr>
          <w:rFonts w:ascii="Times New Roman" w:hAnsi="Times New Roman" w:cs="Times New Roman"/>
          <w:b/>
          <w:sz w:val="22"/>
          <w:szCs w:val="22"/>
        </w:rPr>
        <w:t>a spatial filtering associated with one or two antenna ports carrying one or two layers separated in the polarization domain.</w:t>
      </w:r>
    </w:p>
    <w:p w14:paraId="3C9A5772" w14:textId="13DBE31E" w:rsidR="00936429" w:rsidRPr="00FB7FA7" w:rsidRDefault="0057186A" w:rsidP="00FB7FA7">
      <w:pPr>
        <w:pStyle w:val="ListParagraph"/>
        <w:numPr>
          <w:ilvl w:val="0"/>
          <w:numId w:val="43"/>
        </w:numPr>
        <w:spacing w:after="80"/>
        <w:rPr>
          <w:rFonts w:ascii="Times New Roman" w:hAnsi="Times New Roman" w:cs="Times New Roman"/>
          <w:b/>
          <w:sz w:val="22"/>
          <w:szCs w:val="22"/>
        </w:rPr>
      </w:pPr>
      <w:r>
        <w:rPr>
          <w:rFonts w:ascii="Times New Roman" w:hAnsi="Times New Roman" w:cs="Times New Roman"/>
          <w:b/>
          <w:sz w:val="22"/>
          <w:szCs w:val="22"/>
        </w:rPr>
        <w:t xml:space="preserve">: </w:t>
      </w:r>
      <w:r w:rsidRPr="00556B33">
        <w:rPr>
          <w:rFonts w:ascii="Times New Roman" w:hAnsi="Times New Roman" w:cs="Times New Roman"/>
          <w:b/>
          <w:sz w:val="22"/>
          <w:szCs w:val="22"/>
        </w:rPr>
        <w:t xml:space="preserve">RAN1 needs to study and specify (if necessary) whether </w:t>
      </w:r>
      <w:r>
        <w:rPr>
          <w:rFonts w:ascii="Times New Roman" w:hAnsi="Times New Roman" w:cs="Times New Roman"/>
          <w:b/>
          <w:sz w:val="22"/>
          <w:szCs w:val="22"/>
        </w:rPr>
        <w:t xml:space="preserve">additional signaling is necessary when </w:t>
      </w:r>
      <w:r w:rsidRPr="00556B33">
        <w:rPr>
          <w:rFonts w:ascii="Times New Roman" w:hAnsi="Times New Roman" w:cs="Times New Roman"/>
          <w:b/>
          <w:sz w:val="22"/>
          <w:szCs w:val="22"/>
        </w:rPr>
        <w:t xml:space="preserve">a </w:t>
      </w:r>
      <w:r w:rsidRPr="00556B33">
        <w:rPr>
          <w:rFonts w:ascii="Times New Roman" w:hAnsi="Times New Roman" w:cs="Times New Roman"/>
          <w:b/>
          <w:color w:val="000000" w:themeColor="text1"/>
          <w:sz w:val="22"/>
          <w:szCs w:val="20"/>
        </w:rPr>
        <w:t>beam can suppo</w:t>
      </w:r>
      <w:r>
        <w:rPr>
          <w:rFonts w:ascii="Times New Roman" w:hAnsi="Times New Roman" w:cs="Times New Roman"/>
          <w:b/>
          <w:color w:val="000000" w:themeColor="text1"/>
          <w:sz w:val="22"/>
          <w:szCs w:val="20"/>
        </w:rPr>
        <w:t>rt up to two independent layers</w:t>
      </w:r>
      <w:r w:rsidRPr="00556B33">
        <w:rPr>
          <w:rFonts w:ascii="Times New Roman" w:hAnsi="Times New Roman" w:cs="Times New Roman"/>
          <w:b/>
          <w:color w:val="000000" w:themeColor="text1"/>
          <w:sz w:val="22"/>
          <w:szCs w:val="20"/>
        </w:rPr>
        <w:t xml:space="preserve"> separated by polarization.</w:t>
      </w:r>
    </w:p>
    <w:p w14:paraId="1A7ED4E3" w14:textId="7A89C3D2" w:rsidR="002348EF" w:rsidRDefault="002348EF" w:rsidP="002348EF">
      <w:pPr>
        <w:pStyle w:val="Heading1"/>
        <w:spacing w:after="80"/>
        <w:jc w:val="left"/>
        <w:rPr>
          <w:sz w:val="24"/>
          <w:lang w:eastAsia="zh-CN"/>
        </w:rPr>
      </w:pPr>
      <w:r>
        <w:rPr>
          <w:sz w:val="24"/>
          <w:lang w:eastAsia="zh-CN"/>
        </w:rPr>
        <w:t>Reference</w:t>
      </w:r>
    </w:p>
    <w:p w14:paraId="122A3C8A" w14:textId="6858E472" w:rsidR="002348EF" w:rsidRDefault="002348EF" w:rsidP="00135C7A">
      <w:pPr>
        <w:pStyle w:val="ListParagraph"/>
        <w:numPr>
          <w:ilvl w:val="0"/>
          <w:numId w:val="9"/>
        </w:numPr>
        <w:ind w:left="426" w:hanging="426"/>
        <w:rPr>
          <w:rFonts w:ascii="Times New Roman" w:hAnsi="Times New Roman" w:cs="Times New Roman"/>
        </w:rPr>
      </w:pPr>
      <w:r w:rsidRPr="00B01F4C">
        <w:rPr>
          <w:rFonts w:ascii="Times New Roman" w:hAnsi="Times New Roman" w:cs="Times New Roman"/>
        </w:rPr>
        <w:t>RP-193133, “New WID: Further enhancements on MIMO for NR”, Samsung</w:t>
      </w:r>
    </w:p>
    <w:p w14:paraId="3540C979" w14:textId="52AC90E0" w:rsidR="00A17ED9" w:rsidRDefault="00855514" w:rsidP="00855514">
      <w:pPr>
        <w:pStyle w:val="ListParagraph"/>
        <w:numPr>
          <w:ilvl w:val="0"/>
          <w:numId w:val="9"/>
        </w:numPr>
        <w:ind w:left="426" w:hanging="426"/>
        <w:rPr>
          <w:rFonts w:ascii="Times New Roman" w:hAnsi="Times New Roman" w:cs="Times New Roman"/>
        </w:rPr>
      </w:pPr>
      <w:bookmarkStart w:id="10" w:name="_Ref47103287"/>
      <w:r>
        <w:rPr>
          <w:rFonts w:ascii="Times New Roman" w:hAnsi="Times New Roman" w:cs="Times New Roman"/>
        </w:rPr>
        <w:t xml:space="preserve">3GPP </w:t>
      </w:r>
      <w:r w:rsidR="00A17ED9">
        <w:rPr>
          <w:rFonts w:ascii="Times New Roman" w:hAnsi="Times New Roman" w:cs="Times New Roman"/>
        </w:rPr>
        <w:t>TS 38.321, “</w:t>
      </w:r>
      <w:r w:rsidRPr="00855514">
        <w:rPr>
          <w:rFonts w:ascii="Times New Roman" w:hAnsi="Times New Roman" w:cs="Times New Roman"/>
        </w:rPr>
        <w:t>Medium Access Control (MAC) protocol specification</w:t>
      </w:r>
      <w:r w:rsidR="00A17ED9">
        <w:rPr>
          <w:rFonts w:ascii="Times New Roman" w:hAnsi="Times New Roman" w:cs="Times New Roman"/>
        </w:rPr>
        <w:t>”</w:t>
      </w:r>
      <w:bookmarkEnd w:id="10"/>
    </w:p>
    <w:p w14:paraId="413EB9DE" w14:textId="1F017215" w:rsidR="002F1E28" w:rsidRPr="00B01F4C" w:rsidRDefault="002F1E28" w:rsidP="002F1E28">
      <w:pPr>
        <w:pStyle w:val="ListParagraph"/>
        <w:numPr>
          <w:ilvl w:val="0"/>
          <w:numId w:val="9"/>
        </w:numPr>
        <w:ind w:left="426" w:hanging="426"/>
        <w:rPr>
          <w:rFonts w:ascii="Times New Roman" w:hAnsi="Times New Roman" w:cs="Times New Roman"/>
        </w:rPr>
      </w:pPr>
      <w:r w:rsidRPr="002F1E28">
        <w:rPr>
          <w:rFonts w:ascii="Times New Roman" w:hAnsi="Times New Roman" w:cs="Times New Roman"/>
        </w:rPr>
        <w:tab/>
      </w:r>
      <w:bookmarkStart w:id="11" w:name="_Ref47596349"/>
      <w:r w:rsidRPr="002F1E28">
        <w:rPr>
          <w:rFonts w:ascii="Times New Roman" w:hAnsi="Times New Roman" w:cs="Times New Roman"/>
        </w:rPr>
        <w:t>B. Xu, K. Zhao, Z. Ying, D. Sjöberg, W. He and S. He, "Analysis of Impacts of Expected RF EMF Exposure Restrictions on Peak EIRP of 5G User Equipment at 28 GHz and 39 GHz Bands," in IEEE Access, vol. 7, pp. 20996-21005, 2019.</w:t>
      </w:r>
      <w:bookmarkEnd w:id="11"/>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A55F4" w14:textId="77777777" w:rsidR="00983347" w:rsidRDefault="00983347">
      <w:r>
        <w:separator/>
      </w:r>
    </w:p>
  </w:endnote>
  <w:endnote w:type="continuationSeparator" w:id="0">
    <w:p w14:paraId="1D68F199" w14:textId="77777777" w:rsidR="00983347" w:rsidRDefault="00983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B324D" w14:textId="77777777" w:rsidR="00983347" w:rsidRDefault="00983347">
      <w:r>
        <w:separator/>
      </w:r>
    </w:p>
  </w:footnote>
  <w:footnote w:type="continuationSeparator" w:id="0">
    <w:p w14:paraId="78926A22" w14:textId="77777777" w:rsidR="00983347" w:rsidRDefault="009833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EA8"/>
    <w:multiLevelType w:val="hybridMultilevel"/>
    <w:tmpl w:val="1124CE60"/>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36023A"/>
    <w:multiLevelType w:val="hybridMultilevel"/>
    <w:tmpl w:val="4FEA3758"/>
    <w:lvl w:ilvl="0" w:tplc="84C0304C">
      <w:start w:val="1"/>
      <w:numFmt w:val="decimal"/>
      <w:lvlText w:val="Obervation %1"/>
      <w:lvlJc w:val="left"/>
      <w:pPr>
        <w:ind w:left="720" w:hanging="360"/>
      </w:pPr>
      <w:rPr>
        <w:rFonts w:ascii="Times New Roman" w:hAnsi="Times New Roman" w:cs="Times New Roman" w:hint="default"/>
        <w:b/>
        <w:sz w:val="22"/>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A1BC6"/>
    <w:multiLevelType w:val="multilevel"/>
    <w:tmpl w:val="62DC183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170F500A"/>
    <w:multiLevelType w:val="hybridMultilevel"/>
    <w:tmpl w:val="BE183B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501DC"/>
    <w:multiLevelType w:val="hybridMultilevel"/>
    <w:tmpl w:val="682275E6"/>
    <w:lvl w:ilvl="0" w:tplc="8676D83A">
      <w:start w:val="1"/>
      <w:numFmt w:val="decimal"/>
      <w:lvlText w:val="Figure %1"/>
      <w:lvlJc w:val="left"/>
      <w:pPr>
        <w:ind w:left="360" w:hanging="360"/>
      </w:pPr>
      <w:rPr>
        <w:rFonts w:ascii="Times New Roman" w:hAnsi="Times New Roman" w:hint="default"/>
        <w:b/>
        <w:sz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9403EA"/>
    <w:multiLevelType w:val="hybridMultilevel"/>
    <w:tmpl w:val="AEF8EB04"/>
    <w:lvl w:ilvl="0" w:tplc="77961208">
      <w:start w:val="1"/>
      <w:numFmt w:val="decimal"/>
      <w:lvlText w:val="Proposal %1"/>
      <w:lvlJc w:val="left"/>
      <w:pPr>
        <w:ind w:left="0" w:firstLine="0"/>
      </w:pPr>
      <w:rPr>
        <w:rFonts w:ascii="Times New Roman" w:hAnsi="Times New Roman" w:cs="Times New Roman" w:hint="default"/>
        <w:b/>
        <w:i w:val="0"/>
        <w:sz w:val="22"/>
        <w:szCs w:val="22"/>
        <w:u w:val="single"/>
        <w:lang w:val="en-US"/>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5E6C9E"/>
    <w:multiLevelType w:val="hybridMultilevel"/>
    <w:tmpl w:val="8E525B6A"/>
    <w:lvl w:ilvl="0" w:tplc="74F2FD32">
      <w:start w:val="1"/>
      <w:numFmt w:val="lowerLetter"/>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39F826A6"/>
    <w:lvl w:ilvl="0">
      <w:start w:val="1"/>
      <w:numFmt w:val="decimal"/>
      <w:pStyle w:val="Heading1"/>
      <w:lvlText w:val="%1"/>
      <w:lvlJc w:val="left"/>
      <w:pPr>
        <w:tabs>
          <w:tab w:val="num" w:pos="432"/>
        </w:tabs>
        <w:ind w:left="432" w:hanging="432"/>
      </w:pPr>
      <w:rPr>
        <w:rFonts w:hint="default"/>
        <w:i w:val="0"/>
        <w:sz w:val="24"/>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6718AF"/>
    <w:multiLevelType w:val="hybridMultilevel"/>
    <w:tmpl w:val="E2EE5EF2"/>
    <w:lvl w:ilvl="0" w:tplc="04090001">
      <w:start w:val="1"/>
      <w:numFmt w:val="bullet"/>
      <w:lvlText w:val=""/>
      <w:lvlJc w:val="left"/>
      <w:pPr>
        <w:ind w:left="715" w:hanging="360"/>
      </w:pPr>
      <w:rPr>
        <w:rFonts w:ascii="Symbol" w:hAnsi="Symbol" w:hint="default"/>
      </w:rPr>
    </w:lvl>
    <w:lvl w:ilvl="1" w:tplc="04090017">
      <w:start w:val="1"/>
      <w:numFmt w:val="lowerLetter"/>
      <w:lvlText w:val="%2)"/>
      <w:lvlJc w:val="left"/>
      <w:pPr>
        <w:ind w:left="1435" w:hanging="360"/>
      </w:p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12" w15:restartNumberingAfterBreak="0">
    <w:nsid w:val="422B3F28"/>
    <w:multiLevelType w:val="hybridMultilevel"/>
    <w:tmpl w:val="F07A2B02"/>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3A37D99"/>
    <w:multiLevelType w:val="hybridMultilevel"/>
    <w:tmpl w:val="7B0025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542297"/>
    <w:multiLevelType w:val="hybridMultilevel"/>
    <w:tmpl w:val="4222A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6B0484"/>
    <w:multiLevelType w:val="hybridMultilevel"/>
    <w:tmpl w:val="6B5E6CD4"/>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7137DD"/>
    <w:multiLevelType w:val="hybridMultilevel"/>
    <w:tmpl w:val="6E2C2548"/>
    <w:lvl w:ilvl="0" w:tplc="8B4C4C0E">
      <w:start w:val="1"/>
      <w:numFmt w:val="lowerLetter"/>
      <w:lvlText w:val="%1)"/>
      <w:lvlJc w:val="left"/>
      <w:pPr>
        <w:ind w:left="1440" w:hanging="360"/>
      </w:pPr>
      <w:rPr>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E878FE"/>
    <w:multiLevelType w:val="hybridMultilevel"/>
    <w:tmpl w:val="F708A3F4"/>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61169FB"/>
    <w:multiLevelType w:val="hybridMultilevel"/>
    <w:tmpl w:val="3200A1DA"/>
    <w:lvl w:ilvl="0" w:tplc="04090017">
      <w:start w:val="1"/>
      <w:numFmt w:val="lowerLetter"/>
      <w:lvlText w:val="%1)"/>
      <w:lvlJc w:val="left"/>
      <w:pPr>
        <w:ind w:left="1489" w:hanging="360"/>
      </w:pPr>
    </w:lvl>
    <w:lvl w:ilvl="1" w:tplc="04090019" w:tentative="1">
      <w:start w:val="1"/>
      <w:numFmt w:val="lowerLetter"/>
      <w:lvlText w:val="%2."/>
      <w:lvlJc w:val="left"/>
      <w:pPr>
        <w:ind w:left="2209" w:hanging="360"/>
      </w:pPr>
    </w:lvl>
    <w:lvl w:ilvl="2" w:tplc="0409001B" w:tentative="1">
      <w:start w:val="1"/>
      <w:numFmt w:val="lowerRoman"/>
      <w:lvlText w:val="%3."/>
      <w:lvlJc w:val="right"/>
      <w:pPr>
        <w:ind w:left="2929" w:hanging="180"/>
      </w:pPr>
    </w:lvl>
    <w:lvl w:ilvl="3" w:tplc="0409000F" w:tentative="1">
      <w:start w:val="1"/>
      <w:numFmt w:val="decimal"/>
      <w:lvlText w:val="%4."/>
      <w:lvlJc w:val="left"/>
      <w:pPr>
        <w:ind w:left="3649" w:hanging="360"/>
      </w:pPr>
    </w:lvl>
    <w:lvl w:ilvl="4" w:tplc="04090019" w:tentative="1">
      <w:start w:val="1"/>
      <w:numFmt w:val="lowerLetter"/>
      <w:lvlText w:val="%5."/>
      <w:lvlJc w:val="left"/>
      <w:pPr>
        <w:ind w:left="4369" w:hanging="360"/>
      </w:pPr>
    </w:lvl>
    <w:lvl w:ilvl="5" w:tplc="0409001B" w:tentative="1">
      <w:start w:val="1"/>
      <w:numFmt w:val="lowerRoman"/>
      <w:lvlText w:val="%6."/>
      <w:lvlJc w:val="right"/>
      <w:pPr>
        <w:ind w:left="5089" w:hanging="180"/>
      </w:pPr>
    </w:lvl>
    <w:lvl w:ilvl="6" w:tplc="0409000F" w:tentative="1">
      <w:start w:val="1"/>
      <w:numFmt w:val="decimal"/>
      <w:lvlText w:val="%7."/>
      <w:lvlJc w:val="left"/>
      <w:pPr>
        <w:ind w:left="5809" w:hanging="360"/>
      </w:pPr>
    </w:lvl>
    <w:lvl w:ilvl="7" w:tplc="04090019" w:tentative="1">
      <w:start w:val="1"/>
      <w:numFmt w:val="lowerLetter"/>
      <w:lvlText w:val="%8."/>
      <w:lvlJc w:val="left"/>
      <w:pPr>
        <w:ind w:left="6529" w:hanging="360"/>
      </w:pPr>
    </w:lvl>
    <w:lvl w:ilvl="8" w:tplc="0409001B" w:tentative="1">
      <w:start w:val="1"/>
      <w:numFmt w:val="lowerRoman"/>
      <w:lvlText w:val="%9."/>
      <w:lvlJc w:val="right"/>
      <w:pPr>
        <w:ind w:left="7249" w:hanging="180"/>
      </w:pPr>
    </w:lvl>
  </w:abstractNum>
  <w:abstractNum w:abstractNumId="22" w15:restartNumberingAfterBreak="0">
    <w:nsid w:val="66841BBF"/>
    <w:multiLevelType w:val="hybridMultilevel"/>
    <w:tmpl w:val="FBD0F06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3"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4"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6FDA5D3D"/>
    <w:multiLevelType w:val="hybridMultilevel"/>
    <w:tmpl w:val="837CAC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355E27"/>
    <w:multiLevelType w:val="hybridMultilevel"/>
    <w:tmpl w:val="4A3C4788"/>
    <w:lvl w:ilvl="0" w:tplc="77961208">
      <w:start w:val="1"/>
      <w:numFmt w:val="decimal"/>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9" w15:restartNumberingAfterBreak="0">
    <w:nsid w:val="7544799F"/>
    <w:multiLevelType w:val="hybridMultilevel"/>
    <w:tmpl w:val="39D06450"/>
    <w:lvl w:ilvl="0" w:tplc="48E84E0A">
      <w:start w:val="1"/>
      <w:numFmt w:val="decimal"/>
      <w:lvlText w:val="Obervation %1:  "/>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83B17"/>
    <w:multiLevelType w:val="hybridMultilevel"/>
    <w:tmpl w:val="6256D7D8"/>
    <w:lvl w:ilvl="0" w:tplc="041D0001">
      <w:start w:val="1"/>
      <w:numFmt w:val="bullet"/>
      <w:lvlText w:val=""/>
      <w:lvlJc w:val="left"/>
      <w:pPr>
        <w:ind w:left="730" w:hanging="360"/>
      </w:pPr>
      <w:rPr>
        <w:rFonts w:ascii="Symbol" w:hAnsi="Symbol" w:hint="default"/>
      </w:rPr>
    </w:lvl>
    <w:lvl w:ilvl="1" w:tplc="041D0003">
      <w:start w:val="1"/>
      <w:numFmt w:val="bullet"/>
      <w:lvlText w:val="o"/>
      <w:lvlJc w:val="left"/>
      <w:pPr>
        <w:ind w:left="1450" w:hanging="360"/>
      </w:pPr>
      <w:rPr>
        <w:rFonts w:ascii="Courier New" w:hAnsi="Courier New" w:cs="Courier New" w:hint="default"/>
      </w:rPr>
    </w:lvl>
    <w:lvl w:ilvl="2" w:tplc="041D0005">
      <w:start w:val="1"/>
      <w:numFmt w:val="bullet"/>
      <w:lvlText w:val=""/>
      <w:lvlJc w:val="left"/>
      <w:pPr>
        <w:ind w:left="2170" w:hanging="360"/>
      </w:pPr>
      <w:rPr>
        <w:rFonts w:ascii="Wingdings" w:hAnsi="Wingdings" w:hint="default"/>
      </w:rPr>
    </w:lvl>
    <w:lvl w:ilvl="3" w:tplc="041D0001">
      <w:start w:val="1"/>
      <w:numFmt w:val="bullet"/>
      <w:lvlText w:val=""/>
      <w:lvlJc w:val="left"/>
      <w:pPr>
        <w:ind w:left="2890" w:hanging="360"/>
      </w:pPr>
      <w:rPr>
        <w:rFonts w:ascii="Symbol" w:hAnsi="Symbol" w:hint="default"/>
      </w:rPr>
    </w:lvl>
    <w:lvl w:ilvl="4" w:tplc="041D0003">
      <w:start w:val="1"/>
      <w:numFmt w:val="bullet"/>
      <w:lvlText w:val="o"/>
      <w:lvlJc w:val="left"/>
      <w:pPr>
        <w:ind w:left="3610" w:hanging="360"/>
      </w:pPr>
      <w:rPr>
        <w:rFonts w:ascii="Courier New" w:hAnsi="Courier New" w:cs="Courier New" w:hint="default"/>
      </w:rPr>
    </w:lvl>
    <w:lvl w:ilvl="5" w:tplc="041D0005">
      <w:start w:val="1"/>
      <w:numFmt w:val="bullet"/>
      <w:lvlText w:val=""/>
      <w:lvlJc w:val="left"/>
      <w:pPr>
        <w:ind w:left="4330" w:hanging="360"/>
      </w:pPr>
      <w:rPr>
        <w:rFonts w:ascii="Wingdings" w:hAnsi="Wingdings" w:hint="default"/>
      </w:rPr>
    </w:lvl>
    <w:lvl w:ilvl="6" w:tplc="041D0001">
      <w:start w:val="1"/>
      <w:numFmt w:val="bullet"/>
      <w:lvlText w:val=""/>
      <w:lvlJc w:val="left"/>
      <w:pPr>
        <w:ind w:left="5050" w:hanging="360"/>
      </w:pPr>
      <w:rPr>
        <w:rFonts w:ascii="Symbol" w:hAnsi="Symbol" w:hint="default"/>
      </w:rPr>
    </w:lvl>
    <w:lvl w:ilvl="7" w:tplc="041D0003">
      <w:start w:val="1"/>
      <w:numFmt w:val="bullet"/>
      <w:lvlText w:val="o"/>
      <w:lvlJc w:val="left"/>
      <w:pPr>
        <w:ind w:left="5770" w:hanging="360"/>
      </w:pPr>
      <w:rPr>
        <w:rFonts w:ascii="Courier New" w:hAnsi="Courier New" w:cs="Courier New" w:hint="default"/>
      </w:rPr>
    </w:lvl>
    <w:lvl w:ilvl="8" w:tplc="041D0005">
      <w:start w:val="1"/>
      <w:numFmt w:val="bullet"/>
      <w:lvlText w:val=""/>
      <w:lvlJc w:val="left"/>
      <w:pPr>
        <w:ind w:left="6490" w:hanging="360"/>
      </w:pPr>
      <w:rPr>
        <w:rFonts w:ascii="Wingdings" w:hAnsi="Wingdings" w:hint="default"/>
      </w:rPr>
    </w:lvl>
  </w:abstractNum>
  <w:num w:numId="1">
    <w:abstractNumId w:val="10"/>
  </w:num>
  <w:num w:numId="2">
    <w:abstractNumId w:val="9"/>
  </w:num>
  <w:num w:numId="3">
    <w:abstractNumId w:val="30"/>
  </w:num>
  <w:num w:numId="4">
    <w:abstractNumId w:val="17"/>
  </w:num>
  <w:num w:numId="5">
    <w:abstractNumId w:val="25"/>
  </w:num>
  <w:num w:numId="6">
    <w:abstractNumId w:val="6"/>
  </w:num>
  <w:num w:numId="7">
    <w:abstractNumId w:val="23"/>
  </w:num>
  <w:num w:numId="8">
    <w:abstractNumId w:val="12"/>
  </w:num>
  <w:num w:numId="9">
    <w:abstractNumId w:val="4"/>
  </w:num>
  <w:num w:numId="10">
    <w:abstractNumId w:val="16"/>
  </w:num>
  <w:num w:numId="11">
    <w:abstractNumId w:val="7"/>
  </w:num>
  <w:num w:numId="12">
    <w:abstractNumId w:val="19"/>
  </w:num>
  <w:num w:numId="13">
    <w:abstractNumId w:val="5"/>
  </w:num>
  <w:num w:numId="14">
    <w:abstractNumId w:val="29"/>
  </w:num>
  <w:num w:numId="15">
    <w:abstractNumId w:val="1"/>
  </w:num>
  <w:num w:numId="16">
    <w:abstractNumId w:val="2"/>
  </w:num>
  <w:num w:numId="17">
    <w:abstractNumId w:val="31"/>
  </w:num>
  <w:num w:numId="18">
    <w:abstractNumId w:val="6"/>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4"/>
  </w:num>
  <w:num w:numId="25">
    <w:abstractNumId w:val="22"/>
  </w:num>
  <w:num w:numId="26">
    <w:abstractNumId w:val="11"/>
    <w:lvlOverride w:ilvl="0"/>
    <w:lvlOverride w:ilvl="1">
      <w:startOverride w:val="1"/>
    </w:lvlOverride>
    <w:lvlOverride w:ilvl="2"/>
    <w:lvlOverride w:ilvl="3"/>
    <w:lvlOverride w:ilvl="4"/>
    <w:lvlOverride w:ilvl="5"/>
    <w:lvlOverride w:ilvl="6"/>
    <w:lvlOverride w:ilvl="7"/>
    <w:lvlOverride w:ilvl="8"/>
  </w:num>
  <w:num w:numId="27">
    <w:abstractNumId w:val="11"/>
  </w:num>
  <w:num w:numId="28">
    <w:abstractNumId w:val="18"/>
  </w:num>
  <w:num w:numId="29">
    <w:abstractNumId w:val="8"/>
  </w:num>
  <w:num w:numId="30">
    <w:abstractNumId w:val="27"/>
  </w:num>
  <w:num w:numId="31">
    <w:abstractNumId w:val="3"/>
  </w:num>
  <w:num w:numId="32">
    <w:abstractNumId w:val="28"/>
  </w:num>
  <w:num w:numId="33">
    <w:abstractNumId w:val="13"/>
  </w:num>
  <w:num w:numId="34">
    <w:abstractNumId w:val="21"/>
  </w:num>
  <w:num w:numId="35">
    <w:abstractNumId w:val="14"/>
  </w:num>
  <w:num w:numId="36">
    <w:abstractNumId w:val="9"/>
  </w:num>
  <w:num w:numId="37">
    <w:abstractNumId w:val="9"/>
  </w:num>
  <w:num w:numId="38">
    <w:abstractNumId w:val="9"/>
  </w:num>
  <w:num w:numId="39">
    <w:abstractNumId w:val="9"/>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8AA"/>
    <w:rsid w:val="00001E27"/>
    <w:rsid w:val="00002893"/>
    <w:rsid w:val="00002AD6"/>
    <w:rsid w:val="00002B3B"/>
    <w:rsid w:val="0000318F"/>
    <w:rsid w:val="00003210"/>
    <w:rsid w:val="000033A3"/>
    <w:rsid w:val="000034D3"/>
    <w:rsid w:val="00003566"/>
    <w:rsid w:val="00003605"/>
    <w:rsid w:val="0000373D"/>
    <w:rsid w:val="00003B9F"/>
    <w:rsid w:val="00003C3F"/>
    <w:rsid w:val="00003C56"/>
    <w:rsid w:val="00003DCD"/>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160"/>
    <w:rsid w:val="000109E6"/>
    <w:rsid w:val="00010ABF"/>
    <w:rsid w:val="00011096"/>
    <w:rsid w:val="0001195E"/>
    <w:rsid w:val="00011A54"/>
    <w:rsid w:val="00011F67"/>
    <w:rsid w:val="0001215C"/>
    <w:rsid w:val="000121C3"/>
    <w:rsid w:val="0001241C"/>
    <w:rsid w:val="00012862"/>
    <w:rsid w:val="000128E6"/>
    <w:rsid w:val="00012A12"/>
    <w:rsid w:val="00013035"/>
    <w:rsid w:val="000134B5"/>
    <w:rsid w:val="00013840"/>
    <w:rsid w:val="00013849"/>
    <w:rsid w:val="000138F4"/>
    <w:rsid w:val="00013985"/>
    <w:rsid w:val="00013A25"/>
    <w:rsid w:val="000142E9"/>
    <w:rsid w:val="0001481B"/>
    <w:rsid w:val="000158ED"/>
    <w:rsid w:val="00015EFB"/>
    <w:rsid w:val="000165E2"/>
    <w:rsid w:val="00017020"/>
    <w:rsid w:val="000172BE"/>
    <w:rsid w:val="00017CDF"/>
    <w:rsid w:val="00017D8A"/>
    <w:rsid w:val="00020A9F"/>
    <w:rsid w:val="00021626"/>
    <w:rsid w:val="000218F5"/>
    <w:rsid w:val="000223B4"/>
    <w:rsid w:val="000226B5"/>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1C3B"/>
    <w:rsid w:val="00032056"/>
    <w:rsid w:val="00032793"/>
    <w:rsid w:val="000328CA"/>
    <w:rsid w:val="00032E40"/>
    <w:rsid w:val="000333ED"/>
    <w:rsid w:val="000334A1"/>
    <w:rsid w:val="0003376B"/>
    <w:rsid w:val="000339ED"/>
    <w:rsid w:val="0003457B"/>
    <w:rsid w:val="00034676"/>
    <w:rsid w:val="000346E6"/>
    <w:rsid w:val="00034974"/>
    <w:rsid w:val="00035238"/>
    <w:rsid w:val="000352B3"/>
    <w:rsid w:val="00036AAB"/>
    <w:rsid w:val="00036C55"/>
    <w:rsid w:val="0003717F"/>
    <w:rsid w:val="00037216"/>
    <w:rsid w:val="00037E2D"/>
    <w:rsid w:val="0004023E"/>
    <w:rsid w:val="0004024B"/>
    <w:rsid w:val="000411EC"/>
    <w:rsid w:val="0004133A"/>
    <w:rsid w:val="00041889"/>
    <w:rsid w:val="00041C57"/>
    <w:rsid w:val="00041D94"/>
    <w:rsid w:val="0004202B"/>
    <w:rsid w:val="0004243B"/>
    <w:rsid w:val="00042720"/>
    <w:rsid w:val="0004290B"/>
    <w:rsid w:val="000434B7"/>
    <w:rsid w:val="000435C9"/>
    <w:rsid w:val="000435E4"/>
    <w:rsid w:val="00043A4E"/>
    <w:rsid w:val="00044077"/>
    <w:rsid w:val="0004483A"/>
    <w:rsid w:val="00044E41"/>
    <w:rsid w:val="00046796"/>
    <w:rsid w:val="000467FD"/>
    <w:rsid w:val="00046AAF"/>
    <w:rsid w:val="00047225"/>
    <w:rsid w:val="00047D14"/>
    <w:rsid w:val="00047E60"/>
    <w:rsid w:val="00047FDE"/>
    <w:rsid w:val="000504E6"/>
    <w:rsid w:val="000514B9"/>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4768"/>
    <w:rsid w:val="00065D0E"/>
    <w:rsid w:val="00065D38"/>
    <w:rsid w:val="00066416"/>
    <w:rsid w:val="00066DEB"/>
    <w:rsid w:val="00067571"/>
    <w:rsid w:val="00067A1E"/>
    <w:rsid w:val="00067DD1"/>
    <w:rsid w:val="00070447"/>
    <w:rsid w:val="000706E7"/>
    <w:rsid w:val="00070992"/>
    <w:rsid w:val="00070C8A"/>
    <w:rsid w:val="00070EF8"/>
    <w:rsid w:val="00070FFE"/>
    <w:rsid w:val="00071192"/>
    <w:rsid w:val="0007139E"/>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C69"/>
    <w:rsid w:val="00076097"/>
    <w:rsid w:val="00076541"/>
    <w:rsid w:val="000772F4"/>
    <w:rsid w:val="000776EB"/>
    <w:rsid w:val="00077AB9"/>
    <w:rsid w:val="00080BB5"/>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513C"/>
    <w:rsid w:val="000959E0"/>
    <w:rsid w:val="00096348"/>
    <w:rsid w:val="00096356"/>
    <w:rsid w:val="000965E5"/>
    <w:rsid w:val="00096753"/>
    <w:rsid w:val="00097138"/>
    <w:rsid w:val="00097C99"/>
    <w:rsid w:val="00097E22"/>
    <w:rsid w:val="000A01FE"/>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C16"/>
    <w:rsid w:val="000D3F5E"/>
    <w:rsid w:val="000D46D8"/>
    <w:rsid w:val="000D4C4E"/>
    <w:rsid w:val="000D5077"/>
    <w:rsid w:val="000D51EC"/>
    <w:rsid w:val="000D5362"/>
    <w:rsid w:val="000D5746"/>
    <w:rsid w:val="000D57EE"/>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2CE"/>
    <w:rsid w:val="000E3765"/>
    <w:rsid w:val="000E41C6"/>
    <w:rsid w:val="000E4791"/>
    <w:rsid w:val="000E48E7"/>
    <w:rsid w:val="000E4919"/>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47F"/>
    <w:rsid w:val="000F15BC"/>
    <w:rsid w:val="000F180A"/>
    <w:rsid w:val="000F19F6"/>
    <w:rsid w:val="000F1C92"/>
    <w:rsid w:val="000F20A7"/>
    <w:rsid w:val="000F275B"/>
    <w:rsid w:val="000F2EEE"/>
    <w:rsid w:val="000F30DF"/>
    <w:rsid w:val="000F3292"/>
    <w:rsid w:val="000F3697"/>
    <w:rsid w:val="000F4C20"/>
    <w:rsid w:val="000F4E03"/>
    <w:rsid w:val="000F4E6E"/>
    <w:rsid w:val="000F5046"/>
    <w:rsid w:val="000F5E83"/>
    <w:rsid w:val="000F6726"/>
    <w:rsid w:val="000F6EAD"/>
    <w:rsid w:val="000F7F58"/>
    <w:rsid w:val="00100128"/>
    <w:rsid w:val="0010080C"/>
    <w:rsid w:val="001009D1"/>
    <w:rsid w:val="00100E3F"/>
    <w:rsid w:val="00100FF3"/>
    <w:rsid w:val="00101586"/>
    <w:rsid w:val="00101C5E"/>
    <w:rsid w:val="001026CA"/>
    <w:rsid w:val="00102D51"/>
    <w:rsid w:val="00103E1D"/>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3D4D"/>
    <w:rsid w:val="001141E3"/>
    <w:rsid w:val="001144DF"/>
    <w:rsid w:val="0011557B"/>
    <w:rsid w:val="001163DF"/>
    <w:rsid w:val="00116711"/>
    <w:rsid w:val="00116806"/>
    <w:rsid w:val="00116EEF"/>
    <w:rsid w:val="00116FA9"/>
    <w:rsid w:val="00117C85"/>
    <w:rsid w:val="00120B13"/>
    <w:rsid w:val="00121019"/>
    <w:rsid w:val="00121082"/>
    <w:rsid w:val="0012208D"/>
    <w:rsid w:val="00122457"/>
    <w:rsid w:val="00123538"/>
    <w:rsid w:val="001235B7"/>
    <w:rsid w:val="00124A01"/>
    <w:rsid w:val="00124D84"/>
    <w:rsid w:val="001250DD"/>
    <w:rsid w:val="00125660"/>
    <w:rsid w:val="00125733"/>
    <w:rsid w:val="00125B70"/>
    <w:rsid w:val="001263AA"/>
    <w:rsid w:val="001272EE"/>
    <w:rsid w:val="00127321"/>
    <w:rsid w:val="00127325"/>
    <w:rsid w:val="001278A5"/>
    <w:rsid w:val="00127CCF"/>
    <w:rsid w:val="00127F8B"/>
    <w:rsid w:val="00127FA5"/>
    <w:rsid w:val="00130779"/>
    <w:rsid w:val="001307A1"/>
    <w:rsid w:val="001308EC"/>
    <w:rsid w:val="001321D3"/>
    <w:rsid w:val="001323B6"/>
    <w:rsid w:val="00132D48"/>
    <w:rsid w:val="0013327A"/>
    <w:rsid w:val="001332BA"/>
    <w:rsid w:val="00133599"/>
    <w:rsid w:val="00133BF7"/>
    <w:rsid w:val="00133DB1"/>
    <w:rsid w:val="0013417D"/>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91"/>
    <w:rsid w:val="00141306"/>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C74"/>
    <w:rsid w:val="00145E06"/>
    <w:rsid w:val="001462E9"/>
    <w:rsid w:val="001463F9"/>
    <w:rsid w:val="00146E32"/>
    <w:rsid w:val="00147CF5"/>
    <w:rsid w:val="00151619"/>
    <w:rsid w:val="00152835"/>
    <w:rsid w:val="00155927"/>
    <w:rsid w:val="001559FA"/>
    <w:rsid w:val="00156374"/>
    <w:rsid w:val="001566C8"/>
    <w:rsid w:val="00156BD8"/>
    <w:rsid w:val="00157285"/>
    <w:rsid w:val="00157478"/>
    <w:rsid w:val="001577D8"/>
    <w:rsid w:val="0015780B"/>
    <w:rsid w:val="00157B75"/>
    <w:rsid w:val="00157E91"/>
    <w:rsid w:val="00157FC3"/>
    <w:rsid w:val="00160279"/>
    <w:rsid w:val="00160739"/>
    <w:rsid w:val="001608E0"/>
    <w:rsid w:val="00160AFF"/>
    <w:rsid w:val="00161394"/>
    <w:rsid w:val="00161D47"/>
    <w:rsid w:val="0016271E"/>
    <w:rsid w:val="00162734"/>
    <w:rsid w:val="00162D7A"/>
    <w:rsid w:val="001636E0"/>
    <w:rsid w:val="00163C5F"/>
    <w:rsid w:val="00163F45"/>
    <w:rsid w:val="00164DAB"/>
    <w:rsid w:val="00165BBB"/>
    <w:rsid w:val="00166073"/>
    <w:rsid w:val="0016613D"/>
    <w:rsid w:val="0016613F"/>
    <w:rsid w:val="00166215"/>
    <w:rsid w:val="00166591"/>
    <w:rsid w:val="001668D3"/>
    <w:rsid w:val="00166971"/>
    <w:rsid w:val="0016759A"/>
    <w:rsid w:val="00167AB7"/>
    <w:rsid w:val="0017068C"/>
    <w:rsid w:val="00170C5C"/>
    <w:rsid w:val="001710C3"/>
    <w:rsid w:val="00171143"/>
    <w:rsid w:val="001715BF"/>
    <w:rsid w:val="001716D6"/>
    <w:rsid w:val="001717C0"/>
    <w:rsid w:val="0017211C"/>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FC1"/>
    <w:rsid w:val="00180634"/>
    <w:rsid w:val="0018136C"/>
    <w:rsid w:val="001815A2"/>
    <w:rsid w:val="00181E81"/>
    <w:rsid w:val="00181FC1"/>
    <w:rsid w:val="00182121"/>
    <w:rsid w:val="00182183"/>
    <w:rsid w:val="001826AB"/>
    <w:rsid w:val="00182C7D"/>
    <w:rsid w:val="00183034"/>
    <w:rsid w:val="001830F7"/>
    <w:rsid w:val="0018359C"/>
    <w:rsid w:val="00183EE6"/>
    <w:rsid w:val="0018588A"/>
    <w:rsid w:val="00185A59"/>
    <w:rsid w:val="00185FA5"/>
    <w:rsid w:val="00186A53"/>
    <w:rsid w:val="00186C70"/>
    <w:rsid w:val="00186E32"/>
    <w:rsid w:val="00187252"/>
    <w:rsid w:val="00187514"/>
    <w:rsid w:val="00187FCE"/>
    <w:rsid w:val="001902B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4F9"/>
    <w:rsid w:val="001A4972"/>
    <w:rsid w:val="001A4E3C"/>
    <w:rsid w:val="001A4E41"/>
    <w:rsid w:val="001A506E"/>
    <w:rsid w:val="001A51DA"/>
    <w:rsid w:val="001A5222"/>
    <w:rsid w:val="001A5531"/>
    <w:rsid w:val="001A5E6D"/>
    <w:rsid w:val="001A6552"/>
    <w:rsid w:val="001A673E"/>
    <w:rsid w:val="001A67B2"/>
    <w:rsid w:val="001A6D82"/>
    <w:rsid w:val="001A7724"/>
    <w:rsid w:val="001A7763"/>
    <w:rsid w:val="001A7D26"/>
    <w:rsid w:val="001B1405"/>
    <w:rsid w:val="001B204D"/>
    <w:rsid w:val="001B2C86"/>
    <w:rsid w:val="001B3964"/>
    <w:rsid w:val="001B396A"/>
    <w:rsid w:val="001B3A1B"/>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AC0"/>
    <w:rsid w:val="001B6BB2"/>
    <w:rsid w:val="001B7116"/>
    <w:rsid w:val="001B7512"/>
    <w:rsid w:val="001B7596"/>
    <w:rsid w:val="001C02D8"/>
    <w:rsid w:val="001C04E3"/>
    <w:rsid w:val="001C0569"/>
    <w:rsid w:val="001C067A"/>
    <w:rsid w:val="001C0C93"/>
    <w:rsid w:val="001C10A1"/>
    <w:rsid w:val="001C115A"/>
    <w:rsid w:val="001C14ED"/>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E19"/>
    <w:rsid w:val="001E05C3"/>
    <w:rsid w:val="001E0AD3"/>
    <w:rsid w:val="001E152E"/>
    <w:rsid w:val="001E1940"/>
    <w:rsid w:val="001E252C"/>
    <w:rsid w:val="001E2815"/>
    <w:rsid w:val="001E2DEE"/>
    <w:rsid w:val="001E304C"/>
    <w:rsid w:val="001E34EC"/>
    <w:rsid w:val="001E36E4"/>
    <w:rsid w:val="001E379D"/>
    <w:rsid w:val="001E3A3C"/>
    <w:rsid w:val="001E4F90"/>
    <w:rsid w:val="001E5036"/>
    <w:rsid w:val="001E558C"/>
    <w:rsid w:val="001E5C23"/>
    <w:rsid w:val="001E5E20"/>
    <w:rsid w:val="001E5F90"/>
    <w:rsid w:val="001E6B04"/>
    <w:rsid w:val="001E6F50"/>
    <w:rsid w:val="001E7504"/>
    <w:rsid w:val="001E76DF"/>
    <w:rsid w:val="001F0199"/>
    <w:rsid w:val="001F1308"/>
    <w:rsid w:val="001F1525"/>
    <w:rsid w:val="001F1663"/>
    <w:rsid w:val="001F1E87"/>
    <w:rsid w:val="001F1EB6"/>
    <w:rsid w:val="001F20D1"/>
    <w:rsid w:val="001F24A4"/>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8DE"/>
    <w:rsid w:val="00200926"/>
    <w:rsid w:val="00200D2C"/>
    <w:rsid w:val="002014C7"/>
    <w:rsid w:val="002019D8"/>
    <w:rsid w:val="00201EC7"/>
    <w:rsid w:val="00201F53"/>
    <w:rsid w:val="00202169"/>
    <w:rsid w:val="00202261"/>
    <w:rsid w:val="00202B61"/>
    <w:rsid w:val="0020340E"/>
    <w:rsid w:val="0020349A"/>
    <w:rsid w:val="002034B4"/>
    <w:rsid w:val="00203A7E"/>
    <w:rsid w:val="00203BD7"/>
    <w:rsid w:val="00204032"/>
    <w:rsid w:val="00204BAD"/>
    <w:rsid w:val="00204D60"/>
    <w:rsid w:val="00205627"/>
    <w:rsid w:val="002056D0"/>
    <w:rsid w:val="0020584F"/>
    <w:rsid w:val="002058F0"/>
    <w:rsid w:val="0020778C"/>
    <w:rsid w:val="00207C7C"/>
    <w:rsid w:val="00210647"/>
    <w:rsid w:val="00210648"/>
    <w:rsid w:val="00210860"/>
    <w:rsid w:val="00210B6A"/>
    <w:rsid w:val="002110E9"/>
    <w:rsid w:val="002111B9"/>
    <w:rsid w:val="002111C2"/>
    <w:rsid w:val="002118BA"/>
    <w:rsid w:val="00212109"/>
    <w:rsid w:val="002126CE"/>
    <w:rsid w:val="002129C5"/>
    <w:rsid w:val="00212CB6"/>
    <w:rsid w:val="00212E37"/>
    <w:rsid w:val="002140FF"/>
    <w:rsid w:val="002158EA"/>
    <w:rsid w:val="00215AFD"/>
    <w:rsid w:val="00215C9E"/>
    <w:rsid w:val="00216422"/>
    <w:rsid w:val="002170AA"/>
    <w:rsid w:val="00217AB8"/>
    <w:rsid w:val="00217D5B"/>
    <w:rsid w:val="00217DF2"/>
    <w:rsid w:val="00220747"/>
    <w:rsid w:val="002207A2"/>
    <w:rsid w:val="00220894"/>
    <w:rsid w:val="00220951"/>
    <w:rsid w:val="00221005"/>
    <w:rsid w:val="00222A34"/>
    <w:rsid w:val="00222D69"/>
    <w:rsid w:val="00222F15"/>
    <w:rsid w:val="00223012"/>
    <w:rsid w:val="00223F29"/>
    <w:rsid w:val="002240F3"/>
    <w:rsid w:val="002241D5"/>
    <w:rsid w:val="00224952"/>
    <w:rsid w:val="00224DD2"/>
    <w:rsid w:val="00225145"/>
    <w:rsid w:val="00225A6A"/>
    <w:rsid w:val="00225AC7"/>
    <w:rsid w:val="00225ACC"/>
    <w:rsid w:val="00225ADB"/>
    <w:rsid w:val="00225E5E"/>
    <w:rsid w:val="00226CEE"/>
    <w:rsid w:val="00227393"/>
    <w:rsid w:val="00227875"/>
    <w:rsid w:val="00227B82"/>
    <w:rsid w:val="00230C01"/>
    <w:rsid w:val="0023107E"/>
    <w:rsid w:val="00231403"/>
    <w:rsid w:val="002317B4"/>
    <w:rsid w:val="00231A3D"/>
    <w:rsid w:val="00231C25"/>
    <w:rsid w:val="00231C6F"/>
    <w:rsid w:val="00231F2D"/>
    <w:rsid w:val="002324AA"/>
    <w:rsid w:val="00232A90"/>
    <w:rsid w:val="00232AE7"/>
    <w:rsid w:val="00233523"/>
    <w:rsid w:val="002335A8"/>
    <w:rsid w:val="00233B5C"/>
    <w:rsid w:val="00234151"/>
    <w:rsid w:val="002341E4"/>
    <w:rsid w:val="0023468E"/>
    <w:rsid w:val="002348AF"/>
    <w:rsid w:val="002348EF"/>
    <w:rsid w:val="00234F8C"/>
    <w:rsid w:val="00235542"/>
    <w:rsid w:val="00235C93"/>
    <w:rsid w:val="00236349"/>
    <w:rsid w:val="0023641F"/>
    <w:rsid w:val="0023698E"/>
    <w:rsid w:val="002369B0"/>
    <w:rsid w:val="00236A36"/>
    <w:rsid w:val="00236AD8"/>
    <w:rsid w:val="00237039"/>
    <w:rsid w:val="002374F5"/>
    <w:rsid w:val="002401F5"/>
    <w:rsid w:val="00240623"/>
    <w:rsid w:val="00240E54"/>
    <w:rsid w:val="0024293A"/>
    <w:rsid w:val="00242B4D"/>
    <w:rsid w:val="00242DDE"/>
    <w:rsid w:val="002439E1"/>
    <w:rsid w:val="00243FCB"/>
    <w:rsid w:val="00244955"/>
    <w:rsid w:val="00244DC3"/>
    <w:rsid w:val="00244E8B"/>
    <w:rsid w:val="002451C5"/>
    <w:rsid w:val="0024522D"/>
    <w:rsid w:val="00245463"/>
    <w:rsid w:val="002456B6"/>
    <w:rsid w:val="00245A0E"/>
    <w:rsid w:val="00245F1F"/>
    <w:rsid w:val="0024663B"/>
    <w:rsid w:val="00247103"/>
    <w:rsid w:val="00247201"/>
    <w:rsid w:val="00250067"/>
    <w:rsid w:val="00250120"/>
    <w:rsid w:val="0025088C"/>
    <w:rsid w:val="0025096B"/>
    <w:rsid w:val="00250E6E"/>
    <w:rsid w:val="002511B6"/>
    <w:rsid w:val="002516DE"/>
    <w:rsid w:val="00251A69"/>
    <w:rsid w:val="00251BE6"/>
    <w:rsid w:val="00251F81"/>
    <w:rsid w:val="00252BE0"/>
    <w:rsid w:val="00253056"/>
    <w:rsid w:val="00253588"/>
    <w:rsid w:val="00253823"/>
    <w:rsid w:val="00253881"/>
    <w:rsid w:val="00253C38"/>
    <w:rsid w:val="002544EF"/>
    <w:rsid w:val="00254659"/>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1D01"/>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A0C"/>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247"/>
    <w:rsid w:val="00275552"/>
    <w:rsid w:val="00275621"/>
    <w:rsid w:val="00275C51"/>
    <w:rsid w:val="00275CB7"/>
    <w:rsid w:val="00275D30"/>
    <w:rsid w:val="00275ED3"/>
    <w:rsid w:val="002768E2"/>
    <w:rsid w:val="00276A35"/>
    <w:rsid w:val="00276F83"/>
    <w:rsid w:val="00277835"/>
    <w:rsid w:val="00277A3A"/>
    <w:rsid w:val="00277D35"/>
    <w:rsid w:val="0028001B"/>
    <w:rsid w:val="00280AB1"/>
    <w:rsid w:val="00281D0E"/>
    <w:rsid w:val="00282117"/>
    <w:rsid w:val="00282AD4"/>
    <w:rsid w:val="00282B00"/>
    <w:rsid w:val="00283D1C"/>
    <w:rsid w:val="002843E2"/>
    <w:rsid w:val="002848AB"/>
    <w:rsid w:val="00284BAE"/>
    <w:rsid w:val="00284C48"/>
    <w:rsid w:val="00284D2D"/>
    <w:rsid w:val="00284E6A"/>
    <w:rsid w:val="00284F0C"/>
    <w:rsid w:val="00285407"/>
    <w:rsid w:val="002859AF"/>
    <w:rsid w:val="00285F84"/>
    <w:rsid w:val="002862FE"/>
    <w:rsid w:val="00286AE7"/>
    <w:rsid w:val="00287243"/>
    <w:rsid w:val="00287917"/>
    <w:rsid w:val="00287D70"/>
    <w:rsid w:val="00287E99"/>
    <w:rsid w:val="00290647"/>
    <w:rsid w:val="00290996"/>
    <w:rsid w:val="00291385"/>
    <w:rsid w:val="00291422"/>
    <w:rsid w:val="00291480"/>
    <w:rsid w:val="0029237F"/>
    <w:rsid w:val="00292715"/>
    <w:rsid w:val="00292E45"/>
    <w:rsid w:val="002937DD"/>
    <w:rsid w:val="00293E57"/>
    <w:rsid w:val="00294234"/>
    <w:rsid w:val="002947D1"/>
    <w:rsid w:val="002948DF"/>
    <w:rsid w:val="00294B55"/>
    <w:rsid w:val="00294D90"/>
    <w:rsid w:val="00294EA2"/>
    <w:rsid w:val="002963DE"/>
    <w:rsid w:val="0029722B"/>
    <w:rsid w:val="00297611"/>
    <w:rsid w:val="002A00CD"/>
    <w:rsid w:val="002A0EC3"/>
    <w:rsid w:val="002A0EE0"/>
    <w:rsid w:val="002A14F5"/>
    <w:rsid w:val="002A1BE0"/>
    <w:rsid w:val="002A1E92"/>
    <w:rsid w:val="002A204D"/>
    <w:rsid w:val="002A2387"/>
    <w:rsid w:val="002A2616"/>
    <w:rsid w:val="002A26E1"/>
    <w:rsid w:val="002A368A"/>
    <w:rsid w:val="002A3CE3"/>
    <w:rsid w:val="002A4065"/>
    <w:rsid w:val="002A4095"/>
    <w:rsid w:val="002A4982"/>
    <w:rsid w:val="002A49EF"/>
    <w:rsid w:val="002A4E10"/>
    <w:rsid w:val="002A59F0"/>
    <w:rsid w:val="002A5C48"/>
    <w:rsid w:val="002A61FE"/>
    <w:rsid w:val="002A6432"/>
    <w:rsid w:val="002A690E"/>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97D"/>
    <w:rsid w:val="002B2E6C"/>
    <w:rsid w:val="002B303A"/>
    <w:rsid w:val="002B3713"/>
    <w:rsid w:val="002B38A7"/>
    <w:rsid w:val="002B4165"/>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E80"/>
    <w:rsid w:val="002C2F6B"/>
    <w:rsid w:val="002C384C"/>
    <w:rsid w:val="002C38B2"/>
    <w:rsid w:val="002C39D0"/>
    <w:rsid w:val="002C3F9C"/>
    <w:rsid w:val="002C493E"/>
    <w:rsid w:val="002C547B"/>
    <w:rsid w:val="002C5AFA"/>
    <w:rsid w:val="002C61B0"/>
    <w:rsid w:val="002C664D"/>
    <w:rsid w:val="002C6B7F"/>
    <w:rsid w:val="002C6D22"/>
    <w:rsid w:val="002C6E82"/>
    <w:rsid w:val="002C79E1"/>
    <w:rsid w:val="002C7C6F"/>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C65"/>
    <w:rsid w:val="002E3CEB"/>
    <w:rsid w:val="002E3E7D"/>
    <w:rsid w:val="002E3F5B"/>
    <w:rsid w:val="002E4179"/>
    <w:rsid w:val="002E4362"/>
    <w:rsid w:val="002E471B"/>
    <w:rsid w:val="002E4F79"/>
    <w:rsid w:val="002E52BA"/>
    <w:rsid w:val="002E5CC7"/>
    <w:rsid w:val="002E61C2"/>
    <w:rsid w:val="002E63D9"/>
    <w:rsid w:val="002E640E"/>
    <w:rsid w:val="002E6686"/>
    <w:rsid w:val="002E66CC"/>
    <w:rsid w:val="002E6A79"/>
    <w:rsid w:val="002E6C35"/>
    <w:rsid w:val="002E7542"/>
    <w:rsid w:val="002E7CC1"/>
    <w:rsid w:val="002E7F89"/>
    <w:rsid w:val="002F0086"/>
    <w:rsid w:val="002F063F"/>
    <w:rsid w:val="002F0C28"/>
    <w:rsid w:val="002F13CA"/>
    <w:rsid w:val="002F1725"/>
    <w:rsid w:val="002F1757"/>
    <w:rsid w:val="002F1B63"/>
    <w:rsid w:val="002F1E28"/>
    <w:rsid w:val="002F201A"/>
    <w:rsid w:val="002F2353"/>
    <w:rsid w:val="002F2498"/>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816"/>
    <w:rsid w:val="00312AAB"/>
    <w:rsid w:val="00312D10"/>
    <w:rsid w:val="003138E7"/>
    <w:rsid w:val="003139C1"/>
    <w:rsid w:val="00315590"/>
    <w:rsid w:val="003155D3"/>
    <w:rsid w:val="00315A45"/>
    <w:rsid w:val="003160A8"/>
    <w:rsid w:val="00316153"/>
    <w:rsid w:val="00316710"/>
    <w:rsid w:val="00316C8E"/>
    <w:rsid w:val="00316F6C"/>
    <w:rsid w:val="00317148"/>
    <w:rsid w:val="003174CC"/>
    <w:rsid w:val="003178DA"/>
    <w:rsid w:val="00317DB8"/>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7EF"/>
    <w:rsid w:val="00325122"/>
    <w:rsid w:val="003252C8"/>
    <w:rsid w:val="00326957"/>
    <w:rsid w:val="00326AE2"/>
    <w:rsid w:val="003270EB"/>
    <w:rsid w:val="00327DC2"/>
    <w:rsid w:val="00327E70"/>
    <w:rsid w:val="003301D4"/>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062"/>
    <w:rsid w:val="0034638C"/>
    <w:rsid w:val="00346F7F"/>
    <w:rsid w:val="00347A77"/>
    <w:rsid w:val="00350108"/>
    <w:rsid w:val="0035018E"/>
    <w:rsid w:val="00350498"/>
    <w:rsid w:val="00350762"/>
    <w:rsid w:val="003507C4"/>
    <w:rsid w:val="003511A3"/>
    <w:rsid w:val="003519A1"/>
    <w:rsid w:val="00352480"/>
    <w:rsid w:val="003529BC"/>
    <w:rsid w:val="00352F3C"/>
    <w:rsid w:val="003530D2"/>
    <w:rsid w:val="0035331A"/>
    <w:rsid w:val="003534E1"/>
    <w:rsid w:val="003538E7"/>
    <w:rsid w:val="00353F27"/>
    <w:rsid w:val="00354004"/>
    <w:rsid w:val="003548D8"/>
    <w:rsid w:val="003554CA"/>
    <w:rsid w:val="00355543"/>
    <w:rsid w:val="003555BB"/>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158"/>
    <w:rsid w:val="00362569"/>
    <w:rsid w:val="0036309E"/>
    <w:rsid w:val="003636CD"/>
    <w:rsid w:val="00364207"/>
    <w:rsid w:val="00364220"/>
    <w:rsid w:val="0036487C"/>
    <w:rsid w:val="00365241"/>
    <w:rsid w:val="00365411"/>
    <w:rsid w:val="003654B1"/>
    <w:rsid w:val="003656B9"/>
    <w:rsid w:val="00365FA2"/>
    <w:rsid w:val="00366205"/>
    <w:rsid w:val="0036647F"/>
    <w:rsid w:val="00366C69"/>
    <w:rsid w:val="00366EA4"/>
    <w:rsid w:val="00367035"/>
    <w:rsid w:val="00367372"/>
    <w:rsid w:val="00367441"/>
    <w:rsid w:val="00367B1D"/>
    <w:rsid w:val="0037094E"/>
    <w:rsid w:val="00370E4F"/>
    <w:rsid w:val="00371215"/>
    <w:rsid w:val="00371FEF"/>
    <w:rsid w:val="00372123"/>
    <w:rsid w:val="00372A81"/>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62EB"/>
    <w:rsid w:val="00376348"/>
    <w:rsid w:val="00376DB5"/>
    <w:rsid w:val="00376DF1"/>
    <w:rsid w:val="003770BB"/>
    <w:rsid w:val="0037771A"/>
    <w:rsid w:val="00377BAB"/>
    <w:rsid w:val="003802DC"/>
    <w:rsid w:val="0038076D"/>
    <w:rsid w:val="00380C40"/>
    <w:rsid w:val="00380DEA"/>
    <w:rsid w:val="00380E4E"/>
    <w:rsid w:val="00380FBF"/>
    <w:rsid w:val="0038133A"/>
    <w:rsid w:val="003818A2"/>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AA7"/>
    <w:rsid w:val="00387D65"/>
    <w:rsid w:val="00390017"/>
    <w:rsid w:val="003901A3"/>
    <w:rsid w:val="0039072F"/>
    <w:rsid w:val="00390DFE"/>
    <w:rsid w:val="00390F5F"/>
    <w:rsid w:val="00390F60"/>
    <w:rsid w:val="00391B88"/>
    <w:rsid w:val="0039281F"/>
    <w:rsid w:val="00392D4C"/>
    <w:rsid w:val="003940CE"/>
    <w:rsid w:val="003942DC"/>
    <w:rsid w:val="003942FE"/>
    <w:rsid w:val="00394A79"/>
    <w:rsid w:val="00394DE3"/>
    <w:rsid w:val="003967ED"/>
    <w:rsid w:val="00396949"/>
    <w:rsid w:val="003970C3"/>
    <w:rsid w:val="003971B8"/>
    <w:rsid w:val="00397A6B"/>
    <w:rsid w:val="00397C19"/>
    <w:rsid w:val="00397C1D"/>
    <w:rsid w:val="003A06AE"/>
    <w:rsid w:val="003A129C"/>
    <w:rsid w:val="003A180F"/>
    <w:rsid w:val="003A18DD"/>
    <w:rsid w:val="003A20C8"/>
    <w:rsid w:val="003A267D"/>
    <w:rsid w:val="003A28C5"/>
    <w:rsid w:val="003A2A6D"/>
    <w:rsid w:val="003A2C29"/>
    <w:rsid w:val="003A2C48"/>
    <w:rsid w:val="003A2EC3"/>
    <w:rsid w:val="003A36F2"/>
    <w:rsid w:val="003A3BC7"/>
    <w:rsid w:val="003A3D39"/>
    <w:rsid w:val="003A3EC7"/>
    <w:rsid w:val="003A40B4"/>
    <w:rsid w:val="003A47C0"/>
    <w:rsid w:val="003A5F31"/>
    <w:rsid w:val="003A6519"/>
    <w:rsid w:val="003A65D6"/>
    <w:rsid w:val="003A6D70"/>
    <w:rsid w:val="003A70A1"/>
    <w:rsid w:val="003A7834"/>
    <w:rsid w:val="003A78FB"/>
    <w:rsid w:val="003A7A2E"/>
    <w:rsid w:val="003B0B5B"/>
    <w:rsid w:val="003B0E79"/>
    <w:rsid w:val="003B11E7"/>
    <w:rsid w:val="003B1882"/>
    <w:rsid w:val="003B19F7"/>
    <w:rsid w:val="003B1F9D"/>
    <w:rsid w:val="003B2085"/>
    <w:rsid w:val="003B2C7E"/>
    <w:rsid w:val="003B3415"/>
    <w:rsid w:val="003B3575"/>
    <w:rsid w:val="003B3AEC"/>
    <w:rsid w:val="003B3CAE"/>
    <w:rsid w:val="003B4224"/>
    <w:rsid w:val="003B4530"/>
    <w:rsid w:val="003B4652"/>
    <w:rsid w:val="003B4989"/>
    <w:rsid w:val="003B4CD1"/>
    <w:rsid w:val="003B50BC"/>
    <w:rsid w:val="003B5144"/>
    <w:rsid w:val="003B52B7"/>
    <w:rsid w:val="003B5D97"/>
    <w:rsid w:val="003B63A4"/>
    <w:rsid w:val="003B68FE"/>
    <w:rsid w:val="003B6A67"/>
    <w:rsid w:val="003B6D7D"/>
    <w:rsid w:val="003B70C3"/>
    <w:rsid w:val="003B7236"/>
    <w:rsid w:val="003B7C88"/>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62FD"/>
    <w:rsid w:val="003C6944"/>
    <w:rsid w:val="003C6B05"/>
    <w:rsid w:val="003C73FA"/>
    <w:rsid w:val="003C75CA"/>
    <w:rsid w:val="003C7678"/>
    <w:rsid w:val="003C7AD7"/>
    <w:rsid w:val="003D087B"/>
    <w:rsid w:val="003D0F24"/>
    <w:rsid w:val="003D0FC3"/>
    <w:rsid w:val="003D1023"/>
    <w:rsid w:val="003D13AD"/>
    <w:rsid w:val="003D17B1"/>
    <w:rsid w:val="003D181A"/>
    <w:rsid w:val="003D1BED"/>
    <w:rsid w:val="003D1DC0"/>
    <w:rsid w:val="003D1DC5"/>
    <w:rsid w:val="003D2037"/>
    <w:rsid w:val="003D2BF9"/>
    <w:rsid w:val="003D2C1D"/>
    <w:rsid w:val="003D2C34"/>
    <w:rsid w:val="003D31EB"/>
    <w:rsid w:val="003D347B"/>
    <w:rsid w:val="003D3980"/>
    <w:rsid w:val="003D3DDD"/>
    <w:rsid w:val="003D537F"/>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D3D"/>
    <w:rsid w:val="003E2976"/>
    <w:rsid w:val="003E2F0B"/>
    <w:rsid w:val="003E2FF2"/>
    <w:rsid w:val="003E3F0C"/>
    <w:rsid w:val="003E4858"/>
    <w:rsid w:val="003E4AC7"/>
    <w:rsid w:val="003E4B19"/>
    <w:rsid w:val="003E5434"/>
    <w:rsid w:val="003E5E62"/>
    <w:rsid w:val="003E6061"/>
    <w:rsid w:val="003E62C4"/>
    <w:rsid w:val="003E6316"/>
    <w:rsid w:val="003E66AE"/>
    <w:rsid w:val="003E6884"/>
    <w:rsid w:val="003E68D5"/>
    <w:rsid w:val="003E6AC5"/>
    <w:rsid w:val="003E6B3E"/>
    <w:rsid w:val="003E6EBA"/>
    <w:rsid w:val="003E7614"/>
    <w:rsid w:val="003E778C"/>
    <w:rsid w:val="003E78D6"/>
    <w:rsid w:val="003E7907"/>
    <w:rsid w:val="003E7975"/>
    <w:rsid w:val="003E7A6A"/>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59D7"/>
    <w:rsid w:val="003F6CD2"/>
    <w:rsid w:val="003F6DE2"/>
    <w:rsid w:val="003F745E"/>
    <w:rsid w:val="003F75CC"/>
    <w:rsid w:val="003F75FB"/>
    <w:rsid w:val="003F788D"/>
    <w:rsid w:val="003F78C0"/>
    <w:rsid w:val="004005A2"/>
    <w:rsid w:val="0040126E"/>
    <w:rsid w:val="00401CC2"/>
    <w:rsid w:val="00401F3B"/>
    <w:rsid w:val="004020D4"/>
    <w:rsid w:val="004020E1"/>
    <w:rsid w:val="004021B6"/>
    <w:rsid w:val="004023F6"/>
    <w:rsid w:val="00402616"/>
    <w:rsid w:val="00402811"/>
    <w:rsid w:val="0040301A"/>
    <w:rsid w:val="00403106"/>
    <w:rsid w:val="00403A2F"/>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78E"/>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610"/>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641"/>
    <w:rsid w:val="004247E8"/>
    <w:rsid w:val="00424932"/>
    <w:rsid w:val="00424AA1"/>
    <w:rsid w:val="00424D48"/>
    <w:rsid w:val="0042527F"/>
    <w:rsid w:val="00425C0B"/>
    <w:rsid w:val="00425C6D"/>
    <w:rsid w:val="00426266"/>
    <w:rsid w:val="00426880"/>
    <w:rsid w:val="00426CF7"/>
    <w:rsid w:val="00427A7B"/>
    <w:rsid w:val="00427D2C"/>
    <w:rsid w:val="004309F5"/>
    <w:rsid w:val="00430A2D"/>
    <w:rsid w:val="0043112A"/>
    <w:rsid w:val="00431505"/>
    <w:rsid w:val="00431AF0"/>
    <w:rsid w:val="00431DA9"/>
    <w:rsid w:val="0043213A"/>
    <w:rsid w:val="004330F4"/>
    <w:rsid w:val="004332EC"/>
    <w:rsid w:val="00433590"/>
    <w:rsid w:val="0043366C"/>
    <w:rsid w:val="0043393D"/>
    <w:rsid w:val="00433AF9"/>
    <w:rsid w:val="004344C7"/>
    <w:rsid w:val="00434806"/>
    <w:rsid w:val="00435274"/>
    <w:rsid w:val="004352AD"/>
    <w:rsid w:val="004352F6"/>
    <w:rsid w:val="0043545D"/>
    <w:rsid w:val="00435FE2"/>
    <w:rsid w:val="004360C5"/>
    <w:rsid w:val="0043676D"/>
    <w:rsid w:val="00436C7A"/>
    <w:rsid w:val="00436E08"/>
    <w:rsid w:val="00436E2F"/>
    <w:rsid w:val="00436EAB"/>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F54"/>
    <w:rsid w:val="00450113"/>
    <w:rsid w:val="00450B7E"/>
    <w:rsid w:val="0045136B"/>
    <w:rsid w:val="004515F1"/>
    <w:rsid w:val="00451C7E"/>
    <w:rsid w:val="0045224E"/>
    <w:rsid w:val="004527E3"/>
    <w:rsid w:val="0045378A"/>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ECE"/>
    <w:rsid w:val="004651A0"/>
    <w:rsid w:val="004663F5"/>
    <w:rsid w:val="00466532"/>
    <w:rsid w:val="0046686D"/>
    <w:rsid w:val="00466BFE"/>
    <w:rsid w:val="00467468"/>
    <w:rsid w:val="00467488"/>
    <w:rsid w:val="00467741"/>
    <w:rsid w:val="00467E76"/>
    <w:rsid w:val="004700A6"/>
    <w:rsid w:val="0047069F"/>
    <w:rsid w:val="0047083E"/>
    <w:rsid w:val="00470E59"/>
    <w:rsid w:val="00470EB5"/>
    <w:rsid w:val="004711D4"/>
    <w:rsid w:val="004719AB"/>
    <w:rsid w:val="00471DE2"/>
    <w:rsid w:val="00471E5D"/>
    <w:rsid w:val="0047256D"/>
    <w:rsid w:val="0047286B"/>
    <w:rsid w:val="0047286D"/>
    <w:rsid w:val="00472B12"/>
    <w:rsid w:val="00472E27"/>
    <w:rsid w:val="00472E84"/>
    <w:rsid w:val="0047378C"/>
    <w:rsid w:val="00473881"/>
    <w:rsid w:val="004738F5"/>
    <w:rsid w:val="00474063"/>
    <w:rsid w:val="004741BD"/>
    <w:rsid w:val="00474220"/>
    <w:rsid w:val="00474A57"/>
    <w:rsid w:val="00474C39"/>
    <w:rsid w:val="004752D3"/>
    <w:rsid w:val="004754E1"/>
    <w:rsid w:val="00475CE0"/>
    <w:rsid w:val="0047658C"/>
    <w:rsid w:val="00476827"/>
    <w:rsid w:val="00476BA1"/>
    <w:rsid w:val="00476BD4"/>
    <w:rsid w:val="00476C70"/>
    <w:rsid w:val="00477BCD"/>
    <w:rsid w:val="00477C35"/>
    <w:rsid w:val="00480988"/>
    <w:rsid w:val="00480E05"/>
    <w:rsid w:val="00480F2F"/>
    <w:rsid w:val="00481504"/>
    <w:rsid w:val="00481AC3"/>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6D5"/>
    <w:rsid w:val="00485970"/>
    <w:rsid w:val="00485C0D"/>
    <w:rsid w:val="004860DA"/>
    <w:rsid w:val="00486575"/>
    <w:rsid w:val="0048658A"/>
    <w:rsid w:val="004866D0"/>
    <w:rsid w:val="004866D5"/>
    <w:rsid w:val="004866D7"/>
    <w:rsid w:val="00486D5D"/>
    <w:rsid w:val="00486D87"/>
    <w:rsid w:val="00487ACD"/>
    <w:rsid w:val="004902CB"/>
    <w:rsid w:val="004903DD"/>
    <w:rsid w:val="00491A0E"/>
    <w:rsid w:val="00491CD4"/>
    <w:rsid w:val="00492613"/>
    <w:rsid w:val="00493063"/>
    <w:rsid w:val="0049367C"/>
    <w:rsid w:val="00493951"/>
    <w:rsid w:val="00493958"/>
    <w:rsid w:val="00494242"/>
    <w:rsid w:val="00494E8E"/>
    <w:rsid w:val="00495204"/>
    <w:rsid w:val="004955BC"/>
    <w:rsid w:val="00495C9E"/>
    <w:rsid w:val="00495D63"/>
    <w:rsid w:val="0049648F"/>
    <w:rsid w:val="00496606"/>
    <w:rsid w:val="004967EF"/>
    <w:rsid w:val="00496F05"/>
    <w:rsid w:val="00497370"/>
    <w:rsid w:val="00497C5D"/>
    <w:rsid w:val="004A0590"/>
    <w:rsid w:val="004A0765"/>
    <w:rsid w:val="004A08ED"/>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D18"/>
    <w:rsid w:val="004B3ECF"/>
    <w:rsid w:val="004B3F99"/>
    <w:rsid w:val="004B4164"/>
    <w:rsid w:val="004B423E"/>
    <w:rsid w:val="004B428A"/>
    <w:rsid w:val="004B43D3"/>
    <w:rsid w:val="004B49E6"/>
    <w:rsid w:val="004B4D69"/>
    <w:rsid w:val="004B4F89"/>
    <w:rsid w:val="004B5832"/>
    <w:rsid w:val="004B61BF"/>
    <w:rsid w:val="004B7CAA"/>
    <w:rsid w:val="004C01A8"/>
    <w:rsid w:val="004C0241"/>
    <w:rsid w:val="004C0C74"/>
    <w:rsid w:val="004C12F4"/>
    <w:rsid w:val="004C12F6"/>
    <w:rsid w:val="004C1840"/>
    <w:rsid w:val="004C19A3"/>
    <w:rsid w:val="004C24C9"/>
    <w:rsid w:val="004C2ADA"/>
    <w:rsid w:val="004C31B6"/>
    <w:rsid w:val="004C32D7"/>
    <w:rsid w:val="004C3D76"/>
    <w:rsid w:val="004C5319"/>
    <w:rsid w:val="004C5BCD"/>
    <w:rsid w:val="004C5EDE"/>
    <w:rsid w:val="004C621F"/>
    <w:rsid w:val="004C6481"/>
    <w:rsid w:val="004C6566"/>
    <w:rsid w:val="004C6E43"/>
    <w:rsid w:val="004C6FBE"/>
    <w:rsid w:val="004C76F8"/>
    <w:rsid w:val="004C7948"/>
    <w:rsid w:val="004C7987"/>
    <w:rsid w:val="004C7A78"/>
    <w:rsid w:val="004C7BB8"/>
    <w:rsid w:val="004C7C60"/>
    <w:rsid w:val="004D0418"/>
    <w:rsid w:val="004D08AF"/>
    <w:rsid w:val="004D0DFE"/>
    <w:rsid w:val="004D1D91"/>
    <w:rsid w:val="004D22C3"/>
    <w:rsid w:val="004D38A7"/>
    <w:rsid w:val="004D3BB4"/>
    <w:rsid w:val="004D3C9B"/>
    <w:rsid w:val="004D419A"/>
    <w:rsid w:val="004D4DAC"/>
    <w:rsid w:val="004D6A2A"/>
    <w:rsid w:val="004D6F4D"/>
    <w:rsid w:val="004D6F95"/>
    <w:rsid w:val="004D703E"/>
    <w:rsid w:val="004D7093"/>
    <w:rsid w:val="004D72FE"/>
    <w:rsid w:val="004D7CF7"/>
    <w:rsid w:val="004D7E91"/>
    <w:rsid w:val="004E003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77"/>
    <w:rsid w:val="004E4EF5"/>
    <w:rsid w:val="004E58E9"/>
    <w:rsid w:val="004E5EFC"/>
    <w:rsid w:val="004E726B"/>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7E1"/>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34"/>
    <w:rsid w:val="005143C9"/>
    <w:rsid w:val="00514969"/>
    <w:rsid w:val="00514B2D"/>
    <w:rsid w:val="00515020"/>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C26"/>
    <w:rsid w:val="00520DB3"/>
    <w:rsid w:val="00521043"/>
    <w:rsid w:val="005218B6"/>
    <w:rsid w:val="00522589"/>
    <w:rsid w:val="005234F5"/>
    <w:rsid w:val="005237E8"/>
    <w:rsid w:val="00523838"/>
    <w:rsid w:val="00523F04"/>
    <w:rsid w:val="00524545"/>
    <w:rsid w:val="005249E2"/>
    <w:rsid w:val="005255BF"/>
    <w:rsid w:val="005257B5"/>
    <w:rsid w:val="005257DE"/>
    <w:rsid w:val="00525861"/>
    <w:rsid w:val="00525F0A"/>
    <w:rsid w:val="005262B7"/>
    <w:rsid w:val="005269A8"/>
    <w:rsid w:val="00526C02"/>
    <w:rsid w:val="00526E2C"/>
    <w:rsid w:val="00527098"/>
    <w:rsid w:val="00527200"/>
    <w:rsid w:val="00530157"/>
    <w:rsid w:val="00530423"/>
    <w:rsid w:val="00530D9C"/>
    <w:rsid w:val="00531840"/>
    <w:rsid w:val="00531D8D"/>
    <w:rsid w:val="00531D97"/>
    <w:rsid w:val="00531EBE"/>
    <w:rsid w:val="005320C3"/>
    <w:rsid w:val="005320F8"/>
    <w:rsid w:val="00532F8B"/>
    <w:rsid w:val="00532FF0"/>
    <w:rsid w:val="00533737"/>
    <w:rsid w:val="00533941"/>
    <w:rsid w:val="00533B31"/>
    <w:rsid w:val="00533D4D"/>
    <w:rsid w:val="0053408C"/>
    <w:rsid w:val="0053433E"/>
    <w:rsid w:val="00535B79"/>
    <w:rsid w:val="00535CF5"/>
    <w:rsid w:val="00535D7C"/>
    <w:rsid w:val="00535EF1"/>
    <w:rsid w:val="00536579"/>
    <w:rsid w:val="00536C1E"/>
    <w:rsid w:val="00537816"/>
    <w:rsid w:val="0054015C"/>
    <w:rsid w:val="005409F7"/>
    <w:rsid w:val="00541411"/>
    <w:rsid w:val="00541D23"/>
    <w:rsid w:val="0054259F"/>
    <w:rsid w:val="005429D9"/>
    <w:rsid w:val="005429E1"/>
    <w:rsid w:val="00543070"/>
    <w:rsid w:val="0054343A"/>
    <w:rsid w:val="00543974"/>
    <w:rsid w:val="00543AE1"/>
    <w:rsid w:val="00543EBF"/>
    <w:rsid w:val="00544ABA"/>
    <w:rsid w:val="005453B0"/>
    <w:rsid w:val="00545574"/>
    <w:rsid w:val="0054593A"/>
    <w:rsid w:val="00545AA6"/>
    <w:rsid w:val="00545D32"/>
    <w:rsid w:val="00546200"/>
    <w:rsid w:val="005467FB"/>
    <w:rsid w:val="00546AE9"/>
    <w:rsid w:val="00546F15"/>
    <w:rsid w:val="005470BB"/>
    <w:rsid w:val="0054716D"/>
    <w:rsid w:val="00547989"/>
    <w:rsid w:val="00550620"/>
    <w:rsid w:val="00551320"/>
    <w:rsid w:val="005518A4"/>
    <w:rsid w:val="00551E6C"/>
    <w:rsid w:val="005523FA"/>
    <w:rsid w:val="00552768"/>
    <w:rsid w:val="005527DB"/>
    <w:rsid w:val="00552935"/>
    <w:rsid w:val="00553127"/>
    <w:rsid w:val="0055370D"/>
    <w:rsid w:val="005537D5"/>
    <w:rsid w:val="00553819"/>
    <w:rsid w:val="0055388C"/>
    <w:rsid w:val="00554291"/>
    <w:rsid w:val="00554BE7"/>
    <w:rsid w:val="005550DE"/>
    <w:rsid w:val="00556B33"/>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2B4C"/>
    <w:rsid w:val="00562BAD"/>
    <w:rsid w:val="0056345E"/>
    <w:rsid w:val="005638D4"/>
    <w:rsid w:val="00564A45"/>
    <w:rsid w:val="00564C9C"/>
    <w:rsid w:val="00564F3E"/>
    <w:rsid w:val="005651D3"/>
    <w:rsid w:val="005656ED"/>
    <w:rsid w:val="00566544"/>
    <w:rsid w:val="00566608"/>
    <w:rsid w:val="00566756"/>
    <w:rsid w:val="00566C83"/>
    <w:rsid w:val="00566D88"/>
    <w:rsid w:val="0056751C"/>
    <w:rsid w:val="00567DE7"/>
    <w:rsid w:val="00567E70"/>
    <w:rsid w:val="005700FE"/>
    <w:rsid w:val="00570E24"/>
    <w:rsid w:val="00570F9E"/>
    <w:rsid w:val="00571512"/>
    <w:rsid w:val="0057186A"/>
    <w:rsid w:val="0057248A"/>
    <w:rsid w:val="00572760"/>
    <w:rsid w:val="00572882"/>
    <w:rsid w:val="00572CD3"/>
    <w:rsid w:val="00572DA9"/>
    <w:rsid w:val="00572FC5"/>
    <w:rsid w:val="00573087"/>
    <w:rsid w:val="0057394B"/>
    <w:rsid w:val="0057408B"/>
    <w:rsid w:val="005740E8"/>
    <w:rsid w:val="005743DE"/>
    <w:rsid w:val="00574F3F"/>
    <w:rsid w:val="00574FE0"/>
    <w:rsid w:val="00575507"/>
    <w:rsid w:val="0057562C"/>
    <w:rsid w:val="005759F6"/>
    <w:rsid w:val="005759FD"/>
    <w:rsid w:val="00575DDC"/>
    <w:rsid w:val="00575E3E"/>
    <w:rsid w:val="00575E93"/>
    <w:rsid w:val="00575FFB"/>
    <w:rsid w:val="00576418"/>
    <w:rsid w:val="005765F5"/>
    <w:rsid w:val="00576778"/>
    <w:rsid w:val="00576B41"/>
    <w:rsid w:val="00576D6C"/>
    <w:rsid w:val="0057713C"/>
    <w:rsid w:val="00577580"/>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CB4"/>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1C"/>
    <w:rsid w:val="00593957"/>
    <w:rsid w:val="005939D5"/>
    <w:rsid w:val="00593AB9"/>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2A"/>
    <w:rsid w:val="005A10B9"/>
    <w:rsid w:val="005A11EA"/>
    <w:rsid w:val="005A12D4"/>
    <w:rsid w:val="005A19F0"/>
    <w:rsid w:val="005A1DA8"/>
    <w:rsid w:val="005A269F"/>
    <w:rsid w:val="005A26D9"/>
    <w:rsid w:val="005A305E"/>
    <w:rsid w:val="005A30BB"/>
    <w:rsid w:val="005A3887"/>
    <w:rsid w:val="005A3BF2"/>
    <w:rsid w:val="005A4255"/>
    <w:rsid w:val="005A4824"/>
    <w:rsid w:val="005A4E45"/>
    <w:rsid w:val="005A4E81"/>
    <w:rsid w:val="005A5910"/>
    <w:rsid w:val="005A5950"/>
    <w:rsid w:val="005A5C26"/>
    <w:rsid w:val="005A5D15"/>
    <w:rsid w:val="005A6227"/>
    <w:rsid w:val="005A6404"/>
    <w:rsid w:val="005A65C6"/>
    <w:rsid w:val="005A669D"/>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D"/>
    <w:rsid w:val="005C72BE"/>
    <w:rsid w:val="005C7C75"/>
    <w:rsid w:val="005C7D03"/>
    <w:rsid w:val="005C7F9C"/>
    <w:rsid w:val="005D0E4F"/>
    <w:rsid w:val="005D14D0"/>
    <w:rsid w:val="005D15D0"/>
    <w:rsid w:val="005D1E32"/>
    <w:rsid w:val="005D206B"/>
    <w:rsid w:val="005D22B7"/>
    <w:rsid w:val="005D27E7"/>
    <w:rsid w:val="005D2BDE"/>
    <w:rsid w:val="005D3B60"/>
    <w:rsid w:val="005D3D76"/>
    <w:rsid w:val="005D3F19"/>
    <w:rsid w:val="005D425F"/>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811"/>
    <w:rsid w:val="005F0A43"/>
    <w:rsid w:val="005F2273"/>
    <w:rsid w:val="005F2479"/>
    <w:rsid w:val="005F2648"/>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971"/>
    <w:rsid w:val="00600F95"/>
    <w:rsid w:val="00601213"/>
    <w:rsid w:val="00601839"/>
    <w:rsid w:val="00601DA6"/>
    <w:rsid w:val="006023C8"/>
    <w:rsid w:val="00602759"/>
    <w:rsid w:val="0060277A"/>
    <w:rsid w:val="00602B7C"/>
    <w:rsid w:val="006031FA"/>
    <w:rsid w:val="00603312"/>
    <w:rsid w:val="0060389C"/>
    <w:rsid w:val="006039C9"/>
    <w:rsid w:val="00604278"/>
    <w:rsid w:val="00604668"/>
    <w:rsid w:val="00604923"/>
    <w:rsid w:val="00604DC7"/>
    <w:rsid w:val="00604E47"/>
    <w:rsid w:val="0060508A"/>
    <w:rsid w:val="00605441"/>
    <w:rsid w:val="0060690F"/>
    <w:rsid w:val="00606970"/>
    <w:rsid w:val="00606A20"/>
    <w:rsid w:val="00606B2B"/>
    <w:rsid w:val="00606EE9"/>
    <w:rsid w:val="006072C6"/>
    <w:rsid w:val="0060748B"/>
    <w:rsid w:val="00607A2E"/>
    <w:rsid w:val="00607A99"/>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0E2F"/>
    <w:rsid w:val="006213AD"/>
    <w:rsid w:val="0062145A"/>
    <w:rsid w:val="00621711"/>
    <w:rsid w:val="00621E18"/>
    <w:rsid w:val="00621F53"/>
    <w:rsid w:val="00622E2A"/>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54D6"/>
    <w:rsid w:val="00626003"/>
    <w:rsid w:val="0062609F"/>
    <w:rsid w:val="0062660B"/>
    <w:rsid w:val="00626A64"/>
    <w:rsid w:val="00626AD1"/>
    <w:rsid w:val="00627D3D"/>
    <w:rsid w:val="006304BC"/>
    <w:rsid w:val="006307EA"/>
    <w:rsid w:val="00630DCE"/>
    <w:rsid w:val="0063120A"/>
    <w:rsid w:val="0063150B"/>
    <w:rsid w:val="00631585"/>
    <w:rsid w:val="0063158E"/>
    <w:rsid w:val="006315E2"/>
    <w:rsid w:val="00631708"/>
    <w:rsid w:val="006318C9"/>
    <w:rsid w:val="006320CC"/>
    <w:rsid w:val="0063275E"/>
    <w:rsid w:val="006327F1"/>
    <w:rsid w:val="00632C8E"/>
    <w:rsid w:val="00632CC2"/>
    <w:rsid w:val="00633149"/>
    <w:rsid w:val="0063391D"/>
    <w:rsid w:val="00633C46"/>
    <w:rsid w:val="006340AA"/>
    <w:rsid w:val="00634ACF"/>
    <w:rsid w:val="00634D1F"/>
    <w:rsid w:val="00634E6D"/>
    <w:rsid w:val="00635035"/>
    <w:rsid w:val="0063580D"/>
    <w:rsid w:val="00635824"/>
    <w:rsid w:val="00635A32"/>
    <w:rsid w:val="00635AFD"/>
    <w:rsid w:val="00635CAE"/>
    <w:rsid w:val="00635ED7"/>
    <w:rsid w:val="006360F6"/>
    <w:rsid w:val="00636943"/>
    <w:rsid w:val="00637240"/>
    <w:rsid w:val="006406F5"/>
    <w:rsid w:val="00640F35"/>
    <w:rsid w:val="00641256"/>
    <w:rsid w:val="006414A1"/>
    <w:rsid w:val="00642179"/>
    <w:rsid w:val="00642CA7"/>
    <w:rsid w:val="006435FF"/>
    <w:rsid w:val="00643639"/>
    <w:rsid w:val="00643660"/>
    <w:rsid w:val="00643E1D"/>
    <w:rsid w:val="0064467B"/>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A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0977"/>
    <w:rsid w:val="006618CC"/>
    <w:rsid w:val="00661AAA"/>
    <w:rsid w:val="00662111"/>
    <w:rsid w:val="00662118"/>
    <w:rsid w:val="00662681"/>
    <w:rsid w:val="00662DF4"/>
    <w:rsid w:val="006638AD"/>
    <w:rsid w:val="00663DE4"/>
    <w:rsid w:val="00663ECA"/>
    <w:rsid w:val="0066609E"/>
    <w:rsid w:val="00667020"/>
    <w:rsid w:val="0066732C"/>
    <w:rsid w:val="006679F5"/>
    <w:rsid w:val="00667B77"/>
    <w:rsid w:val="006708BD"/>
    <w:rsid w:val="00671026"/>
    <w:rsid w:val="0067143D"/>
    <w:rsid w:val="006716DA"/>
    <w:rsid w:val="00671965"/>
    <w:rsid w:val="00671E11"/>
    <w:rsid w:val="0067268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2"/>
    <w:rsid w:val="0068407E"/>
    <w:rsid w:val="0068436C"/>
    <w:rsid w:val="00684FDE"/>
    <w:rsid w:val="006851ED"/>
    <w:rsid w:val="0068545E"/>
    <w:rsid w:val="00685D4C"/>
    <w:rsid w:val="00685FD4"/>
    <w:rsid w:val="0068602B"/>
    <w:rsid w:val="00686200"/>
    <w:rsid w:val="00686212"/>
    <w:rsid w:val="00686612"/>
    <w:rsid w:val="0068661E"/>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EE"/>
    <w:rsid w:val="00693E1F"/>
    <w:rsid w:val="00693ECB"/>
    <w:rsid w:val="00694761"/>
    <w:rsid w:val="00694797"/>
    <w:rsid w:val="006948D3"/>
    <w:rsid w:val="0069525D"/>
    <w:rsid w:val="006952E2"/>
    <w:rsid w:val="006954D8"/>
    <w:rsid w:val="00695887"/>
    <w:rsid w:val="00695903"/>
    <w:rsid w:val="006960D7"/>
    <w:rsid w:val="006962DF"/>
    <w:rsid w:val="00697733"/>
    <w:rsid w:val="00697C63"/>
    <w:rsid w:val="006A0018"/>
    <w:rsid w:val="006A0F70"/>
    <w:rsid w:val="006A11A1"/>
    <w:rsid w:val="006A254E"/>
    <w:rsid w:val="006A293A"/>
    <w:rsid w:val="006A2C30"/>
    <w:rsid w:val="006A301C"/>
    <w:rsid w:val="006A301E"/>
    <w:rsid w:val="006A3895"/>
    <w:rsid w:val="006A3E2B"/>
    <w:rsid w:val="006A3F39"/>
    <w:rsid w:val="006A4833"/>
    <w:rsid w:val="006A4C68"/>
    <w:rsid w:val="006A5BD3"/>
    <w:rsid w:val="006A6242"/>
    <w:rsid w:val="006A62EF"/>
    <w:rsid w:val="006A6A46"/>
    <w:rsid w:val="006A6E17"/>
    <w:rsid w:val="006A7CB8"/>
    <w:rsid w:val="006B009E"/>
    <w:rsid w:val="006B0BFD"/>
    <w:rsid w:val="006B0C53"/>
    <w:rsid w:val="006B0D15"/>
    <w:rsid w:val="006B120D"/>
    <w:rsid w:val="006B1229"/>
    <w:rsid w:val="006B15F0"/>
    <w:rsid w:val="006B17E7"/>
    <w:rsid w:val="006B19E8"/>
    <w:rsid w:val="006B1A8A"/>
    <w:rsid w:val="006B1B11"/>
    <w:rsid w:val="006B1DEE"/>
    <w:rsid w:val="006B1F4B"/>
    <w:rsid w:val="006B1FD5"/>
    <w:rsid w:val="006B2538"/>
    <w:rsid w:val="006B2766"/>
    <w:rsid w:val="006B2B59"/>
    <w:rsid w:val="006B393E"/>
    <w:rsid w:val="006B42B5"/>
    <w:rsid w:val="006B4CBA"/>
    <w:rsid w:val="006B4E72"/>
    <w:rsid w:val="006B555A"/>
    <w:rsid w:val="006B5D14"/>
    <w:rsid w:val="006B600A"/>
    <w:rsid w:val="006B6635"/>
    <w:rsid w:val="006B6D39"/>
    <w:rsid w:val="006B78FD"/>
    <w:rsid w:val="006B7CA9"/>
    <w:rsid w:val="006B7D22"/>
    <w:rsid w:val="006B7D2C"/>
    <w:rsid w:val="006C1019"/>
    <w:rsid w:val="006C202C"/>
    <w:rsid w:val="006C2A71"/>
    <w:rsid w:val="006C2BB5"/>
    <w:rsid w:val="006C2BEE"/>
    <w:rsid w:val="006C2C37"/>
    <w:rsid w:val="006C2C40"/>
    <w:rsid w:val="006C3AD8"/>
    <w:rsid w:val="006C3C89"/>
    <w:rsid w:val="006C3ED9"/>
    <w:rsid w:val="006C4516"/>
    <w:rsid w:val="006C455E"/>
    <w:rsid w:val="006C46AD"/>
    <w:rsid w:val="006C4B7E"/>
    <w:rsid w:val="006C507B"/>
    <w:rsid w:val="006C55A8"/>
    <w:rsid w:val="006C587C"/>
    <w:rsid w:val="006C5958"/>
    <w:rsid w:val="006C5B4F"/>
    <w:rsid w:val="006C643C"/>
    <w:rsid w:val="006C6E3A"/>
    <w:rsid w:val="006C6FD7"/>
    <w:rsid w:val="006C7AE3"/>
    <w:rsid w:val="006D00DB"/>
    <w:rsid w:val="006D01BF"/>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339"/>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D9E"/>
    <w:rsid w:val="006D7EB0"/>
    <w:rsid w:val="006E0138"/>
    <w:rsid w:val="006E06C4"/>
    <w:rsid w:val="006E0BB0"/>
    <w:rsid w:val="006E0D34"/>
    <w:rsid w:val="006E12C3"/>
    <w:rsid w:val="006E2529"/>
    <w:rsid w:val="006E2B39"/>
    <w:rsid w:val="006E2E36"/>
    <w:rsid w:val="006E35C7"/>
    <w:rsid w:val="006E376A"/>
    <w:rsid w:val="006E38DA"/>
    <w:rsid w:val="006E45F3"/>
    <w:rsid w:val="006E4A2F"/>
    <w:rsid w:val="006E4ED4"/>
    <w:rsid w:val="006E5432"/>
    <w:rsid w:val="006E5A6C"/>
    <w:rsid w:val="006E5AA5"/>
    <w:rsid w:val="006E5AC0"/>
    <w:rsid w:val="006E5ADC"/>
    <w:rsid w:val="006E5B94"/>
    <w:rsid w:val="006E5E19"/>
    <w:rsid w:val="006E61C3"/>
    <w:rsid w:val="006E696F"/>
    <w:rsid w:val="006E6D6E"/>
    <w:rsid w:val="006E756F"/>
    <w:rsid w:val="006E799D"/>
    <w:rsid w:val="006E7B4E"/>
    <w:rsid w:val="006F0016"/>
    <w:rsid w:val="006F0338"/>
    <w:rsid w:val="006F0593"/>
    <w:rsid w:val="006F07B5"/>
    <w:rsid w:val="006F1064"/>
    <w:rsid w:val="006F1749"/>
    <w:rsid w:val="006F1E7D"/>
    <w:rsid w:val="006F1EB7"/>
    <w:rsid w:val="006F2AEA"/>
    <w:rsid w:val="006F2DFB"/>
    <w:rsid w:val="006F375C"/>
    <w:rsid w:val="006F3DB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22D"/>
    <w:rsid w:val="007109C2"/>
    <w:rsid w:val="00711223"/>
    <w:rsid w:val="00711340"/>
    <w:rsid w:val="007116DE"/>
    <w:rsid w:val="00711721"/>
    <w:rsid w:val="0071196D"/>
    <w:rsid w:val="00711BC6"/>
    <w:rsid w:val="00712723"/>
    <w:rsid w:val="00712A5F"/>
    <w:rsid w:val="00712C42"/>
    <w:rsid w:val="00713DE4"/>
    <w:rsid w:val="007142D5"/>
    <w:rsid w:val="00714C47"/>
    <w:rsid w:val="007156D9"/>
    <w:rsid w:val="00715B9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275"/>
    <w:rsid w:val="00725348"/>
    <w:rsid w:val="0072558F"/>
    <w:rsid w:val="00726036"/>
    <w:rsid w:val="00726279"/>
    <w:rsid w:val="0072642C"/>
    <w:rsid w:val="00726578"/>
    <w:rsid w:val="00726A9B"/>
    <w:rsid w:val="00726CB9"/>
    <w:rsid w:val="00727530"/>
    <w:rsid w:val="00730D37"/>
    <w:rsid w:val="00731005"/>
    <w:rsid w:val="00731367"/>
    <w:rsid w:val="0073178C"/>
    <w:rsid w:val="00731E7C"/>
    <w:rsid w:val="007329EF"/>
    <w:rsid w:val="00732A96"/>
    <w:rsid w:val="00732C4A"/>
    <w:rsid w:val="00732DDB"/>
    <w:rsid w:val="00732E5F"/>
    <w:rsid w:val="0073327A"/>
    <w:rsid w:val="00733519"/>
    <w:rsid w:val="00733542"/>
    <w:rsid w:val="00733A34"/>
    <w:rsid w:val="00733EBF"/>
    <w:rsid w:val="00734339"/>
    <w:rsid w:val="00734761"/>
    <w:rsid w:val="00734EBE"/>
    <w:rsid w:val="00735522"/>
    <w:rsid w:val="00735A0F"/>
    <w:rsid w:val="00736247"/>
    <w:rsid w:val="007365D2"/>
    <w:rsid w:val="007367F2"/>
    <w:rsid w:val="00736DD8"/>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3FC1"/>
    <w:rsid w:val="00744276"/>
    <w:rsid w:val="00744A64"/>
    <w:rsid w:val="00744D47"/>
    <w:rsid w:val="00744EA0"/>
    <w:rsid w:val="00745599"/>
    <w:rsid w:val="00745D2E"/>
    <w:rsid w:val="00745F95"/>
    <w:rsid w:val="0074638D"/>
    <w:rsid w:val="00746484"/>
    <w:rsid w:val="0074704F"/>
    <w:rsid w:val="00747F48"/>
    <w:rsid w:val="00747F4C"/>
    <w:rsid w:val="00750BDA"/>
    <w:rsid w:val="00751091"/>
    <w:rsid w:val="00751B83"/>
    <w:rsid w:val="00751FBD"/>
    <w:rsid w:val="007520C2"/>
    <w:rsid w:val="007522BB"/>
    <w:rsid w:val="007529CF"/>
    <w:rsid w:val="00752A63"/>
    <w:rsid w:val="00753871"/>
    <w:rsid w:val="007538DD"/>
    <w:rsid w:val="00754359"/>
    <w:rsid w:val="00754411"/>
    <w:rsid w:val="00754ABB"/>
    <w:rsid w:val="00754BB3"/>
    <w:rsid w:val="00754BD9"/>
    <w:rsid w:val="00754E7A"/>
    <w:rsid w:val="0075540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98E"/>
    <w:rsid w:val="00765B80"/>
    <w:rsid w:val="00765ED3"/>
    <w:rsid w:val="00766055"/>
    <w:rsid w:val="0076681D"/>
    <w:rsid w:val="0076695F"/>
    <w:rsid w:val="00766A65"/>
    <w:rsid w:val="007671F5"/>
    <w:rsid w:val="00767349"/>
    <w:rsid w:val="007676B8"/>
    <w:rsid w:val="007676F3"/>
    <w:rsid w:val="00770711"/>
    <w:rsid w:val="0077163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A7C"/>
    <w:rsid w:val="00784CDA"/>
    <w:rsid w:val="00784EED"/>
    <w:rsid w:val="00785900"/>
    <w:rsid w:val="00785CDD"/>
    <w:rsid w:val="007861DF"/>
    <w:rsid w:val="00786958"/>
    <w:rsid w:val="00786C49"/>
    <w:rsid w:val="00786E71"/>
    <w:rsid w:val="007875B2"/>
    <w:rsid w:val="00790726"/>
    <w:rsid w:val="007909F4"/>
    <w:rsid w:val="0079125D"/>
    <w:rsid w:val="0079162F"/>
    <w:rsid w:val="007917B9"/>
    <w:rsid w:val="00791C4C"/>
    <w:rsid w:val="00791F39"/>
    <w:rsid w:val="0079262F"/>
    <w:rsid w:val="00793539"/>
    <w:rsid w:val="00793985"/>
    <w:rsid w:val="00793AC7"/>
    <w:rsid w:val="007943DA"/>
    <w:rsid w:val="0079468D"/>
    <w:rsid w:val="00794924"/>
    <w:rsid w:val="00794B41"/>
    <w:rsid w:val="00794C8A"/>
    <w:rsid w:val="007972D4"/>
    <w:rsid w:val="00797A8E"/>
    <w:rsid w:val="00797B89"/>
    <w:rsid w:val="00797ED9"/>
    <w:rsid w:val="007A0B99"/>
    <w:rsid w:val="007A0BC2"/>
    <w:rsid w:val="007A1770"/>
    <w:rsid w:val="007A1822"/>
    <w:rsid w:val="007A1F44"/>
    <w:rsid w:val="007A23FF"/>
    <w:rsid w:val="007A295B"/>
    <w:rsid w:val="007A2E18"/>
    <w:rsid w:val="007A3424"/>
    <w:rsid w:val="007A35EF"/>
    <w:rsid w:val="007A3919"/>
    <w:rsid w:val="007A3BF1"/>
    <w:rsid w:val="007A41EE"/>
    <w:rsid w:val="007A43A2"/>
    <w:rsid w:val="007A4C27"/>
    <w:rsid w:val="007A4D04"/>
    <w:rsid w:val="007A4DD5"/>
    <w:rsid w:val="007A580B"/>
    <w:rsid w:val="007A639A"/>
    <w:rsid w:val="007A6541"/>
    <w:rsid w:val="007A665C"/>
    <w:rsid w:val="007A67A4"/>
    <w:rsid w:val="007A6B42"/>
    <w:rsid w:val="007A6DA5"/>
    <w:rsid w:val="007A6F9C"/>
    <w:rsid w:val="007A748D"/>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3FD5"/>
    <w:rsid w:val="007B48EA"/>
    <w:rsid w:val="007B4BFF"/>
    <w:rsid w:val="007B4F52"/>
    <w:rsid w:val="007B52CD"/>
    <w:rsid w:val="007B58EB"/>
    <w:rsid w:val="007B6892"/>
    <w:rsid w:val="007B7380"/>
    <w:rsid w:val="007B7DC1"/>
    <w:rsid w:val="007B7EDB"/>
    <w:rsid w:val="007C0284"/>
    <w:rsid w:val="007C02EB"/>
    <w:rsid w:val="007C06E6"/>
    <w:rsid w:val="007C19AD"/>
    <w:rsid w:val="007C2F79"/>
    <w:rsid w:val="007C3497"/>
    <w:rsid w:val="007C34CF"/>
    <w:rsid w:val="007C3598"/>
    <w:rsid w:val="007C3B4C"/>
    <w:rsid w:val="007C3FA8"/>
    <w:rsid w:val="007C42E2"/>
    <w:rsid w:val="007C4C66"/>
    <w:rsid w:val="007C5CED"/>
    <w:rsid w:val="007C5F62"/>
    <w:rsid w:val="007C68DA"/>
    <w:rsid w:val="007C6928"/>
    <w:rsid w:val="007C7893"/>
    <w:rsid w:val="007C7C22"/>
    <w:rsid w:val="007D0A9D"/>
    <w:rsid w:val="007D0D30"/>
    <w:rsid w:val="007D0F4D"/>
    <w:rsid w:val="007D0F9B"/>
    <w:rsid w:val="007D131B"/>
    <w:rsid w:val="007D13FB"/>
    <w:rsid w:val="007D1BE2"/>
    <w:rsid w:val="007D1F34"/>
    <w:rsid w:val="007D229A"/>
    <w:rsid w:val="007D2302"/>
    <w:rsid w:val="007D2355"/>
    <w:rsid w:val="007D29AA"/>
    <w:rsid w:val="007D2F09"/>
    <w:rsid w:val="007D2F1C"/>
    <w:rsid w:val="007D2F44"/>
    <w:rsid w:val="007D2F4D"/>
    <w:rsid w:val="007D30F4"/>
    <w:rsid w:val="007D3544"/>
    <w:rsid w:val="007D40DA"/>
    <w:rsid w:val="007D4178"/>
    <w:rsid w:val="007D46BA"/>
    <w:rsid w:val="007D4C00"/>
    <w:rsid w:val="007D4D33"/>
    <w:rsid w:val="007D5FC3"/>
    <w:rsid w:val="007D670C"/>
    <w:rsid w:val="007D67F3"/>
    <w:rsid w:val="007D7175"/>
    <w:rsid w:val="007D7265"/>
    <w:rsid w:val="007D727B"/>
    <w:rsid w:val="007E1369"/>
    <w:rsid w:val="007E1A1B"/>
    <w:rsid w:val="007E1A88"/>
    <w:rsid w:val="007E1ACC"/>
    <w:rsid w:val="007E2935"/>
    <w:rsid w:val="007E2B3C"/>
    <w:rsid w:val="007E3322"/>
    <w:rsid w:val="007E35CD"/>
    <w:rsid w:val="007E42A2"/>
    <w:rsid w:val="007E44DF"/>
    <w:rsid w:val="007E469A"/>
    <w:rsid w:val="007E4C88"/>
    <w:rsid w:val="007E50D1"/>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2D86"/>
    <w:rsid w:val="007F3522"/>
    <w:rsid w:val="007F35ED"/>
    <w:rsid w:val="007F36FD"/>
    <w:rsid w:val="007F3D8B"/>
    <w:rsid w:val="007F3ECA"/>
    <w:rsid w:val="007F3EDD"/>
    <w:rsid w:val="007F443C"/>
    <w:rsid w:val="007F5124"/>
    <w:rsid w:val="007F5DA2"/>
    <w:rsid w:val="007F5FA5"/>
    <w:rsid w:val="007F6880"/>
    <w:rsid w:val="007F69F1"/>
    <w:rsid w:val="007F70DF"/>
    <w:rsid w:val="007F7237"/>
    <w:rsid w:val="007F76B4"/>
    <w:rsid w:val="007F76E4"/>
    <w:rsid w:val="007F77D0"/>
    <w:rsid w:val="008001B4"/>
    <w:rsid w:val="00800769"/>
    <w:rsid w:val="00800BAC"/>
    <w:rsid w:val="00800D7A"/>
    <w:rsid w:val="00800DA1"/>
    <w:rsid w:val="00800ED2"/>
    <w:rsid w:val="00801CAD"/>
    <w:rsid w:val="0080237E"/>
    <w:rsid w:val="008024A9"/>
    <w:rsid w:val="00802536"/>
    <w:rsid w:val="00802E74"/>
    <w:rsid w:val="0080301B"/>
    <w:rsid w:val="008031C2"/>
    <w:rsid w:val="0080355C"/>
    <w:rsid w:val="00803B89"/>
    <w:rsid w:val="00804B92"/>
    <w:rsid w:val="00804D4C"/>
    <w:rsid w:val="00804E21"/>
    <w:rsid w:val="00805092"/>
    <w:rsid w:val="0080648E"/>
    <w:rsid w:val="008067CC"/>
    <w:rsid w:val="00806AAF"/>
    <w:rsid w:val="00806AF6"/>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A89"/>
    <w:rsid w:val="0081515C"/>
    <w:rsid w:val="00815237"/>
    <w:rsid w:val="008152C6"/>
    <w:rsid w:val="0081581D"/>
    <w:rsid w:val="00815B62"/>
    <w:rsid w:val="00815E27"/>
    <w:rsid w:val="008172BE"/>
    <w:rsid w:val="008179DA"/>
    <w:rsid w:val="00817B71"/>
    <w:rsid w:val="00820244"/>
    <w:rsid w:val="00820440"/>
    <w:rsid w:val="0082080D"/>
    <w:rsid w:val="00820C09"/>
    <w:rsid w:val="00820FF3"/>
    <w:rsid w:val="008221B3"/>
    <w:rsid w:val="0082248E"/>
    <w:rsid w:val="00822675"/>
    <w:rsid w:val="008228FD"/>
    <w:rsid w:val="00822B1A"/>
    <w:rsid w:val="00822CB2"/>
    <w:rsid w:val="00822FD1"/>
    <w:rsid w:val="0082316E"/>
    <w:rsid w:val="00823415"/>
    <w:rsid w:val="00824725"/>
    <w:rsid w:val="00824DE7"/>
    <w:rsid w:val="00824FDF"/>
    <w:rsid w:val="00825125"/>
    <w:rsid w:val="00825193"/>
    <w:rsid w:val="008257CC"/>
    <w:rsid w:val="00825D0C"/>
    <w:rsid w:val="008260CA"/>
    <w:rsid w:val="0082632F"/>
    <w:rsid w:val="008265D1"/>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6F6"/>
    <w:rsid w:val="00837D5B"/>
    <w:rsid w:val="0084059C"/>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D0A"/>
    <w:rsid w:val="00846D4A"/>
    <w:rsid w:val="00846DC0"/>
    <w:rsid w:val="0084710B"/>
    <w:rsid w:val="008474A7"/>
    <w:rsid w:val="00847D0B"/>
    <w:rsid w:val="00850688"/>
    <w:rsid w:val="008506B6"/>
    <w:rsid w:val="0085085A"/>
    <w:rsid w:val="00850AE0"/>
    <w:rsid w:val="00850B8B"/>
    <w:rsid w:val="008514BE"/>
    <w:rsid w:val="008517A2"/>
    <w:rsid w:val="00851B0C"/>
    <w:rsid w:val="00851C17"/>
    <w:rsid w:val="00851FE4"/>
    <w:rsid w:val="008524D2"/>
    <w:rsid w:val="0085264A"/>
    <w:rsid w:val="00852E19"/>
    <w:rsid w:val="008544D7"/>
    <w:rsid w:val="00854572"/>
    <w:rsid w:val="00854BD5"/>
    <w:rsid w:val="008551CE"/>
    <w:rsid w:val="00855514"/>
    <w:rsid w:val="00855D6D"/>
    <w:rsid w:val="00855DF3"/>
    <w:rsid w:val="0085670B"/>
    <w:rsid w:val="00856833"/>
    <w:rsid w:val="00856840"/>
    <w:rsid w:val="00857CFC"/>
    <w:rsid w:val="0086087C"/>
    <w:rsid w:val="00860B84"/>
    <w:rsid w:val="00860D8E"/>
    <w:rsid w:val="008616F5"/>
    <w:rsid w:val="008619CF"/>
    <w:rsid w:val="00861F73"/>
    <w:rsid w:val="00862022"/>
    <w:rsid w:val="00862143"/>
    <w:rsid w:val="0086269A"/>
    <w:rsid w:val="0086275E"/>
    <w:rsid w:val="008629CB"/>
    <w:rsid w:val="00862CEB"/>
    <w:rsid w:val="0086302E"/>
    <w:rsid w:val="008632FF"/>
    <w:rsid w:val="00863304"/>
    <w:rsid w:val="00864440"/>
    <w:rsid w:val="00864D76"/>
    <w:rsid w:val="008650FC"/>
    <w:rsid w:val="0086607B"/>
    <w:rsid w:val="0086626A"/>
    <w:rsid w:val="008669E2"/>
    <w:rsid w:val="00866EB3"/>
    <w:rsid w:val="0086701A"/>
    <w:rsid w:val="0086732D"/>
    <w:rsid w:val="008675E9"/>
    <w:rsid w:val="008677B8"/>
    <w:rsid w:val="00867876"/>
    <w:rsid w:val="00867AC4"/>
    <w:rsid w:val="00867BD2"/>
    <w:rsid w:val="00867C54"/>
    <w:rsid w:val="0087106E"/>
    <w:rsid w:val="0087120C"/>
    <w:rsid w:val="0087126C"/>
    <w:rsid w:val="008712FD"/>
    <w:rsid w:val="008713EB"/>
    <w:rsid w:val="008716A1"/>
    <w:rsid w:val="00871966"/>
    <w:rsid w:val="0087267D"/>
    <w:rsid w:val="008728A2"/>
    <w:rsid w:val="00872D3F"/>
    <w:rsid w:val="008733A4"/>
    <w:rsid w:val="008733C8"/>
    <w:rsid w:val="008733E4"/>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BCB"/>
    <w:rsid w:val="00880F30"/>
    <w:rsid w:val="00881935"/>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BE9"/>
    <w:rsid w:val="00896C81"/>
    <w:rsid w:val="00896D83"/>
    <w:rsid w:val="008972D6"/>
    <w:rsid w:val="008977B9"/>
    <w:rsid w:val="008977FF"/>
    <w:rsid w:val="00897821"/>
    <w:rsid w:val="008A0806"/>
    <w:rsid w:val="008A09C7"/>
    <w:rsid w:val="008A0AB2"/>
    <w:rsid w:val="008A0B7A"/>
    <w:rsid w:val="008A0BA3"/>
    <w:rsid w:val="008A0CFC"/>
    <w:rsid w:val="008A12FE"/>
    <w:rsid w:val="008A14B8"/>
    <w:rsid w:val="008A2312"/>
    <w:rsid w:val="008A27A9"/>
    <w:rsid w:val="008A28B6"/>
    <w:rsid w:val="008A29A1"/>
    <w:rsid w:val="008A2BB1"/>
    <w:rsid w:val="008A2E6E"/>
    <w:rsid w:val="008A3466"/>
    <w:rsid w:val="008A389F"/>
    <w:rsid w:val="008A3D02"/>
    <w:rsid w:val="008A44CE"/>
    <w:rsid w:val="008A5940"/>
    <w:rsid w:val="008A6AC3"/>
    <w:rsid w:val="008A6BDA"/>
    <w:rsid w:val="008A73B2"/>
    <w:rsid w:val="008B036B"/>
    <w:rsid w:val="008B043F"/>
    <w:rsid w:val="008B07AA"/>
    <w:rsid w:val="008B0808"/>
    <w:rsid w:val="008B0AEC"/>
    <w:rsid w:val="008B138F"/>
    <w:rsid w:val="008B1E53"/>
    <w:rsid w:val="008B1E5B"/>
    <w:rsid w:val="008B389D"/>
    <w:rsid w:val="008B3C5C"/>
    <w:rsid w:val="008B4E60"/>
    <w:rsid w:val="008B5299"/>
    <w:rsid w:val="008B56CC"/>
    <w:rsid w:val="008B5A5F"/>
    <w:rsid w:val="008B5AB0"/>
    <w:rsid w:val="008B6054"/>
    <w:rsid w:val="008B694E"/>
    <w:rsid w:val="008B6CF3"/>
    <w:rsid w:val="008B7B08"/>
    <w:rsid w:val="008B7B09"/>
    <w:rsid w:val="008C00B5"/>
    <w:rsid w:val="008C0D2B"/>
    <w:rsid w:val="008C13F0"/>
    <w:rsid w:val="008C14DD"/>
    <w:rsid w:val="008C1A09"/>
    <w:rsid w:val="008C1E66"/>
    <w:rsid w:val="008C1F26"/>
    <w:rsid w:val="008C2051"/>
    <w:rsid w:val="008C243C"/>
    <w:rsid w:val="008C2452"/>
    <w:rsid w:val="008C24CA"/>
    <w:rsid w:val="008C2A3A"/>
    <w:rsid w:val="008C2B7A"/>
    <w:rsid w:val="008C3026"/>
    <w:rsid w:val="008C42F2"/>
    <w:rsid w:val="008C4A76"/>
    <w:rsid w:val="008C4C7E"/>
    <w:rsid w:val="008C5263"/>
    <w:rsid w:val="008C544A"/>
    <w:rsid w:val="008C5C17"/>
    <w:rsid w:val="008C5C46"/>
    <w:rsid w:val="008C6184"/>
    <w:rsid w:val="008C682D"/>
    <w:rsid w:val="008C6D43"/>
    <w:rsid w:val="008C6DEB"/>
    <w:rsid w:val="008C785E"/>
    <w:rsid w:val="008D0AFB"/>
    <w:rsid w:val="008D0FC7"/>
    <w:rsid w:val="008D14EF"/>
    <w:rsid w:val="008D1511"/>
    <w:rsid w:val="008D208F"/>
    <w:rsid w:val="008D2194"/>
    <w:rsid w:val="008D226A"/>
    <w:rsid w:val="008D2D5E"/>
    <w:rsid w:val="008D32DF"/>
    <w:rsid w:val="008D35E9"/>
    <w:rsid w:val="008D3959"/>
    <w:rsid w:val="008D3966"/>
    <w:rsid w:val="008D3A03"/>
    <w:rsid w:val="008D4352"/>
    <w:rsid w:val="008D47E8"/>
    <w:rsid w:val="008D4808"/>
    <w:rsid w:val="008D4A8B"/>
    <w:rsid w:val="008D5465"/>
    <w:rsid w:val="008D60BC"/>
    <w:rsid w:val="008D6BC3"/>
    <w:rsid w:val="008D6D7B"/>
    <w:rsid w:val="008D7EB7"/>
    <w:rsid w:val="008E0B77"/>
    <w:rsid w:val="008E0EB8"/>
    <w:rsid w:val="008E10A6"/>
    <w:rsid w:val="008E1271"/>
    <w:rsid w:val="008E13B2"/>
    <w:rsid w:val="008E16B8"/>
    <w:rsid w:val="008E1AF2"/>
    <w:rsid w:val="008E2251"/>
    <w:rsid w:val="008E24B3"/>
    <w:rsid w:val="008E24CA"/>
    <w:rsid w:val="008E24D5"/>
    <w:rsid w:val="008E2AAD"/>
    <w:rsid w:val="008E2BA9"/>
    <w:rsid w:val="008E2F6E"/>
    <w:rsid w:val="008E32D6"/>
    <w:rsid w:val="008E38AD"/>
    <w:rsid w:val="008E3CCA"/>
    <w:rsid w:val="008E3D3F"/>
    <w:rsid w:val="008E3E42"/>
    <w:rsid w:val="008E3EEC"/>
    <w:rsid w:val="008E3F67"/>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4E9"/>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E4A"/>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D87"/>
    <w:rsid w:val="00902F22"/>
    <w:rsid w:val="00903802"/>
    <w:rsid w:val="00903946"/>
    <w:rsid w:val="009039F5"/>
    <w:rsid w:val="00903D3F"/>
    <w:rsid w:val="0090418B"/>
    <w:rsid w:val="00904249"/>
    <w:rsid w:val="009047AD"/>
    <w:rsid w:val="009047C2"/>
    <w:rsid w:val="00905066"/>
    <w:rsid w:val="0090515C"/>
    <w:rsid w:val="00905230"/>
    <w:rsid w:val="0090533F"/>
    <w:rsid w:val="009057C7"/>
    <w:rsid w:val="00905C9E"/>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4C54"/>
    <w:rsid w:val="00915757"/>
    <w:rsid w:val="009159B3"/>
    <w:rsid w:val="00916181"/>
    <w:rsid w:val="0091626E"/>
    <w:rsid w:val="00916A61"/>
    <w:rsid w:val="00916BD3"/>
    <w:rsid w:val="00917A32"/>
    <w:rsid w:val="00917E72"/>
    <w:rsid w:val="009204C5"/>
    <w:rsid w:val="00920673"/>
    <w:rsid w:val="00920D3D"/>
    <w:rsid w:val="00921422"/>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442"/>
    <w:rsid w:val="009306ED"/>
    <w:rsid w:val="0093094D"/>
    <w:rsid w:val="00931891"/>
    <w:rsid w:val="00931DC9"/>
    <w:rsid w:val="0093220C"/>
    <w:rsid w:val="009323C5"/>
    <w:rsid w:val="00932832"/>
    <w:rsid w:val="009328C7"/>
    <w:rsid w:val="00932DCA"/>
    <w:rsid w:val="009336EC"/>
    <w:rsid w:val="00933C77"/>
    <w:rsid w:val="00933F56"/>
    <w:rsid w:val="00934268"/>
    <w:rsid w:val="00934C13"/>
    <w:rsid w:val="00934F66"/>
    <w:rsid w:val="00935228"/>
    <w:rsid w:val="009355A2"/>
    <w:rsid w:val="00935939"/>
    <w:rsid w:val="00935BE5"/>
    <w:rsid w:val="00935F4C"/>
    <w:rsid w:val="00935F9E"/>
    <w:rsid w:val="00936429"/>
    <w:rsid w:val="00936560"/>
    <w:rsid w:val="00936D98"/>
    <w:rsid w:val="00937763"/>
    <w:rsid w:val="009403BD"/>
    <w:rsid w:val="00941495"/>
    <w:rsid w:val="00941617"/>
    <w:rsid w:val="00942A29"/>
    <w:rsid w:val="00942BD8"/>
    <w:rsid w:val="00942C80"/>
    <w:rsid w:val="009430A5"/>
    <w:rsid w:val="00943197"/>
    <w:rsid w:val="0094344F"/>
    <w:rsid w:val="009435F2"/>
    <w:rsid w:val="00943C70"/>
    <w:rsid w:val="00943D65"/>
    <w:rsid w:val="00945180"/>
    <w:rsid w:val="009453CA"/>
    <w:rsid w:val="009455DD"/>
    <w:rsid w:val="0094590C"/>
    <w:rsid w:val="00946355"/>
    <w:rsid w:val="00946640"/>
    <w:rsid w:val="00946745"/>
    <w:rsid w:val="009468B7"/>
    <w:rsid w:val="0094724E"/>
    <w:rsid w:val="00947384"/>
    <w:rsid w:val="00947611"/>
    <w:rsid w:val="009477FD"/>
    <w:rsid w:val="00947BE6"/>
    <w:rsid w:val="0095017E"/>
    <w:rsid w:val="0095048D"/>
    <w:rsid w:val="00950A6A"/>
    <w:rsid w:val="009518AE"/>
    <w:rsid w:val="009518C1"/>
    <w:rsid w:val="00951A39"/>
    <w:rsid w:val="00951AAB"/>
    <w:rsid w:val="00951ADB"/>
    <w:rsid w:val="00951E66"/>
    <w:rsid w:val="0095364F"/>
    <w:rsid w:val="0095380C"/>
    <w:rsid w:val="00953B84"/>
    <w:rsid w:val="00953CB2"/>
    <w:rsid w:val="00953D92"/>
    <w:rsid w:val="009540FE"/>
    <w:rsid w:val="00954293"/>
    <w:rsid w:val="00954353"/>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87C"/>
    <w:rsid w:val="00967E1F"/>
    <w:rsid w:val="009705FB"/>
    <w:rsid w:val="009709F8"/>
    <w:rsid w:val="00971ABA"/>
    <w:rsid w:val="00972368"/>
    <w:rsid w:val="0097251A"/>
    <w:rsid w:val="00972929"/>
    <w:rsid w:val="00972BD7"/>
    <w:rsid w:val="00972BFA"/>
    <w:rsid w:val="00972E59"/>
    <w:rsid w:val="00972F91"/>
    <w:rsid w:val="00973827"/>
    <w:rsid w:val="0097394C"/>
    <w:rsid w:val="00973E1D"/>
    <w:rsid w:val="00973F06"/>
    <w:rsid w:val="009742D3"/>
    <w:rsid w:val="0097461B"/>
    <w:rsid w:val="00974A1F"/>
    <w:rsid w:val="00974D4B"/>
    <w:rsid w:val="00975199"/>
    <w:rsid w:val="00975EB1"/>
    <w:rsid w:val="009762E7"/>
    <w:rsid w:val="00977489"/>
    <w:rsid w:val="009779A2"/>
    <w:rsid w:val="00977BA7"/>
    <w:rsid w:val="009813ED"/>
    <w:rsid w:val="0098194F"/>
    <w:rsid w:val="009826C8"/>
    <w:rsid w:val="00983347"/>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928"/>
    <w:rsid w:val="00994E08"/>
    <w:rsid w:val="00994E4C"/>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FFA"/>
    <w:rsid w:val="009973F1"/>
    <w:rsid w:val="009973F3"/>
    <w:rsid w:val="00997916"/>
    <w:rsid w:val="009A0033"/>
    <w:rsid w:val="009A00F7"/>
    <w:rsid w:val="009A010D"/>
    <w:rsid w:val="009A015A"/>
    <w:rsid w:val="009A068B"/>
    <w:rsid w:val="009A0C6F"/>
    <w:rsid w:val="009A0E44"/>
    <w:rsid w:val="009A0EF7"/>
    <w:rsid w:val="009A1475"/>
    <w:rsid w:val="009A14EF"/>
    <w:rsid w:val="009A1C12"/>
    <w:rsid w:val="009A2510"/>
    <w:rsid w:val="009A286E"/>
    <w:rsid w:val="009A29F0"/>
    <w:rsid w:val="009A2A28"/>
    <w:rsid w:val="009A2DF9"/>
    <w:rsid w:val="009A2F7D"/>
    <w:rsid w:val="009A3201"/>
    <w:rsid w:val="009A3396"/>
    <w:rsid w:val="009A3572"/>
    <w:rsid w:val="009A3A86"/>
    <w:rsid w:val="009A483C"/>
    <w:rsid w:val="009A4869"/>
    <w:rsid w:val="009A4AD9"/>
    <w:rsid w:val="009A4F8A"/>
    <w:rsid w:val="009A505F"/>
    <w:rsid w:val="009A532E"/>
    <w:rsid w:val="009A609D"/>
    <w:rsid w:val="009A6A6B"/>
    <w:rsid w:val="009A791C"/>
    <w:rsid w:val="009B0C11"/>
    <w:rsid w:val="009B1999"/>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E85"/>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27F"/>
    <w:rsid w:val="009D6A0A"/>
    <w:rsid w:val="009D7432"/>
    <w:rsid w:val="009E058F"/>
    <w:rsid w:val="009E0A9E"/>
    <w:rsid w:val="009E0E1F"/>
    <w:rsid w:val="009E1920"/>
    <w:rsid w:val="009E19A2"/>
    <w:rsid w:val="009E1B47"/>
    <w:rsid w:val="009E1D40"/>
    <w:rsid w:val="009E1DCD"/>
    <w:rsid w:val="009E237A"/>
    <w:rsid w:val="009E3AFD"/>
    <w:rsid w:val="009E3CDD"/>
    <w:rsid w:val="009E4B16"/>
    <w:rsid w:val="009E5C60"/>
    <w:rsid w:val="009E5C9E"/>
    <w:rsid w:val="009E64DB"/>
    <w:rsid w:val="009E6794"/>
    <w:rsid w:val="009E7189"/>
    <w:rsid w:val="009E7396"/>
    <w:rsid w:val="009E7E46"/>
    <w:rsid w:val="009E7FC1"/>
    <w:rsid w:val="009F01E1"/>
    <w:rsid w:val="009F0B4D"/>
    <w:rsid w:val="009F1096"/>
    <w:rsid w:val="009F150E"/>
    <w:rsid w:val="009F195D"/>
    <w:rsid w:val="009F19D8"/>
    <w:rsid w:val="009F2454"/>
    <w:rsid w:val="009F2520"/>
    <w:rsid w:val="009F278D"/>
    <w:rsid w:val="009F27AD"/>
    <w:rsid w:val="009F28C9"/>
    <w:rsid w:val="009F399E"/>
    <w:rsid w:val="009F3FB5"/>
    <w:rsid w:val="009F4F66"/>
    <w:rsid w:val="009F510E"/>
    <w:rsid w:val="009F520B"/>
    <w:rsid w:val="009F521F"/>
    <w:rsid w:val="009F553C"/>
    <w:rsid w:val="009F59F8"/>
    <w:rsid w:val="009F63E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1"/>
    <w:rsid w:val="00A03A22"/>
    <w:rsid w:val="00A0430A"/>
    <w:rsid w:val="00A04634"/>
    <w:rsid w:val="00A05798"/>
    <w:rsid w:val="00A05EDD"/>
    <w:rsid w:val="00A06119"/>
    <w:rsid w:val="00A06528"/>
    <w:rsid w:val="00A06560"/>
    <w:rsid w:val="00A06659"/>
    <w:rsid w:val="00A06B36"/>
    <w:rsid w:val="00A06FDF"/>
    <w:rsid w:val="00A07392"/>
    <w:rsid w:val="00A07A48"/>
    <w:rsid w:val="00A07D81"/>
    <w:rsid w:val="00A108EE"/>
    <w:rsid w:val="00A10A68"/>
    <w:rsid w:val="00A10BB8"/>
    <w:rsid w:val="00A11301"/>
    <w:rsid w:val="00A116D9"/>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6BE0"/>
    <w:rsid w:val="00A172E8"/>
    <w:rsid w:val="00A179FF"/>
    <w:rsid w:val="00A17ED9"/>
    <w:rsid w:val="00A204A0"/>
    <w:rsid w:val="00A2065C"/>
    <w:rsid w:val="00A20ED3"/>
    <w:rsid w:val="00A2133C"/>
    <w:rsid w:val="00A21A36"/>
    <w:rsid w:val="00A21ECE"/>
    <w:rsid w:val="00A21F65"/>
    <w:rsid w:val="00A233EF"/>
    <w:rsid w:val="00A237B9"/>
    <w:rsid w:val="00A245B9"/>
    <w:rsid w:val="00A25007"/>
    <w:rsid w:val="00A25294"/>
    <w:rsid w:val="00A254EE"/>
    <w:rsid w:val="00A25BE7"/>
    <w:rsid w:val="00A25DB0"/>
    <w:rsid w:val="00A268E9"/>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F05"/>
    <w:rsid w:val="00A415A5"/>
    <w:rsid w:val="00A41B37"/>
    <w:rsid w:val="00A42458"/>
    <w:rsid w:val="00A42912"/>
    <w:rsid w:val="00A42991"/>
    <w:rsid w:val="00A43221"/>
    <w:rsid w:val="00A4376F"/>
    <w:rsid w:val="00A43D5B"/>
    <w:rsid w:val="00A4444D"/>
    <w:rsid w:val="00A44689"/>
    <w:rsid w:val="00A44E9F"/>
    <w:rsid w:val="00A45066"/>
    <w:rsid w:val="00A4549F"/>
    <w:rsid w:val="00A457AD"/>
    <w:rsid w:val="00A45A81"/>
    <w:rsid w:val="00A45B9B"/>
    <w:rsid w:val="00A45F6B"/>
    <w:rsid w:val="00A46116"/>
    <w:rsid w:val="00A462FE"/>
    <w:rsid w:val="00A466E3"/>
    <w:rsid w:val="00A469BD"/>
    <w:rsid w:val="00A469FB"/>
    <w:rsid w:val="00A46A20"/>
    <w:rsid w:val="00A46ADE"/>
    <w:rsid w:val="00A46E4A"/>
    <w:rsid w:val="00A477C5"/>
    <w:rsid w:val="00A501C9"/>
    <w:rsid w:val="00A50506"/>
    <w:rsid w:val="00A50943"/>
    <w:rsid w:val="00A50CE0"/>
    <w:rsid w:val="00A50F11"/>
    <w:rsid w:val="00A519D8"/>
    <w:rsid w:val="00A52200"/>
    <w:rsid w:val="00A524D3"/>
    <w:rsid w:val="00A5263F"/>
    <w:rsid w:val="00A52E4E"/>
    <w:rsid w:val="00A53880"/>
    <w:rsid w:val="00A53CEF"/>
    <w:rsid w:val="00A53D18"/>
    <w:rsid w:val="00A53F55"/>
    <w:rsid w:val="00A54114"/>
    <w:rsid w:val="00A5417B"/>
    <w:rsid w:val="00A54599"/>
    <w:rsid w:val="00A54B28"/>
    <w:rsid w:val="00A54B82"/>
    <w:rsid w:val="00A54DF0"/>
    <w:rsid w:val="00A55656"/>
    <w:rsid w:val="00A556F9"/>
    <w:rsid w:val="00A55CD4"/>
    <w:rsid w:val="00A55F79"/>
    <w:rsid w:val="00A5646C"/>
    <w:rsid w:val="00A569D4"/>
    <w:rsid w:val="00A56A8E"/>
    <w:rsid w:val="00A5707B"/>
    <w:rsid w:val="00A574B5"/>
    <w:rsid w:val="00A5753C"/>
    <w:rsid w:val="00A57806"/>
    <w:rsid w:val="00A57967"/>
    <w:rsid w:val="00A57F1A"/>
    <w:rsid w:val="00A60163"/>
    <w:rsid w:val="00A6038D"/>
    <w:rsid w:val="00A60C3B"/>
    <w:rsid w:val="00A60CF0"/>
    <w:rsid w:val="00A61429"/>
    <w:rsid w:val="00A61514"/>
    <w:rsid w:val="00A61645"/>
    <w:rsid w:val="00A62080"/>
    <w:rsid w:val="00A6230F"/>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359"/>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129"/>
    <w:rsid w:val="00A87294"/>
    <w:rsid w:val="00A8762A"/>
    <w:rsid w:val="00A87797"/>
    <w:rsid w:val="00A90225"/>
    <w:rsid w:val="00A90A50"/>
    <w:rsid w:val="00A90E4F"/>
    <w:rsid w:val="00A90E72"/>
    <w:rsid w:val="00A9151A"/>
    <w:rsid w:val="00A922A2"/>
    <w:rsid w:val="00A92315"/>
    <w:rsid w:val="00A9291A"/>
    <w:rsid w:val="00A9327B"/>
    <w:rsid w:val="00A9328F"/>
    <w:rsid w:val="00A93610"/>
    <w:rsid w:val="00A93B69"/>
    <w:rsid w:val="00A947A1"/>
    <w:rsid w:val="00A95082"/>
    <w:rsid w:val="00A951A4"/>
    <w:rsid w:val="00A95F6F"/>
    <w:rsid w:val="00A962FC"/>
    <w:rsid w:val="00A963C7"/>
    <w:rsid w:val="00A97044"/>
    <w:rsid w:val="00A97731"/>
    <w:rsid w:val="00A97978"/>
    <w:rsid w:val="00AA01DA"/>
    <w:rsid w:val="00AA11FE"/>
    <w:rsid w:val="00AA125E"/>
    <w:rsid w:val="00AA1626"/>
    <w:rsid w:val="00AA1653"/>
    <w:rsid w:val="00AA18F6"/>
    <w:rsid w:val="00AA19F2"/>
    <w:rsid w:val="00AA1B79"/>
    <w:rsid w:val="00AA1C25"/>
    <w:rsid w:val="00AA23FE"/>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85A"/>
    <w:rsid w:val="00AB1BA7"/>
    <w:rsid w:val="00AB1CE8"/>
    <w:rsid w:val="00AB1E04"/>
    <w:rsid w:val="00AB1E1A"/>
    <w:rsid w:val="00AB224A"/>
    <w:rsid w:val="00AB27F9"/>
    <w:rsid w:val="00AB290F"/>
    <w:rsid w:val="00AB291C"/>
    <w:rsid w:val="00AB2E0F"/>
    <w:rsid w:val="00AB3113"/>
    <w:rsid w:val="00AB348A"/>
    <w:rsid w:val="00AB3F38"/>
    <w:rsid w:val="00AB40FD"/>
    <w:rsid w:val="00AB43EC"/>
    <w:rsid w:val="00AB446A"/>
    <w:rsid w:val="00AB4BF4"/>
    <w:rsid w:val="00AB599F"/>
    <w:rsid w:val="00AB5ADF"/>
    <w:rsid w:val="00AB5E57"/>
    <w:rsid w:val="00AB725F"/>
    <w:rsid w:val="00AB74A7"/>
    <w:rsid w:val="00AB774E"/>
    <w:rsid w:val="00AC0705"/>
    <w:rsid w:val="00AC0E88"/>
    <w:rsid w:val="00AC0F43"/>
    <w:rsid w:val="00AC109B"/>
    <w:rsid w:val="00AC1414"/>
    <w:rsid w:val="00AC173D"/>
    <w:rsid w:val="00AC254D"/>
    <w:rsid w:val="00AC2896"/>
    <w:rsid w:val="00AC28D4"/>
    <w:rsid w:val="00AC2B97"/>
    <w:rsid w:val="00AC2C84"/>
    <w:rsid w:val="00AC2D2D"/>
    <w:rsid w:val="00AC335B"/>
    <w:rsid w:val="00AC3D1E"/>
    <w:rsid w:val="00AC3F7A"/>
    <w:rsid w:val="00AC50BD"/>
    <w:rsid w:val="00AC5423"/>
    <w:rsid w:val="00AC59A5"/>
    <w:rsid w:val="00AC6876"/>
    <w:rsid w:val="00AC6DBF"/>
    <w:rsid w:val="00AC6EFC"/>
    <w:rsid w:val="00AC74DA"/>
    <w:rsid w:val="00AC789C"/>
    <w:rsid w:val="00AC7A2B"/>
    <w:rsid w:val="00AC7C25"/>
    <w:rsid w:val="00AD09F6"/>
    <w:rsid w:val="00AD0A29"/>
    <w:rsid w:val="00AD0A51"/>
    <w:rsid w:val="00AD0B37"/>
    <w:rsid w:val="00AD0F81"/>
    <w:rsid w:val="00AD11F7"/>
    <w:rsid w:val="00AD158C"/>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6365"/>
    <w:rsid w:val="00AE65E7"/>
    <w:rsid w:val="00AE67B3"/>
    <w:rsid w:val="00AE67B4"/>
    <w:rsid w:val="00AE6A0F"/>
    <w:rsid w:val="00AE7864"/>
    <w:rsid w:val="00AE7949"/>
    <w:rsid w:val="00AF03AE"/>
    <w:rsid w:val="00AF03B8"/>
    <w:rsid w:val="00AF0B51"/>
    <w:rsid w:val="00AF15DA"/>
    <w:rsid w:val="00AF15E5"/>
    <w:rsid w:val="00AF17C2"/>
    <w:rsid w:val="00AF18D6"/>
    <w:rsid w:val="00AF18E5"/>
    <w:rsid w:val="00AF224C"/>
    <w:rsid w:val="00AF25D5"/>
    <w:rsid w:val="00AF27BF"/>
    <w:rsid w:val="00AF2D02"/>
    <w:rsid w:val="00AF3618"/>
    <w:rsid w:val="00AF3DBB"/>
    <w:rsid w:val="00AF3FAF"/>
    <w:rsid w:val="00AF4205"/>
    <w:rsid w:val="00AF5194"/>
    <w:rsid w:val="00AF53EF"/>
    <w:rsid w:val="00AF59BA"/>
    <w:rsid w:val="00AF5EFD"/>
    <w:rsid w:val="00AF6195"/>
    <w:rsid w:val="00AF65AE"/>
    <w:rsid w:val="00AF67B5"/>
    <w:rsid w:val="00AF6BA2"/>
    <w:rsid w:val="00AF73C3"/>
    <w:rsid w:val="00AF795C"/>
    <w:rsid w:val="00B000C4"/>
    <w:rsid w:val="00B00543"/>
    <w:rsid w:val="00B00752"/>
    <w:rsid w:val="00B010EF"/>
    <w:rsid w:val="00B013FE"/>
    <w:rsid w:val="00B01B60"/>
    <w:rsid w:val="00B01CDD"/>
    <w:rsid w:val="00B01F4C"/>
    <w:rsid w:val="00B02088"/>
    <w:rsid w:val="00B022D1"/>
    <w:rsid w:val="00B02442"/>
    <w:rsid w:val="00B026C1"/>
    <w:rsid w:val="00B027A7"/>
    <w:rsid w:val="00B02B9C"/>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17FB8"/>
    <w:rsid w:val="00B201C3"/>
    <w:rsid w:val="00B20C4F"/>
    <w:rsid w:val="00B20F02"/>
    <w:rsid w:val="00B212B2"/>
    <w:rsid w:val="00B212D2"/>
    <w:rsid w:val="00B21CBF"/>
    <w:rsid w:val="00B22006"/>
    <w:rsid w:val="00B222C3"/>
    <w:rsid w:val="00B22450"/>
    <w:rsid w:val="00B2248A"/>
    <w:rsid w:val="00B22C0D"/>
    <w:rsid w:val="00B22FAB"/>
    <w:rsid w:val="00B23AF4"/>
    <w:rsid w:val="00B23C15"/>
    <w:rsid w:val="00B24928"/>
    <w:rsid w:val="00B253D9"/>
    <w:rsid w:val="00B25762"/>
    <w:rsid w:val="00B25A92"/>
    <w:rsid w:val="00B25B40"/>
    <w:rsid w:val="00B25FDE"/>
    <w:rsid w:val="00B2634D"/>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5E50"/>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C69"/>
    <w:rsid w:val="00B43FA3"/>
    <w:rsid w:val="00B44C95"/>
    <w:rsid w:val="00B44F6F"/>
    <w:rsid w:val="00B44F99"/>
    <w:rsid w:val="00B45039"/>
    <w:rsid w:val="00B45081"/>
    <w:rsid w:val="00B45876"/>
    <w:rsid w:val="00B45B8B"/>
    <w:rsid w:val="00B462F6"/>
    <w:rsid w:val="00B469CD"/>
    <w:rsid w:val="00B4759B"/>
    <w:rsid w:val="00B47E15"/>
    <w:rsid w:val="00B50A4D"/>
    <w:rsid w:val="00B50B02"/>
    <w:rsid w:val="00B51542"/>
    <w:rsid w:val="00B51D1D"/>
    <w:rsid w:val="00B524EB"/>
    <w:rsid w:val="00B5285D"/>
    <w:rsid w:val="00B52BF7"/>
    <w:rsid w:val="00B5310E"/>
    <w:rsid w:val="00B54ACC"/>
    <w:rsid w:val="00B54DCB"/>
    <w:rsid w:val="00B55AC2"/>
    <w:rsid w:val="00B55E90"/>
    <w:rsid w:val="00B560A2"/>
    <w:rsid w:val="00B560C9"/>
    <w:rsid w:val="00B56533"/>
    <w:rsid w:val="00B56CFC"/>
    <w:rsid w:val="00B56D7D"/>
    <w:rsid w:val="00B57777"/>
    <w:rsid w:val="00B5784C"/>
    <w:rsid w:val="00B57A17"/>
    <w:rsid w:val="00B57D9E"/>
    <w:rsid w:val="00B60E74"/>
    <w:rsid w:val="00B61099"/>
    <w:rsid w:val="00B61567"/>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307D"/>
    <w:rsid w:val="00B74251"/>
    <w:rsid w:val="00B74294"/>
    <w:rsid w:val="00B7455A"/>
    <w:rsid w:val="00B746C6"/>
    <w:rsid w:val="00B75D3E"/>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490"/>
    <w:rsid w:val="00BA1F56"/>
    <w:rsid w:val="00BA2FEF"/>
    <w:rsid w:val="00BA3909"/>
    <w:rsid w:val="00BA3D1D"/>
    <w:rsid w:val="00BA41C3"/>
    <w:rsid w:val="00BA46D4"/>
    <w:rsid w:val="00BA50BA"/>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2A9"/>
    <w:rsid w:val="00BB5F11"/>
    <w:rsid w:val="00BB5FCB"/>
    <w:rsid w:val="00BB604B"/>
    <w:rsid w:val="00BB60D5"/>
    <w:rsid w:val="00BB65DB"/>
    <w:rsid w:val="00BB6B95"/>
    <w:rsid w:val="00BB7A4F"/>
    <w:rsid w:val="00BB7ADB"/>
    <w:rsid w:val="00BB7DDF"/>
    <w:rsid w:val="00BB7F22"/>
    <w:rsid w:val="00BC00EC"/>
    <w:rsid w:val="00BC08C5"/>
    <w:rsid w:val="00BC0D3C"/>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6EF"/>
    <w:rsid w:val="00BC4BBF"/>
    <w:rsid w:val="00BC6164"/>
    <w:rsid w:val="00BC6AA1"/>
    <w:rsid w:val="00BC6F3D"/>
    <w:rsid w:val="00BC6FD6"/>
    <w:rsid w:val="00BD008E"/>
    <w:rsid w:val="00BD084D"/>
    <w:rsid w:val="00BD0B56"/>
    <w:rsid w:val="00BD10EB"/>
    <w:rsid w:val="00BD22EA"/>
    <w:rsid w:val="00BD23D2"/>
    <w:rsid w:val="00BD267C"/>
    <w:rsid w:val="00BD2F3B"/>
    <w:rsid w:val="00BD3372"/>
    <w:rsid w:val="00BD50AA"/>
    <w:rsid w:val="00BD5135"/>
    <w:rsid w:val="00BD521A"/>
    <w:rsid w:val="00BD5740"/>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2A"/>
    <w:rsid w:val="00BE7C4D"/>
    <w:rsid w:val="00BE7F6A"/>
    <w:rsid w:val="00BF0274"/>
    <w:rsid w:val="00BF08C4"/>
    <w:rsid w:val="00BF0BAF"/>
    <w:rsid w:val="00BF0D12"/>
    <w:rsid w:val="00BF19CE"/>
    <w:rsid w:val="00BF1F04"/>
    <w:rsid w:val="00BF2B6F"/>
    <w:rsid w:val="00BF2F19"/>
    <w:rsid w:val="00BF3265"/>
    <w:rsid w:val="00BF326B"/>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BF7962"/>
    <w:rsid w:val="00BF79F1"/>
    <w:rsid w:val="00C002B6"/>
    <w:rsid w:val="00C002FD"/>
    <w:rsid w:val="00C00606"/>
    <w:rsid w:val="00C01671"/>
    <w:rsid w:val="00C0182B"/>
    <w:rsid w:val="00C01D13"/>
    <w:rsid w:val="00C01D14"/>
    <w:rsid w:val="00C02419"/>
    <w:rsid w:val="00C02766"/>
    <w:rsid w:val="00C02C22"/>
    <w:rsid w:val="00C03720"/>
    <w:rsid w:val="00C03D91"/>
    <w:rsid w:val="00C03EE8"/>
    <w:rsid w:val="00C04464"/>
    <w:rsid w:val="00C044ED"/>
    <w:rsid w:val="00C0522F"/>
    <w:rsid w:val="00C05286"/>
    <w:rsid w:val="00C05972"/>
    <w:rsid w:val="00C05BEC"/>
    <w:rsid w:val="00C060A3"/>
    <w:rsid w:val="00C06436"/>
    <w:rsid w:val="00C06E7D"/>
    <w:rsid w:val="00C06EA5"/>
    <w:rsid w:val="00C07552"/>
    <w:rsid w:val="00C07579"/>
    <w:rsid w:val="00C0761E"/>
    <w:rsid w:val="00C10515"/>
    <w:rsid w:val="00C1070F"/>
    <w:rsid w:val="00C1112B"/>
    <w:rsid w:val="00C11396"/>
    <w:rsid w:val="00C11655"/>
    <w:rsid w:val="00C11A88"/>
    <w:rsid w:val="00C11F3A"/>
    <w:rsid w:val="00C11FEB"/>
    <w:rsid w:val="00C12012"/>
    <w:rsid w:val="00C12053"/>
    <w:rsid w:val="00C120C5"/>
    <w:rsid w:val="00C12734"/>
    <w:rsid w:val="00C12874"/>
    <w:rsid w:val="00C12BC1"/>
    <w:rsid w:val="00C13BDA"/>
    <w:rsid w:val="00C13FFD"/>
    <w:rsid w:val="00C1407F"/>
    <w:rsid w:val="00C14632"/>
    <w:rsid w:val="00C1536B"/>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915"/>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2789D"/>
    <w:rsid w:val="00C30AB2"/>
    <w:rsid w:val="00C31175"/>
    <w:rsid w:val="00C315DC"/>
    <w:rsid w:val="00C31678"/>
    <w:rsid w:val="00C31AAE"/>
    <w:rsid w:val="00C31E03"/>
    <w:rsid w:val="00C32361"/>
    <w:rsid w:val="00C32623"/>
    <w:rsid w:val="00C33091"/>
    <w:rsid w:val="00C337E5"/>
    <w:rsid w:val="00C3400F"/>
    <w:rsid w:val="00C349E9"/>
    <w:rsid w:val="00C34B64"/>
    <w:rsid w:val="00C34C36"/>
    <w:rsid w:val="00C34E49"/>
    <w:rsid w:val="00C3512F"/>
    <w:rsid w:val="00C352B3"/>
    <w:rsid w:val="00C35542"/>
    <w:rsid w:val="00C355F1"/>
    <w:rsid w:val="00C35B10"/>
    <w:rsid w:val="00C35F1C"/>
    <w:rsid w:val="00C3654C"/>
    <w:rsid w:val="00C36BF5"/>
    <w:rsid w:val="00C36DBC"/>
    <w:rsid w:val="00C373BD"/>
    <w:rsid w:val="00C376BA"/>
    <w:rsid w:val="00C37A26"/>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555"/>
    <w:rsid w:val="00C468EA"/>
    <w:rsid w:val="00C46AA8"/>
    <w:rsid w:val="00C46B15"/>
    <w:rsid w:val="00C46D4B"/>
    <w:rsid w:val="00C46F7D"/>
    <w:rsid w:val="00C47424"/>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53"/>
    <w:rsid w:val="00C542D4"/>
    <w:rsid w:val="00C54D71"/>
    <w:rsid w:val="00C55164"/>
    <w:rsid w:val="00C554A8"/>
    <w:rsid w:val="00C55BE8"/>
    <w:rsid w:val="00C56137"/>
    <w:rsid w:val="00C56149"/>
    <w:rsid w:val="00C563F5"/>
    <w:rsid w:val="00C570F7"/>
    <w:rsid w:val="00C57353"/>
    <w:rsid w:val="00C577D8"/>
    <w:rsid w:val="00C57C32"/>
    <w:rsid w:val="00C57E45"/>
    <w:rsid w:val="00C57FD0"/>
    <w:rsid w:val="00C600E1"/>
    <w:rsid w:val="00C6041F"/>
    <w:rsid w:val="00C61E6E"/>
    <w:rsid w:val="00C62C4B"/>
    <w:rsid w:val="00C62CD5"/>
    <w:rsid w:val="00C63408"/>
    <w:rsid w:val="00C63655"/>
    <w:rsid w:val="00C6368A"/>
    <w:rsid w:val="00C636E6"/>
    <w:rsid w:val="00C6378B"/>
    <w:rsid w:val="00C639D6"/>
    <w:rsid w:val="00C63D25"/>
    <w:rsid w:val="00C63DD4"/>
    <w:rsid w:val="00C63F8E"/>
    <w:rsid w:val="00C64218"/>
    <w:rsid w:val="00C647FB"/>
    <w:rsid w:val="00C64C36"/>
    <w:rsid w:val="00C64E77"/>
    <w:rsid w:val="00C64F05"/>
    <w:rsid w:val="00C654E0"/>
    <w:rsid w:val="00C661AE"/>
    <w:rsid w:val="00C67700"/>
    <w:rsid w:val="00C67EAB"/>
    <w:rsid w:val="00C67FA1"/>
    <w:rsid w:val="00C70DFF"/>
    <w:rsid w:val="00C71042"/>
    <w:rsid w:val="00C71271"/>
    <w:rsid w:val="00C71A97"/>
    <w:rsid w:val="00C71B7C"/>
    <w:rsid w:val="00C725C9"/>
    <w:rsid w:val="00C726BC"/>
    <w:rsid w:val="00C72BD5"/>
    <w:rsid w:val="00C7368D"/>
    <w:rsid w:val="00C737CC"/>
    <w:rsid w:val="00C744EC"/>
    <w:rsid w:val="00C74A6F"/>
    <w:rsid w:val="00C75162"/>
    <w:rsid w:val="00C75A6B"/>
    <w:rsid w:val="00C75AF9"/>
    <w:rsid w:val="00C75B76"/>
    <w:rsid w:val="00C75EF5"/>
    <w:rsid w:val="00C763B6"/>
    <w:rsid w:val="00C7644F"/>
    <w:rsid w:val="00C768F6"/>
    <w:rsid w:val="00C770F3"/>
    <w:rsid w:val="00C774FB"/>
    <w:rsid w:val="00C80073"/>
    <w:rsid w:val="00C80538"/>
    <w:rsid w:val="00C809B3"/>
    <w:rsid w:val="00C809BC"/>
    <w:rsid w:val="00C80C52"/>
    <w:rsid w:val="00C80D49"/>
    <w:rsid w:val="00C80DEA"/>
    <w:rsid w:val="00C832AE"/>
    <w:rsid w:val="00C832DC"/>
    <w:rsid w:val="00C8377F"/>
    <w:rsid w:val="00C8502B"/>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FA0"/>
    <w:rsid w:val="00C925AA"/>
    <w:rsid w:val="00C92C7F"/>
    <w:rsid w:val="00C9307D"/>
    <w:rsid w:val="00C93586"/>
    <w:rsid w:val="00C9369D"/>
    <w:rsid w:val="00C944FA"/>
    <w:rsid w:val="00C94920"/>
    <w:rsid w:val="00C9554F"/>
    <w:rsid w:val="00C95854"/>
    <w:rsid w:val="00C95DB6"/>
    <w:rsid w:val="00C95EFF"/>
    <w:rsid w:val="00C9644E"/>
    <w:rsid w:val="00C967CE"/>
    <w:rsid w:val="00C96BC9"/>
    <w:rsid w:val="00C96E6F"/>
    <w:rsid w:val="00C96EAD"/>
    <w:rsid w:val="00C97872"/>
    <w:rsid w:val="00C97C96"/>
    <w:rsid w:val="00CA0532"/>
    <w:rsid w:val="00CA14A5"/>
    <w:rsid w:val="00CA195D"/>
    <w:rsid w:val="00CA2028"/>
    <w:rsid w:val="00CA21D8"/>
    <w:rsid w:val="00CA2241"/>
    <w:rsid w:val="00CA294F"/>
    <w:rsid w:val="00CA396C"/>
    <w:rsid w:val="00CA3A72"/>
    <w:rsid w:val="00CA3CDD"/>
    <w:rsid w:val="00CA403B"/>
    <w:rsid w:val="00CA4E2F"/>
    <w:rsid w:val="00CA505A"/>
    <w:rsid w:val="00CA512C"/>
    <w:rsid w:val="00CA54C6"/>
    <w:rsid w:val="00CA55C4"/>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541B"/>
    <w:rsid w:val="00CB593C"/>
    <w:rsid w:val="00CB5B1E"/>
    <w:rsid w:val="00CB62D7"/>
    <w:rsid w:val="00CB676D"/>
    <w:rsid w:val="00CB6C38"/>
    <w:rsid w:val="00CB787A"/>
    <w:rsid w:val="00CC0957"/>
    <w:rsid w:val="00CC0C4A"/>
    <w:rsid w:val="00CC0E27"/>
    <w:rsid w:val="00CC17F0"/>
    <w:rsid w:val="00CC1853"/>
    <w:rsid w:val="00CC1A0A"/>
    <w:rsid w:val="00CC1FAE"/>
    <w:rsid w:val="00CC249B"/>
    <w:rsid w:val="00CC2CDF"/>
    <w:rsid w:val="00CC31B5"/>
    <w:rsid w:val="00CC3808"/>
    <w:rsid w:val="00CC3A23"/>
    <w:rsid w:val="00CC3D07"/>
    <w:rsid w:val="00CC433A"/>
    <w:rsid w:val="00CC4577"/>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39D9"/>
    <w:rsid w:val="00CD41AA"/>
    <w:rsid w:val="00CD44B2"/>
    <w:rsid w:val="00CD46DA"/>
    <w:rsid w:val="00CD5512"/>
    <w:rsid w:val="00CD55C4"/>
    <w:rsid w:val="00CD5603"/>
    <w:rsid w:val="00CD5A86"/>
    <w:rsid w:val="00CD69EC"/>
    <w:rsid w:val="00CD6E3D"/>
    <w:rsid w:val="00CD6F18"/>
    <w:rsid w:val="00CD71AB"/>
    <w:rsid w:val="00CD7400"/>
    <w:rsid w:val="00CE0109"/>
    <w:rsid w:val="00CE0D8C"/>
    <w:rsid w:val="00CE1D82"/>
    <w:rsid w:val="00CE1FC5"/>
    <w:rsid w:val="00CE26A3"/>
    <w:rsid w:val="00CE324B"/>
    <w:rsid w:val="00CE35E8"/>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683"/>
    <w:rsid w:val="00CF0B1E"/>
    <w:rsid w:val="00CF155D"/>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70B"/>
    <w:rsid w:val="00CF7A6A"/>
    <w:rsid w:val="00CF7E2F"/>
    <w:rsid w:val="00D0027D"/>
    <w:rsid w:val="00D0040A"/>
    <w:rsid w:val="00D004FA"/>
    <w:rsid w:val="00D00873"/>
    <w:rsid w:val="00D00884"/>
    <w:rsid w:val="00D0123E"/>
    <w:rsid w:val="00D017D3"/>
    <w:rsid w:val="00D01812"/>
    <w:rsid w:val="00D01B21"/>
    <w:rsid w:val="00D01E2F"/>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0BA2"/>
    <w:rsid w:val="00D11248"/>
    <w:rsid w:val="00D11B0B"/>
    <w:rsid w:val="00D11BD2"/>
    <w:rsid w:val="00D11BFF"/>
    <w:rsid w:val="00D11D79"/>
    <w:rsid w:val="00D12293"/>
    <w:rsid w:val="00D127FB"/>
    <w:rsid w:val="00D131DC"/>
    <w:rsid w:val="00D133E9"/>
    <w:rsid w:val="00D13A89"/>
    <w:rsid w:val="00D13B13"/>
    <w:rsid w:val="00D14236"/>
    <w:rsid w:val="00D143CD"/>
    <w:rsid w:val="00D14553"/>
    <w:rsid w:val="00D14DB1"/>
    <w:rsid w:val="00D15027"/>
    <w:rsid w:val="00D15A76"/>
    <w:rsid w:val="00D15F43"/>
    <w:rsid w:val="00D1620A"/>
    <w:rsid w:val="00D164C3"/>
    <w:rsid w:val="00D16B48"/>
    <w:rsid w:val="00D16E87"/>
    <w:rsid w:val="00D173F6"/>
    <w:rsid w:val="00D177EC"/>
    <w:rsid w:val="00D17B86"/>
    <w:rsid w:val="00D203B8"/>
    <w:rsid w:val="00D2067C"/>
    <w:rsid w:val="00D208D9"/>
    <w:rsid w:val="00D20B8B"/>
    <w:rsid w:val="00D20E14"/>
    <w:rsid w:val="00D210F0"/>
    <w:rsid w:val="00D2162C"/>
    <w:rsid w:val="00D21A3C"/>
    <w:rsid w:val="00D21A6B"/>
    <w:rsid w:val="00D21DD2"/>
    <w:rsid w:val="00D22B39"/>
    <w:rsid w:val="00D233F1"/>
    <w:rsid w:val="00D236E4"/>
    <w:rsid w:val="00D23FF7"/>
    <w:rsid w:val="00D24929"/>
    <w:rsid w:val="00D24D2B"/>
    <w:rsid w:val="00D24D92"/>
    <w:rsid w:val="00D251EF"/>
    <w:rsid w:val="00D2545F"/>
    <w:rsid w:val="00D25617"/>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48D"/>
    <w:rsid w:val="00D347F0"/>
    <w:rsid w:val="00D34A0B"/>
    <w:rsid w:val="00D34AE1"/>
    <w:rsid w:val="00D357C0"/>
    <w:rsid w:val="00D3580A"/>
    <w:rsid w:val="00D36234"/>
    <w:rsid w:val="00D36371"/>
    <w:rsid w:val="00D3710C"/>
    <w:rsid w:val="00D379AB"/>
    <w:rsid w:val="00D37E19"/>
    <w:rsid w:val="00D405B3"/>
    <w:rsid w:val="00D40D05"/>
    <w:rsid w:val="00D4147F"/>
    <w:rsid w:val="00D41AA1"/>
    <w:rsid w:val="00D42333"/>
    <w:rsid w:val="00D42FD2"/>
    <w:rsid w:val="00D43057"/>
    <w:rsid w:val="00D437D8"/>
    <w:rsid w:val="00D43D6A"/>
    <w:rsid w:val="00D44994"/>
    <w:rsid w:val="00D45748"/>
    <w:rsid w:val="00D45B94"/>
    <w:rsid w:val="00D45BC9"/>
    <w:rsid w:val="00D45D29"/>
    <w:rsid w:val="00D45DF3"/>
    <w:rsid w:val="00D46174"/>
    <w:rsid w:val="00D46182"/>
    <w:rsid w:val="00D466D3"/>
    <w:rsid w:val="00D47DD0"/>
    <w:rsid w:val="00D50183"/>
    <w:rsid w:val="00D50579"/>
    <w:rsid w:val="00D50960"/>
    <w:rsid w:val="00D51D12"/>
    <w:rsid w:val="00D53203"/>
    <w:rsid w:val="00D53348"/>
    <w:rsid w:val="00D534A9"/>
    <w:rsid w:val="00D5362B"/>
    <w:rsid w:val="00D546E4"/>
    <w:rsid w:val="00D54937"/>
    <w:rsid w:val="00D549C4"/>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5BE2"/>
    <w:rsid w:val="00D666E0"/>
    <w:rsid w:val="00D66E18"/>
    <w:rsid w:val="00D67107"/>
    <w:rsid w:val="00D671CD"/>
    <w:rsid w:val="00D6734D"/>
    <w:rsid w:val="00D6752A"/>
    <w:rsid w:val="00D679CF"/>
    <w:rsid w:val="00D679D3"/>
    <w:rsid w:val="00D67C42"/>
    <w:rsid w:val="00D70376"/>
    <w:rsid w:val="00D70DDA"/>
    <w:rsid w:val="00D71208"/>
    <w:rsid w:val="00D72407"/>
    <w:rsid w:val="00D7356F"/>
    <w:rsid w:val="00D73587"/>
    <w:rsid w:val="00D739F5"/>
    <w:rsid w:val="00D73C55"/>
    <w:rsid w:val="00D73EBB"/>
    <w:rsid w:val="00D7469D"/>
    <w:rsid w:val="00D74BC1"/>
    <w:rsid w:val="00D751FB"/>
    <w:rsid w:val="00D753CE"/>
    <w:rsid w:val="00D754D6"/>
    <w:rsid w:val="00D7593B"/>
    <w:rsid w:val="00D75ACD"/>
    <w:rsid w:val="00D75E10"/>
    <w:rsid w:val="00D761AA"/>
    <w:rsid w:val="00D76FAE"/>
    <w:rsid w:val="00D777D7"/>
    <w:rsid w:val="00D779E0"/>
    <w:rsid w:val="00D804EA"/>
    <w:rsid w:val="00D80AB8"/>
    <w:rsid w:val="00D80D1C"/>
    <w:rsid w:val="00D812F9"/>
    <w:rsid w:val="00D814B5"/>
    <w:rsid w:val="00D8173A"/>
    <w:rsid w:val="00D8178C"/>
    <w:rsid w:val="00D81792"/>
    <w:rsid w:val="00D819B1"/>
    <w:rsid w:val="00D82437"/>
    <w:rsid w:val="00D82494"/>
    <w:rsid w:val="00D83463"/>
    <w:rsid w:val="00D83AE9"/>
    <w:rsid w:val="00D84BA8"/>
    <w:rsid w:val="00D84ECC"/>
    <w:rsid w:val="00D854EC"/>
    <w:rsid w:val="00D855B9"/>
    <w:rsid w:val="00D857B8"/>
    <w:rsid w:val="00D86152"/>
    <w:rsid w:val="00D87175"/>
    <w:rsid w:val="00D87321"/>
    <w:rsid w:val="00D87ABF"/>
    <w:rsid w:val="00D87AE2"/>
    <w:rsid w:val="00D90C0E"/>
    <w:rsid w:val="00D90CD3"/>
    <w:rsid w:val="00D91374"/>
    <w:rsid w:val="00D91482"/>
    <w:rsid w:val="00D919E6"/>
    <w:rsid w:val="00D91BE1"/>
    <w:rsid w:val="00D92222"/>
    <w:rsid w:val="00D924CA"/>
    <w:rsid w:val="00D92C29"/>
    <w:rsid w:val="00D936E2"/>
    <w:rsid w:val="00D93B2F"/>
    <w:rsid w:val="00D93B95"/>
    <w:rsid w:val="00D945A1"/>
    <w:rsid w:val="00D95104"/>
    <w:rsid w:val="00D9534A"/>
    <w:rsid w:val="00D955BE"/>
    <w:rsid w:val="00D95600"/>
    <w:rsid w:val="00D95C94"/>
    <w:rsid w:val="00D96077"/>
    <w:rsid w:val="00D960E5"/>
    <w:rsid w:val="00D96328"/>
    <w:rsid w:val="00D9683C"/>
    <w:rsid w:val="00D968BC"/>
    <w:rsid w:val="00D96A7F"/>
    <w:rsid w:val="00D96F64"/>
    <w:rsid w:val="00D974EF"/>
    <w:rsid w:val="00D97884"/>
    <w:rsid w:val="00D97899"/>
    <w:rsid w:val="00DA0A7F"/>
    <w:rsid w:val="00DA1C31"/>
    <w:rsid w:val="00DA20BC"/>
    <w:rsid w:val="00DA2C0E"/>
    <w:rsid w:val="00DA2ED7"/>
    <w:rsid w:val="00DA3520"/>
    <w:rsid w:val="00DA3E7A"/>
    <w:rsid w:val="00DA3EE4"/>
    <w:rsid w:val="00DA430C"/>
    <w:rsid w:val="00DA5784"/>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146"/>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156F"/>
    <w:rsid w:val="00DD184D"/>
    <w:rsid w:val="00DD192B"/>
    <w:rsid w:val="00DD2025"/>
    <w:rsid w:val="00DD22EA"/>
    <w:rsid w:val="00DD23A0"/>
    <w:rsid w:val="00DD2A7E"/>
    <w:rsid w:val="00DD2C15"/>
    <w:rsid w:val="00DD397D"/>
    <w:rsid w:val="00DD3EF5"/>
    <w:rsid w:val="00DD44D3"/>
    <w:rsid w:val="00DD458A"/>
    <w:rsid w:val="00DD45C1"/>
    <w:rsid w:val="00DD45F2"/>
    <w:rsid w:val="00DD4FD4"/>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3F9"/>
    <w:rsid w:val="00DE5D60"/>
    <w:rsid w:val="00DE5E32"/>
    <w:rsid w:val="00DE6344"/>
    <w:rsid w:val="00DE6402"/>
    <w:rsid w:val="00DE6721"/>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1422"/>
    <w:rsid w:val="00DF179D"/>
    <w:rsid w:val="00DF1E9C"/>
    <w:rsid w:val="00DF20A0"/>
    <w:rsid w:val="00DF26FD"/>
    <w:rsid w:val="00DF2D6F"/>
    <w:rsid w:val="00DF2EB7"/>
    <w:rsid w:val="00DF37E1"/>
    <w:rsid w:val="00DF3A4B"/>
    <w:rsid w:val="00DF3A83"/>
    <w:rsid w:val="00DF3EBA"/>
    <w:rsid w:val="00DF4462"/>
    <w:rsid w:val="00DF4572"/>
    <w:rsid w:val="00DF4658"/>
    <w:rsid w:val="00DF5508"/>
    <w:rsid w:val="00DF5B71"/>
    <w:rsid w:val="00DF5F1F"/>
    <w:rsid w:val="00DF6006"/>
    <w:rsid w:val="00DF620D"/>
    <w:rsid w:val="00DF6813"/>
    <w:rsid w:val="00DF6C8B"/>
    <w:rsid w:val="00DF6D88"/>
    <w:rsid w:val="00DF6F17"/>
    <w:rsid w:val="00DF78FA"/>
    <w:rsid w:val="00DF7938"/>
    <w:rsid w:val="00E002F1"/>
    <w:rsid w:val="00E0082C"/>
    <w:rsid w:val="00E00BC0"/>
    <w:rsid w:val="00E010BB"/>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38FF"/>
    <w:rsid w:val="00E143E7"/>
    <w:rsid w:val="00E145D6"/>
    <w:rsid w:val="00E14946"/>
    <w:rsid w:val="00E14A42"/>
    <w:rsid w:val="00E14A7E"/>
    <w:rsid w:val="00E151E1"/>
    <w:rsid w:val="00E15A6C"/>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B7E"/>
    <w:rsid w:val="00E25C91"/>
    <w:rsid w:val="00E25DBE"/>
    <w:rsid w:val="00E25F89"/>
    <w:rsid w:val="00E25F8B"/>
    <w:rsid w:val="00E25FB8"/>
    <w:rsid w:val="00E269DA"/>
    <w:rsid w:val="00E26C0B"/>
    <w:rsid w:val="00E2766A"/>
    <w:rsid w:val="00E3020B"/>
    <w:rsid w:val="00E302CC"/>
    <w:rsid w:val="00E3163B"/>
    <w:rsid w:val="00E3165B"/>
    <w:rsid w:val="00E327E5"/>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549"/>
    <w:rsid w:val="00E406DC"/>
    <w:rsid w:val="00E408E7"/>
    <w:rsid w:val="00E40BBD"/>
    <w:rsid w:val="00E41983"/>
    <w:rsid w:val="00E419D9"/>
    <w:rsid w:val="00E421CC"/>
    <w:rsid w:val="00E429ED"/>
    <w:rsid w:val="00E42B69"/>
    <w:rsid w:val="00E43325"/>
    <w:rsid w:val="00E43F37"/>
    <w:rsid w:val="00E44185"/>
    <w:rsid w:val="00E44C06"/>
    <w:rsid w:val="00E450ED"/>
    <w:rsid w:val="00E45A1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A92"/>
    <w:rsid w:val="00E53FA9"/>
    <w:rsid w:val="00E5414C"/>
    <w:rsid w:val="00E54649"/>
    <w:rsid w:val="00E547B3"/>
    <w:rsid w:val="00E55D5A"/>
    <w:rsid w:val="00E56619"/>
    <w:rsid w:val="00E56665"/>
    <w:rsid w:val="00E5682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656"/>
    <w:rsid w:val="00E70B8A"/>
    <w:rsid w:val="00E70BC7"/>
    <w:rsid w:val="00E70C48"/>
    <w:rsid w:val="00E70FBC"/>
    <w:rsid w:val="00E71547"/>
    <w:rsid w:val="00E718F5"/>
    <w:rsid w:val="00E71DEB"/>
    <w:rsid w:val="00E72193"/>
    <w:rsid w:val="00E721D5"/>
    <w:rsid w:val="00E72C01"/>
    <w:rsid w:val="00E7313A"/>
    <w:rsid w:val="00E732F6"/>
    <w:rsid w:val="00E7356F"/>
    <w:rsid w:val="00E741AC"/>
    <w:rsid w:val="00E749D8"/>
    <w:rsid w:val="00E75174"/>
    <w:rsid w:val="00E75B78"/>
    <w:rsid w:val="00E75EBA"/>
    <w:rsid w:val="00E76113"/>
    <w:rsid w:val="00E763B4"/>
    <w:rsid w:val="00E76A12"/>
    <w:rsid w:val="00E76DAC"/>
    <w:rsid w:val="00E777A6"/>
    <w:rsid w:val="00E7782F"/>
    <w:rsid w:val="00E77848"/>
    <w:rsid w:val="00E802AB"/>
    <w:rsid w:val="00E80514"/>
    <w:rsid w:val="00E80E5B"/>
    <w:rsid w:val="00E816C5"/>
    <w:rsid w:val="00E81CD4"/>
    <w:rsid w:val="00E81CE0"/>
    <w:rsid w:val="00E81E7C"/>
    <w:rsid w:val="00E81FFF"/>
    <w:rsid w:val="00E8224D"/>
    <w:rsid w:val="00E82960"/>
    <w:rsid w:val="00E840E3"/>
    <w:rsid w:val="00E845AB"/>
    <w:rsid w:val="00E8519F"/>
    <w:rsid w:val="00E85217"/>
    <w:rsid w:val="00E85426"/>
    <w:rsid w:val="00E855CD"/>
    <w:rsid w:val="00E85CC3"/>
    <w:rsid w:val="00E8644A"/>
    <w:rsid w:val="00E868B0"/>
    <w:rsid w:val="00E868FF"/>
    <w:rsid w:val="00E87391"/>
    <w:rsid w:val="00E873D1"/>
    <w:rsid w:val="00E87589"/>
    <w:rsid w:val="00E877C5"/>
    <w:rsid w:val="00E87B02"/>
    <w:rsid w:val="00E87DF8"/>
    <w:rsid w:val="00E90279"/>
    <w:rsid w:val="00E902EA"/>
    <w:rsid w:val="00E90635"/>
    <w:rsid w:val="00E909A1"/>
    <w:rsid w:val="00E90BFF"/>
    <w:rsid w:val="00E9171D"/>
    <w:rsid w:val="00E91858"/>
    <w:rsid w:val="00E91E08"/>
    <w:rsid w:val="00E91F04"/>
    <w:rsid w:val="00E91F35"/>
    <w:rsid w:val="00E923F3"/>
    <w:rsid w:val="00E92F0B"/>
    <w:rsid w:val="00E9304E"/>
    <w:rsid w:val="00E93497"/>
    <w:rsid w:val="00E93A2D"/>
    <w:rsid w:val="00E940D6"/>
    <w:rsid w:val="00E943C2"/>
    <w:rsid w:val="00E94B38"/>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6FC"/>
    <w:rsid w:val="00EA28C9"/>
    <w:rsid w:val="00EA2ED3"/>
    <w:rsid w:val="00EA34E5"/>
    <w:rsid w:val="00EA373A"/>
    <w:rsid w:val="00EA3B5A"/>
    <w:rsid w:val="00EA3BF4"/>
    <w:rsid w:val="00EA410E"/>
    <w:rsid w:val="00EA4BB2"/>
    <w:rsid w:val="00EA4DDA"/>
    <w:rsid w:val="00EA4FD1"/>
    <w:rsid w:val="00EA53C2"/>
    <w:rsid w:val="00EA5695"/>
    <w:rsid w:val="00EA5B0A"/>
    <w:rsid w:val="00EA5F5E"/>
    <w:rsid w:val="00EA61F6"/>
    <w:rsid w:val="00EA65AD"/>
    <w:rsid w:val="00EA6AA2"/>
    <w:rsid w:val="00EA7A95"/>
    <w:rsid w:val="00EA7BF3"/>
    <w:rsid w:val="00EA7FCF"/>
    <w:rsid w:val="00EB0130"/>
    <w:rsid w:val="00EB0CA3"/>
    <w:rsid w:val="00EB0F98"/>
    <w:rsid w:val="00EB0FCB"/>
    <w:rsid w:val="00EB104F"/>
    <w:rsid w:val="00EB14AA"/>
    <w:rsid w:val="00EB160C"/>
    <w:rsid w:val="00EB169E"/>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EA3"/>
    <w:rsid w:val="00EC56E0"/>
    <w:rsid w:val="00EC6057"/>
    <w:rsid w:val="00EC6847"/>
    <w:rsid w:val="00EC7534"/>
    <w:rsid w:val="00EC770F"/>
    <w:rsid w:val="00EC7B0D"/>
    <w:rsid w:val="00EC7DB6"/>
    <w:rsid w:val="00ED01CD"/>
    <w:rsid w:val="00ED0B07"/>
    <w:rsid w:val="00ED1337"/>
    <w:rsid w:val="00ED162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C42"/>
    <w:rsid w:val="00EE3D4F"/>
    <w:rsid w:val="00EE3E62"/>
    <w:rsid w:val="00EE4B09"/>
    <w:rsid w:val="00EE51D3"/>
    <w:rsid w:val="00EE534D"/>
    <w:rsid w:val="00EE53A1"/>
    <w:rsid w:val="00EE5560"/>
    <w:rsid w:val="00EE6528"/>
    <w:rsid w:val="00EE688F"/>
    <w:rsid w:val="00EE6A6E"/>
    <w:rsid w:val="00EE6F1E"/>
    <w:rsid w:val="00EE7359"/>
    <w:rsid w:val="00EE760C"/>
    <w:rsid w:val="00EE7977"/>
    <w:rsid w:val="00EE7B8B"/>
    <w:rsid w:val="00EF0266"/>
    <w:rsid w:val="00EF0348"/>
    <w:rsid w:val="00EF04E3"/>
    <w:rsid w:val="00EF0862"/>
    <w:rsid w:val="00EF0A2F"/>
    <w:rsid w:val="00EF1F9C"/>
    <w:rsid w:val="00EF205E"/>
    <w:rsid w:val="00EF232A"/>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A52"/>
    <w:rsid w:val="00F03E79"/>
    <w:rsid w:val="00F045E8"/>
    <w:rsid w:val="00F04CE1"/>
    <w:rsid w:val="00F05705"/>
    <w:rsid w:val="00F0591A"/>
    <w:rsid w:val="00F05A08"/>
    <w:rsid w:val="00F0628D"/>
    <w:rsid w:val="00F06651"/>
    <w:rsid w:val="00F0666F"/>
    <w:rsid w:val="00F07660"/>
    <w:rsid w:val="00F07DE6"/>
    <w:rsid w:val="00F10232"/>
    <w:rsid w:val="00F10551"/>
    <w:rsid w:val="00F1056C"/>
    <w:rsid w:val="00F1058F"/>
    <w:rsid w:val="00F106FF"/>
    <w:rsid w:val="00F107F1"/>
    <w:rsid w:val="00F10DCD"/>
    <w:rsid w:val="00F10E66"/>
    <w:rsid w:val="00F10EDF"/>
    <w:rsid w:val="00F10FC1"/>
    <w:rsid w:val="00F112FD"/>
    <w:rsid w:val="00F123AF"/>
    <w:rsid w:val="00F1269F"/>
    <w:rsid w:val="00F12A51"/>
    <w:rsid w:val="00F13376"/>
    <w:rsid w:val="00F133A1"/>
    <w:rsid w:val="00F1368F"/>
    <w:rsid w:val="00F13ECD"/>
    <w:rsid w:val="00F14328"/>
    <w:rsid w:val="00F155CE"/>
    <w:rsid w:val="00F156C0"/>
    <w:rsid w:val="00F166B7"/>
    <w:rsid w:val="00F17166"/>
    <w:rsid w:val="00F174FA"/>
    <w:rsid w:val="00F17EAE"/>
    <w:rsid w:val="00F17F4D"/>
    <w:rsid w:val="00F2006A"/>
    <w:rsid w:val="00F20EB9"/>
    <w:rsid w:val="00F218D4"/>
    <w:rsid w:val="00F21958"/>
    <w:rsid w:val="00F2250A"/>
    <w:rsid w:val="00F22738"/>
    <w:rsid w:val="00F238DC"/>
    <w:rsid w:val="00F2457C"/>
    <w:rsid w:val="00F24788"/>
    <w:rsid w:val="00F24947"/>
    <w:rsid w:val="00F24A06"/>
    <w:rsid w:val="00F24DEB"/>
    <w:rsid w:val="00F250AB"/>
    <w:rsid w:val="00F2578E"/>
    <w:rsid w:val="00F25B7F"/>
    <w:rsid w:val="00F2635F"/>
    <w:rsid w:val="00F2640F"/>
    <w:rsid w:val="00F265BD"/>
    <w:rsid w:val="00F26B80"/>
    <w:rsid w:val="00F273DC"/>
    <w:rsid w:val="00F27C34"/>
    <w:rsid w:val="00F27E46"/>
    <w:rsid w:val="00F301C2"/>
    <w:rsid w:val="00F302E1"/>
    <w:rsid w:val="00F30A0F"/>
    <w:rsid w:val="00F30A46"/>
    <w:rsid w:val="00F30E7C"/>
    <w:rsid w:val="00F31442"/>
    <w:rsid w:val="00F31A58"/>
    <w:rsid w:val="00F31B22"/>
    <w:rsid w:val="00F31B49"/>
    <w:rsid w:val="00F322B6"/>
    <w:rsid w:val="00F32B12"/>
    <w:rsid w:val="00F32F56"/>
    <w:rsid w:val="00F33797"/>
    <w:rsid w:val="00F33D4F"/>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124D"/>
    <w:rsid w:val="00F419B4"/>
    <w:rsid w:val="00F41B62"/>
    <w:rsid w:val="00F41D7E"/>
    <w:rsid w:val="00F41F05"/>
    <w:rsid w:val="00F42054"/>
    <w:rsid w:val="00F4216F"/>
    <w:rsid w:val="00F4251B"/>
    <w:rsid w:val="00F429C4"/>
    <w:rsid w:val="00F429E6"/>
    <w:rsid w:val="00F42C0A"/>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A7B"/>
    <w:rsid w:val="00F54CE5"/>
    <w:rsid w:val="00F55043"/>
    <w:rsid w:val="00F55A2F"/>
    <w:rsid w:val="00F55BE7"/>
    <w:rsid w:val="00F55C77"/>
    <w:rsid w:val="00F5645E"/>
    <w:rsid w:val="00F56DCF"/>
    <w:rsid w:val="00F57034"/>
    <w:rsid w:val="00F60010"/>
    <w:rsid w:val="00F607DD"/>
    <w:rsid w:val="00F608E3"/>
    <w:rsid w:val="00F60BC5"/>
    <w:rsid w:val="00F60BE9"/>
    <w:rsid w:val="00F60EB2"/>
    <w:rsid w:val="00F61267"/>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A29"/>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5BA2"/>
    <w:rsid w:val="00F85FD2"/>
    <w:rsid w:val="00F86390"/>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5EC"/>
    <w:rsid w:val="00F91BAA"/>
    <w:rsid w:val="00F91C02"/>
    <w:rsid w:val="00F91D48"/>
    <w:rsid w:val="00F91DD8"/>
    <w:rsid w:val="00F921F8"/>
    <w:rsid w:val="00F9221F"/>
    <w:rsid w:val="00F931C7"/>
    <w:rsid w:val="00F93559"/>
    <w:rsid w:val="00F938CF"/>
    <w:rsid w:val="00F93A13"/>
    <w:rsid w:val="00F93C65"/>
    <w:rsid w:val="00F93D72"/>
    <w:rsid w:val="00F93E65"/>
    <w:rsid w:val="00F94070"/>
    <w:rsid w:val="00F94529"/>
    <w:rsid w:val="00F94984"/>
    <w:rsid w:val="00F950B5"/>
    <w:rsid w:val="00F9513F"/>
    <w:rsid w:val="00F95A6E"/>
    <w:rsid w:val="00F96249"/>
    <w:rsid w:val="00F9649D"/>
    <w:rsid w:val="00F96856"/>
    <w:rsid w:val="00F97908"/>
    <w:rsid w:val="00F97AF7"/>
    <w:rsid w:val="00F97B43"/>
    <w:rsid w:val="00F97C64"/>
    <w:rsid w:val="00F97FB8"/>
    <w:rsid w:val="00FA027A"/>
    <w:rsid w:val="00FA07F8"/>
    <w:rsid w:val="00FA0A77"/>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7189"/>
    <w:rsid w:val="00FA7C14"/>
    <w:rsid w:val="00FB0082"/>
    <w:rsid w:val="00FB0243"/>
    <w:rsid w:val="00FB0E87"/>
    <w:rsid w:val="00FB1527"/>
    <w:rsid w:val="00FB2537"/>
    <w:rsid w:val="00FB29CA"/>
    <w:rsid w:val="00FB305A"/>
    <w:rsid w:val="00FB30FC"/>
    <w:rsid w:val="00FB33DC"/>
    <w:rsid w:val="00FB4313"/>
    <w:rsid w:val="00FB4338"/>
    <w:rsid w:val="00FB477E"/>
    <w:rsid w:val="00FB4C9C"/>
    <w:rsid w:val="00FB4D0A"/>
    <w:rsid w:val="00FB51A2"/>
    <w:rsid w:val="00FB5BAE"/>
    <w:rsid w:val="00FB5F43"/>
    <w:rsid w:val="00FB6165"/>
    <w:rsid w:val="00FB6818"/>
    <w:rsid w:val="00FB7333"/>
    <w:rsid w:val="00FB744F"/>
    <w:rsid w:val="00FB7FA7"/>
    <w:rsid w:val="00FC0150"/>
    <w:rsid w:val="00FC033E"/>
    <w:rsid w:val="00FC03AB"/>
    <w:rsid w:val="00FC0755"/>
    <w:rsid w:val="00FC076A"/>
    <w:rsid w:val="00FC0A61"/>
    <w:rsid w:val="00FC12BA"/>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A97"/>
    <w:rsid w:val="00FD1D4E"/>
    <w:rsid w:val="00FD2089"/>
    <w:rsid w:val="00FD2D7B"/>
    <w:rsid w:val="00FD3291"/>
    <w:rsid w:val="00FD37F6"/>
    <w:rsid w:val="00FD4589"/>
    <w:rsid w:val="00FD46DF"/>
    <w:rsid w:val="00FD473E"/>
    <w:rsid w:val="00FD548D"/>
    <w:rsid w:val="00FD59E0"/>
    <w:rsid w:val="00FD5F6D"/>
    <w:rsid w:val="00FD6279"/>
    <w:rsid w:val="00FD66BB"/>
    <w:rsid w:val="00FD79AB"/>
    <w:rsid w:val="00FD7A5E"/>
    <w:rsid w:val="00FD7DD0"/>
    <w:rsid w:val="00FD7DF9"/>
    <w:rsid w:val="00FD7FF2"/>
    <w:rsid w:val="00FE0B51"/>
    <w:rsid w:val="00FE0B78"/>
    <w:rsid w:val="00FE0D8D"/>
    <w:rsid w:val="00FE0ED4"/>
    <w:rsid w:val="00FE16DD"/>
    <w:rsid w:val="00FE1EAB"/>
    <w:rsid w:val="00FE27D8"/>
    <w:rsid w:val="00FE2F08"/>
    <w:rsid w:val="00FE3465"/>
    <w:rsid w:val="00FE3B65"/>
    <w:rsid w:val="00FE51F6"/>
    <w:rsid w:val="00FE602C"/>
    <w:rsid w:val="00FE64C8"/>
    <w:rsid w:val="00FE67CF"/>
    <w:rsid w:val="00FE6D20"/>
    <w:rsid w:val="00FE6FB9"/>
    <w:rsid w:val="00FE7549"/>
    <w:rsid w:val="00FE75CF"/>
    <w:rsid w:val="00FE7BCC"/>
    <w:rsid w:val="00FF126D"/>
    <w:rsid w:val="00FF1AC3"/>
    <w:rsid w:val="00FF1CE3"/>
    <w:rsid w:val="00FF2310"/>
    <w:rsid w:val="00FF27D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BodyTextChar">
    <w:name w:val="Body Text Char"/>
    <w:basedOn w:val="DefaultParagraphFont"/>
    <w:link w:val="BodyText"/>
    <w:rsid w:val="00A17E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3517">
      <w:bodyDiv w:val="1"/>
      <w:marLeft w:val="0"/>
      <w:marRight w:val="0"/>
      <w:marTop w:val="0"/>
      <w:marBottom w:val="0"/>
      <w:divBdr>
        <w:top w:val="none" w:sz="0" w:space="0" w:color="auto"/>
        <w:left w:val="none" w:sz="0" w:space="0" w:color="auto"/>
        <w:bottom w:val="none" w:sz="0" w:space="0" w:color="auto"/>
        <w:right w:val="none" w:sz="0" w:space="0" w:color="auto"/>
      </w:divBdr>
    </w:div>
    <w:div w:id="130681743">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71475243">
      <w:bodyDiv w:val="1"/>
      <w:marLeft w:val="0"/>
      <w:marRight w:val="0"/>
      <w:marTop w:val="0"/>
      <w:marBottom w:val="0"/>
      <w:divBdr>
        <w:top w:val="none" w:sz="0" w:space="0" w:color="auto"/>
        <w:left w:val="none" w:sz="0" w:space="0" w:color="auto"/>
        <w:bottom w:val="none" w:sz="0" w:space="0" w:color="auto"/>
        <w:right w:val="none" w:sz="0" w:space="0" w:color="auto"/>
      </w:divBdr>
    </w:div>
    <w:div w:id="281958704">
      <w:bodyDiv w:val="1"/>
      <w:marLeft w:val="0"/>
      <w:marRight w:val="0"/>
      <w:marTop w:val="0"/>
      <w:marBottom w:val="0"/>
      <w:divBdr>
        <w:top w:val="none" w:sz="0" w:space="0" w:color="auto"/>
        <w:left w:val="none" w:sz="0" w:space="0" w:color="auto"/>
        <w:bottom w:val="none" w:sz="0" w:space="0" w:color="auto"/>
        <w:right w:val="none" w:sz="0" w:space="0" w:color="auto"/>
      </w:divBdr>
    </w:div>
    <w:div w:id="30717270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39014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507949">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398133783">
      <w:bodyDiv w:val="1"/>
      <w:marLeft w:val="0"/>
      <w:marRight w:val="0"/>
      <w:marTop w:val="0"/>
      <w:marBottom w:val="0"/>
      <w:divBdr>
        <w:top w:val="none" w:sz="0" w:space="0" w:color="auto"/>
        <w:left w:val="none" w:sz="0" w:space="0" w:color="auto"/>
        <w:bottom w:val="none" w:sz="0" w:space="0" w:color="auto"/>
        <w:right w:val="none" w:sz="0" w:space="0" w:color="auto"/>
      </w:divBdr>
    </w:div>
    <w:div w:id="417872311">
      <w:bodyDiv w:val="1"/>
      <w:marLeft w:val="0"/>
      <w:marRight w:val="0"/>
      <w:marTop w:val="0"/>
      <w:marBottom w:val="0"/>
      <w:divBdr>
        <w:top w:val="none" w:sz="0" w:space="0" w:color="auto"/>
        <w:left w:val="none" w:sz="0" w:space="0" w:color="auto"/>
        <w:bottom w:val="none" w:sz="0" w:space="0" w:color="auto"/>
        <w:right w:val="none" w:sz="0" w:space="0" w:color="auto"/>
      </w:divBdr>
    </w:div>
    <w:div w:id="418991720">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18785069">
      <w:bodyDiv w:val="1"/>
      <w:marLeft w:val="0"/>
      <w:marRight w:val="0"/>
      <w:marTop w:val="0"/>
      <w:marBottom w:val="0"/>
      <w:divBdr>
        <w:top w:val="none" w:sz="0" w:space="0" w:color="auto"/>
        <w:left w:val="none" w:sz="0" w:space="0" w:color="auto"/>
        <w:bottom w:val="none" w:sz="0" w:space="0" w:color="auto"/>
        <w:right w:val="none" w:sz="0" w:space="0" w:color="auto"/>
      </w:divBdr>
    </w:div>
    <w:div w:id="5758193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32947905">
      <w:bodyDiv w:val="1"/>
      <w:marLeft w:val="0"/>
      <w:marRight w:val="0"/>
      <w:marTop w:val="0"/>
      <w:marBottom w:val="0"/>
      <w:divBdr>
        <w:top w:val="none" w:sz="0" w:space="0" w:color="auto"/>
        <w:left w:val="none" w:sz="0" w:space="0" w:color="auto"/>
        <w:bottom w:val="none" w:sz="0" w:space="0" w:color="auto"/>
        <w:right w:val="none" w:sz="0" w:space="0" w:color="auto"/>
      </w:divBdr>
    </w:div>
    <w:div w:id="694115922">
      <w:bodyDiv w:val="1"/>
      <w:marLeft w:val="0"/>
      <w:marRight w:val="0"/>
      <w:marTop w:val="0"/>
      <w:marBottom w:val="0"/>
      <w:divBdr>
        <w:top w:val="none" w:sz="0" w:space="0" w:color="auto"/>
        <w:left w:val="none" w:sz="0" w:space="0" w:color="auto"/>
        <w:bottom w:val="none" w:sz="0" w:space="0" w:color="auto"/>
        <w:right w:val="none" w:sz="0" w:space="0" w:color="auto"/>
      </w:divBdr>
    </w:div>
    <w:div w:id="743068747">
      <w:bodyDiv w:val="1"/>
      <w:marLeft w:val="0"/>
      <w:marRight w:val="0"/>
      <w:marTop w:val="0"/>
      <w:marBottom w:val="0"/>
      <w:divBdr>
        <w:top w:val="none" w:sz="0" w:space="0" w:color="auto"/>
        <w:left w:val="none" w:sz="0" w:space="0" w:color="auto"/>
        <w:bottom w:val="none" w:sz="0" w:space="0" w:color="auto"/>
        <w:right w:val="none" w:sz="0" w:space="0" w:color="auto"/>
      </w:divBdr>
    </w:div>
    <w:div w:id="836965350">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45751989">
      <w:bodyDiv w:val="1"/>
      <w:marLeft w:val="0"/>
      <w:marRight w:val="0"/>
      <w:marTop w:val="0"/>
      <w:marBottom w:val="0"/>
      <w:divBdr>
        <w:top w:val="none" w:sz="0" w:space="0" w:color="auto"/>
        <w:left w:val="none" w:sz="0" w:space="0" w:color="auto"/>
        <w:bottom w:val="none" w:sz="0" w:space="0" w:color="auto"/>
        <w:right w:val="none" w:sz="0" w:space="0" w:color="auto"/>
      </w:divBdr>
    </w:div>
    <w:div w:id="853036394">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29897279">
      <w:bodyDiv w:val="1"/>
      <w:marLeft w:val="0"/>
      <w:marRight w:val="0"/>
      <w:marTop w:val="0"/>
      <w:marBottom w:val="0"/>
      <w:divBdr>
        <w:top w:val="none" w:sz="0" w:space="0" w:color="auto"/>
        <w:left w:val="none" w:sz="0" w:space="0" w:color="auto"/>
        <w:bottom w:val="none" w:sz="0" w:space="0" w:color="auto"/>
        <w:right w:val="none" w:sz="0" w:space="0" w:color="auto"/>
      </w:divBdr>
    </w:div>
    <w:div w:id="950740384">
      <w:bodyDiv w:val="1"/>
      <w:marLeft w:val="0"/>
      <w:marRight w:val="0"/>
      <w:marTop w:val="0"/>
      <w:marBottom w:val="0"/>
      <w:divBdr>
        <w:top w:val="none" w:sz="0" w:space="0" w:color="auto"/>
        <w:left w:val="none" w:sz="0" w:space="0" w:color="auto"/>
        <w:bottom w:val="none" w:sz="0" w:space="0" w:color="auto"/>
        <w:right w:val="none" w:sz="0" w:space="0" w:color="auto"/>
      </w:divBdr>
    </w:div>
    <w:div w:id="95625778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0818053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1468995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4947450">
      <w:bodyDiv w:val="1"/>
      <w:marLeft w:val="0"/>
      <w:marRight w:val="0"/>
      <w:marTop w:val="0"/>
      <w:marBottom w:val="0"/>
      <w:divBdr>
        <w:top w:val="none" w:sz="0" w:space="0" w:color="auto"/>
        <w:left w:val="none" w:sz="0" w:space="0" w:color="auto"/>
        <w:bottom w:val="none" w:sz="0" w:space="0" w:color="auto"/>
        <w:right w:val="none" w:sz="0" w:space="0" w:color="auto"/>
      </w:divBdr>
    </w:div>
    <w:div w:id="1584144894">
      <w:bodyDiv w:val="1"/>
      <w:marLeft w:val="0"/>
      <w:marRight w:val="0"/>
      <w:marTop w:val="0"/>
      <w:marBottom w:val="0"/>
      <w:divBdr>
        <w:top w:val="none" w:sz="0" w:space="0" w:color="auto"/>
        <w:left w:val="none" w:sz="0" w:space="0" w:color="auto"/>
        <w:bottom w:val="none" w:sz="0" w:space="0" w:color="auto"/>
        <w:right w:val="none" w:sz="0" w:space="0" w:color="auto"/>
      </w:divBdr>
    </w:div>
    <w:div w:id="1602764656">
      <w:bodyDiv w:val="1"/>
      <w:marLeft w:val="0"/>
      <w:marRight w:val="0"/>
      <w:marTop w:val="0"/>
      <w:marBottom w:val="0"/>
      <w:divBdr>
        <w:top w:val="none" w:sz="0" w:space="0" w:color="auto"/>
        <w:left w:val="none" w:sz="0" w:space="0" w:color="auto"/>
        <w:bottom w:val="none" w:sz="0" w:space="0" w:color="auto"/>
        <w:right w:val="none" w:sz="0" w:space="0" w:color="auto"/>
      </w:divBdr>
    </w:div>
    <w:div w:id="1619989368">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3745638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28813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408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31FFE155-248C-4E5A-9634-2ADE1FD006D1}">
  <ds:schemaRefs>
    <ds:schemaRef ds:uri="http://schemas.openxmlformats.org/officeDocument/2006/bibliography"/>
  </ds:schemaRefs>
</ds:datastoreItem>
</file>

<file path=customXml/itemProps2.xml><?xml version="1.0" encoding="utf-8"?>
<ds:datastoreItem xmlns:ds="http://schemas.openxmlformats.org/officeDocument/2006/customXml" ds:itemID="{2EF9A4B7-C943-4558-8772-FA05CB8C4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6599</Words>
  <Characters>37617</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44128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3</cp:revision>
  <cp:lastPrinted>2016-05-13T20:14:00Z</cp:lastPrinted>
  <dcterms:created xsi:type="dcterms:W3CDTF">2020-10-23T09:44:00Z</dcterms:created>
  <dcterms:modified xsi:type="dcterms:W3CDTF">2020-10-23T09:44:00Z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