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IITM, Reliance Jio, Tejas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IITM, Reliance Jio, Tejas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IITM, Reliance Jio, Tejas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IITM, Reliance Jio, Tejas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Reliance Jio, Tejas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IITM, Reliance Jio, Tejas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w:t>
      </w:r>
      <w:proofErr w:type="spellStart"/>
      <w:r w:rsidRPr="00231CAE">
        <w:t>v.s</w:t>
      </w:r>
      <w:proofErr w:type="spellEnd"/>
      <w:r w:rsidRPr="00231CAE">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p w14:paraId="410E891C" w14:textId="6E1E6CFF" w:rsidR="00E90E2C" w:rsidRDefault="00E90E2C" w:rsidP="00E90E2C">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65D9CA9E" w14:textId="2BEE4BF7" w:rsidR="00456E74" w:rsidRPr="00D32F35" w:rsidRDefault="00456E74" w:rsidP="00D32F35">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1ABEC5FF" w:rsid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3BE841B" w14:textId="7F4EDF60" w:rsidR="009854E3" w:rsidRDefault="009854E3" w:rsidP="00170A97">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bookmarkEnd w:id="7"/>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xml:space="preserve">’, it also seems not necessary since the PUCCH transmission is postponed due to collision with DL resource or </w:t>
            </w:r>
            <w:proofErr w:type="spellStart"/>
            <w:r>
              <w:rPr>
                <w:lang w:eastAsia="zh-CN"/>
              </w:rPr>
              <w:t>canceled</w:t>
            </w:r>
            <w:proofErr w:type="spellEnd"/>
            <w:r>
              <w:rPr>
                <w:lang w:eastAsia="zh-CN"/>
              </w:rPr>
              <w:t xml:space="preserve">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IITH, IITM, CEWIT, Tejas Networks, Reliance Jio</w:t>
            </w:r>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Similar to the agreement for prioritized solutions, we suggest to add “</w:t>
            </w:r>
            <w:r w:rsidRPr="00231CAE">
              <w:rPr>
                <w:rStyle w:val="Emphasis"/>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 xml:space="preserve">We would like to clarify our understanding of “can be further studied” vs “prioritizing study”. “can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are also under the discussion in Rel-17 URLLC. To avoid duplicated work, suggest to consider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2A83F86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r w:rsidR="00A03F31" w14:paraId="05BDA669" w14:textId="77777777" w:rsidTr="000927A6">
        <w:tblPrEx>
          <w:jc w:val="left"/>
        </w:tblPrEx>
        <w:tc>
          <w:tcPr>
            <w:tcW w:w="1165" w:type="dxa"/>
          </w:tcPr>
          <w:p w14:paraId="64784FF6" w14:textId="1D814C5B" w:rsidR="00A03F31" w:rsidRDefault="00A03F31" w:rsidP="00050B34">
            <w:pPr>
              <w:rPr>
                <w:lang w:eastAsia="zh-CN"/>
              </w:rPr>
            </w:pPr>
            <w:r>
              <w:rPr>
                <w:lang w:eastAsia="zh-CN"/>
              </w:rPr>
              <w:lastRenderedPageBreak/>
              <w:t>Samsung</w:t>
            </w:r>
          </w:p>
        </w:tc>
        <w:tc>
          <w:tcPr>
            <w:tcW w:w="7290" w:type="dxa"/>
          </w:tcPr>
          <w:p w14:paraId="76A07BE3" w14:textId="014BC67E" w:rsidR="00A03F31" w:rsidRDefault="00CD470F" w:rsidP="00D305AA">
            <w:pPr>
              <w:rPr>
                <w:lang w:eastAsia="zh-CN"/>
              </w:rPr>
            </w:pPr>
            <w:r>
              <w:rPr>
                <w:lang w:eastAsia="zh-CN"/>
              </w:rPr>
              <w:t xml:space="preserve">Ok to have such agreement with a list of solutions. The wording “can be studied” is fine. The list can be pruned: some topics do not </w:t>
            </w:r>
            <w:r w:rsidR="00D305AA">
              <w:rPr>
                <w:lang w:eastAsia="zh-CN"/>
              </w:rPr>
              <w:t xml:space="preserve">even </w:t>
            </w:r>
            <w:r>
              <w:rPr>
                <w:lang w:eastAsia="zh-CN"/>
              </w:rPr>
              <w:t xml:space="preserve">belong to this SI (UCI size reduction, mini-slot) </w:t>
            </w:r>
            <w:r w:rsidR="00D305AA">
              <w:rPr>
                <w:lang w:eastAsia="zh-CN"/>
              </w:rPr>
              <w:t>and some other</w:t>
            </w:r>
            <w:r w:rsidR="0059318A">
              <w:rPr>
                <w:lang w:eastAsia="zh-CN"/>
              </w:rPr>
              <w:t>s</w:t>
            </w:r>
            <w:r w:rsidR="00D305AA">
              <w:rPr>
                <w:lang w:eastAsia="zh-CN"/>
              </w:rPr>
              <w:t xml:space="preserve"> have been suggested to be removed </w:t>
            </w:r>
            <w:r w:rsidR="0059318A">
              <w:rPr>
                <w:lang w:eastAsia="zh-CN"/>
              </w:rPr>
              <w:t xml:space="preserve">already </w:t>
            </w:r>
            <w:r w:rsidR="00D305AA">
              <w:rPr>
                <w:lang w:eastAsia="zh-CN"/>
              </w:rPr>
              <w:t>in previous rounds of comments – at least such topics should be deleted.</w:t>
            </w:r>
          </w:p>
        </w:tc>
      </w:tr>
      <w:tr w:rsidR="002E2380" w14:paraId="7ABAF8AE" w14:textId="77777777" w:rsidTr="000927A6">
        <w:tblPrEx>
          <w:jc w:val="left"/>
        </w:tblPrEx>
        <w:tc>
          <w:tcPr>
            <w:tcW w:w="1165" w:type="dxa"/>
          </w:tcPr>
          <w:p w14:paraId="1B34D448" w14:textId="3FC3445D" w:rsidR="002E2380" w:rsidRDefault="002E2380" w:rsidP="002E2380">
            <w:pPr>
              <w:rPr>
                <w:lang w:eastAsia="zh-CN"/>
              </w:rPr>
            </w:pPr>
            <w:r>
              <w:rPr>
                <w:lang w:eastAsia="zh-CN"/>
              </w:rPr>
              <w:t>QC</w:t>
            </w:r>
          </w:p>
        </w:tc>
        <w:tc>
          <w:tcPr>
            <w:tcW w:w="7290" w:type="dxa"/>
          </w:tcPr>
          <w:p w14:paraId="412281BF" w14:textId="77777777" w:rsidR="002E2380" w:rsidRDefault="002E2380" w:rsidP="002E2380">
            <w:pPr>
              <w:rPr>
                <w:lang w:eastAsia="zh-CN"/>
              </w:rPr>
            </w:pPr>
            <w:r>
              <w:rPr>
                <w:lang w:eastAsia="zh-CN"/>
              </w:rPr>
              <w:t>We support to further study “</w:t>
            </w:r>
            <w:r w:rsidRPr="0024096A">
              <w:rPr>
                <w:lang w:eastAsia="zh-CN"/>
              </w:rPr>
              <w:t>Sequence based PF 0/1 with Pi/2 BPSK”</w:t>
            </w:r>
            <w:r>
              <w:rPr>
                <w:lang w:eastAsia="zh-CN"/>
              </w:rPr>
              <w:t>. Rel-16 defined new Pi/2 BPSK based CGS that can further reduce the PAPR by 1.3 dB on top of the Rel-15 QPSK CGS. See the following figure from a study carried out under “low PAPR RS” sub-agenda in Rel-16. All that is necessary is for us to reuse those already specified length-12 Pi/2 BPSK sequences on PF0/1. There is very minor spec impact to explore 1.3dB PAPR gain, why not consider it?</w:t>
            </w:r>
          </w:p>
          <w:p w14:paraId="63D84DAF" w14:textId="77777777" w:rsidR="002E2380" w:rsidRDefault="002E2380" w:rsidP="002E2380">
            <w:pPr>
              <w:jc w:val="center"/>
              <w:rPr>
                <w:lang w:eastAsia="zh-CN"/>
              </w:rPr>
            </w:pPr>
            <w:r w:rsidRPr="002A7E64">
              <w:rPr>
                <w:noProof/>
              </w:rPr>
              <w:drawing>
                <wp:inline distT="0" distB="0" distL="0" distR="0" wp14:anchorId="0F4701DC" wp14:editId="321EFF42">
                  <wp:extent cx="2959117" cy="2234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312" t="1048" r="8342" b="-437"/>
                          <a:stretch/>
                        </pic:blipFill>
                        <pic:spPr bwMode="auto">
                          <a:xfrm>
                            <a:off x="0" y="0"/>
                            <a:ext cx="2992379" cy="2259683"/>
                          </a:xfrm>
                          <a:prstGeom prst="rect">
                            <a:avLst/>
                          </a:prstGeom>
                          <a:ln>
                            <a:noFill/>
                          </a:ln>
                          <a:extLst>
                            <a:ext uri="{53640926-AAD7-44D8-BBD7-CCE9431645EC}">
                              <a14:shadowObscured xmlns:a14="http://schemas.microsoft.com/office/drawing/2010/main"/>
                            </a:ext>
                          </a:extLst>
                        </pic:spPr>
                      </pic:pic>
                    </a:graphicData>
                  </a:graphic>
                </wp:inline>
              </w:drawing>
            </w:r>
          </w:p>
          <w:p w14:paraId="7C290F7B" w14:textId="77777777" w:rsidR="002E2380" w:rsidRDefault="002E2380" w:rsidP="002E2380">
            <w:pPr>
              <w:jc w:val="left"/>
              <w:rPr>
                <w:lang w:eastAsia="zh-CN"/>
              </w:rPr>
            </w:pPr>
            <w:r>
              <w:rPr>
                <w:lang w:eastAsia="zh-CN"/>
              </w:rPr>
              <w:t xml:space="preserve">We also support to study </w:t>
            </w:r>
            <w:proofErr w:type="spellStart"/>
            <w:r>
              <w:rPr>
                <w:lang w:eastAsia="zh-CN"/>
              </w:rPr>
              <w:t>preDFT</w:t>
            </w:r>
            <w:proofErr w:type="spellEnd"/>
            <w:r>
              <w:rPr>
                <w:lang w:eastAsia="zh-CN"/>
              </w:rPr>
              <w:t xml:space="preserve"> multiplex of RS and data. This is a scheme which can generate a DFT waveform with even PUCCH is contained to a single symbol. The immediate use case is to apply it on PF2 to improve the coverage of PF2. </w:t>
            </w:r>
          </w:p>
          <w:p w14:paraId="4E43EAE0" w14:textId="77777777" w:rsidR="002E2380" w:rsidRDefault="002E2380" w:rsidP="002E2380">
            <w:pPr>
              <w:jc w:val="left"/>
              <w:rPr>
                <w:lang w:eastAsia="zh-CN"/>
              </w:rPr>
            </w:pPr>
            <w:r>
              <w:rPr>
                <w:lang w:eastAsia="zh-CN"/>
              </w:rPr>
              <w:t xml:space="preserve">In general, we are open to study coverage enhancement for short PUCCH, i.e., PF0/2. In </w:t>
            </w:r>
            <w:proofErr w:type="spellStart"/>
            <w:r>
              <w:rPr>
                <w:lang w:eastAsia="zh-CN"/>
              </w:rPr>
              <w:t>out</w:t>
            </w:r>
            <w:proofErr w:type="spellEnd"/>
            <w:r>
              <w:rPr>
                <w:lang w:eastAsia="zh-CN"/>
              </w:rPr>
              <w:t xml:space="preserve"> understanding, PF 0/2 is used widely by operators (such as DCM) because of its </w:t>
            </w:r>
            <w:r>
              <w:rPr>
                <w:lang w:eastAsia="zh-CN"/>
              </w:rPr>
              <w:lastRenderedPageBreak/>
              <w:t>flexibility to fit into small portion of UL time resource. Enhancing short PUCCH coverage can be beneficial. This might be particularly useful in FR2 deployments.</w:t>
            </w:r>
          </w:p>
          <w:p w14:paraId="54C09257" w14:textId="1E9683B2" w:rsidR="002E2380" w:rsidRDefault="002E2380" w:rsidP="002E2380">
            <w:pPr>
              <w:rPr>
                <w:lang w:eastAsia="zh-CN"/>
              </w:rPr>
            </w:pPr>
            <w:r>
              <w:rPr>
                <w:lang w:eastAsia="zh-CN"/>
              </w:rPr>
              <w:t xml:space="preserve">Besides, we support Intel’s suggestion to </w:t>
            </w:r>
            <w:r w:rsidRPr="00EE0B1B">
              <w:rPr>
                <w:lang w:eastAsia="zh-CN"/>
              </w:rPr>
              <w:t>remove “Short/mini-slot PUCCH repetition” and “Symbol-level PUCCH repetition”</w:t>
            </w:r>
            <w:r>
              <w:rPr>
                <w:lang w:eastAsia="zh-CN"/>
              </w:rPr>
              <w:t xml:space="preserve"> from proposal 2, because these schemes are in active discussion under Rel-17 URLLC enhancement. And it is more suitable to discuss these two schemes under URLLC. </w:t>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proofErr w:type="spellStart"/>
            <w:r>
              <w:rPr>
                <w:lang w:eastAsia="zh-CN"/>
              </w:rPr>
              <w:t>InterDigital</w:t>
            </w:r>
            <w:proofErr w:type="spellEnd"/>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r>
              <w:rPr>
                <w:lang w:eastAsia="zh-CN"/>
              </w:rPr>
              <w:t xml:space="preserve">Proposal :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Defer to next meeting after clear understanding of solutions</w:t>
            </w:r>
          </w:p>
        </w:tc>
        <w:tc>
          <w:tcPr>
            <w:tcW w:w="5400" w:type="dxa"/>
          </w:tcPr>
          <w:p w14:paraId="46D587F1" w14:textId="0345FB89" w:rsidR="005D1C30" w:rsidRDefault="00EB7ED1" w:rsidP="00F570AC">
            <w:pPr>
              <w:spacing w:before="0" w:after="0"/>
              <w:rPr>
                <w:lang w:eastAsia="zh-CN"/>
              </w:rPr>
            </w:pPr>
            <w:r>
              <w:rPr>
                <w:lang w:eastAsia="zh-CN"/>
              </w:rPr>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to </w:t>
            </w:r>
            <w:r>
              <w:rPr>
                <w:lang w:eastAsia="zh-CN"/>
              </w:rPr>
              <w:t>defer discussion 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2D69AFA8" w:rsidR="005D1C30" w:rsidRDefault="00A03F31" w:rsidP="00F570AC">
            <w:pPr>
              <w:spacing w:before="0" w:after="0"/>
              <w:jc w:val="left"/>
              <w:rPr>
                <w:lang w:eastAsia="zh-CN"/>
              </w:rPr>
            </w:pPr>
            <w:r>
              <w:rPr>
                <w:lang w:eastAsia="zh-CN"/>
              </w:rPr>
              <w:t>Samsung</w:t>
            </w:r>
          </w:p>
        </w:tc>
        <w:tc>
          <w:tcPr>
            <w:tcW w:w="1800" w:type="dxa"/>
          </w:tcPr>
          <w:p w14:paraId="67A69D48" w14:textId="77777777" w:rsidR="005D1C30" w:rsidRDefault="005D1C30" w:rsidP="00F570AC">
            <w:pPr>
              <w:spacing w:before="0" w:after="0"/>
              <w:rPr>
                <w:lang w:eastAsia="zh-CN"/>
              </w:rPr>
            </w:pPr>
          </w:p>
        </w:tc>
        <w:tc>
          <w:tcPr>
            <w:tcW w:w="5400" w:type="dxa"/>
          </w:tcPr>
          <w:p w14:paraId="7DECD1B5" w14:textId="7278F31E" w:rsidR="005D1C30" w:rsidRDefault="00A03F31" w:rsidP="00D305AA">
            <w:pPr>
              <w:spacing w:before="0" w:after="0"/>
              <w:rPr>
                <w:lang w:eastAsia="zh-CN"/>
              </w:rPr>
            </w:pPr>
            <w:r>
              <w:rPr>
                <w:lang w:eastAsia="zh-CN"/>
              </w:rPr>
              <w:t xml:space="preserve">So far, there are agreed baseline simulation assumptions for FR1 PUCCH in RAN1#101-e and for FR2 PUCCH in </w:t>
            </w:r>
            <w:r w:rsidR="00D305AA">
              <w:rPr>
                <w:lang w:eastAsia="zh-CN"/>
              </w:rPr>
              <w:t>RAN1#102-e</w:t>
            </w:r>
            <w:r>
              <w:rPr>
                <w:lang w:eastAsia="zh-CN"/>
              </w:rPr>
              <w:t xml:space="preserve">. We assume these are the baseline assumptions to use and more assumptions (one example is a PUCCH length shorter than 14OS) will be used </w:t>
            </w:r>
            <w:r w:rsidR="00D305AA">
              <w:rPr>
                <w:lang w:eastAsia="zh-CN"/>
              </w:rPr>
              <w:t xml:space="preserve">as needed </w:t>
            </w:r>
            <w:r>
              <w:rPr>
                <w:lang w:eastAsia="zh-CN"/>
              </w:rPr>
              <w:t xml:space="preserve">and reported by companies. </w:t>
            </w:r>
          </w:p>
        </w:tc>
      </w:tr>
      <w:tr w:rsidR="00947D9B" w14:paraId="2A4AAD63" w14:textId="77777777" w:rsidTr="0082134B">
        <w:tblPrEx>
          <w:jc w:val="left"/>
        </w:tblPrEx>
        <w:tc>
          <w:tcPr>
            <w:tcW w:w="1255" w:type="dxa"/>
          </w:tcPr>
          <w:p w14:paraId="10685284" w14:textId="7B5FC763" w:rsidR="00947D9B" w:rsidRDefault="00947D9B" w:rsidP="00947D9B">
            <w:pPr>
              <w:spacing w:before="0" w:after="0"/>
              <w:jc w:val="left"/>
              <w:rPr>
                <w:lang w:eastAsia="zh-CN"/>
              </w:rPr>
            </w:pPr>
            <w:r>
              <w:rPr>
                <w:lang w:eastAsia="zh-CN"/>
              </w:rPr>
              <w:t>QC</w:t>
            </w:r>
          </w:p>
        </w:tc>
        <w:tc>
          <w:tcPr>
            <w:tcW w:w="1800" w:type="dxa"/>
          </w:tcPr>
          <w:p w14:paraId="0D3257F1" w14:textId="24711674" w:rsidR="00947D9B" w:rsidRDefault="00947D9B" w:rsidP="00947D9B">
            <w:pPr>
              <w:spacing w:before="0" w:after="0"/>
              <w:rPr>
                <w:lang w:eastAsia="zh-CN"/>
              </w:rPr>
            </w:pPr>
            <w:r>
              <w:rPr>
                <w:lang w:eastAsia="zh-CN"/>
              </w:rPr>
              <w:t>Yes</w:t>
            </w:r>
          </w:p>
        </w:tc>
        <w:tc>
          <w:tcPr>
            <w:tcW w:w="5400" w:type="dxa"/>
          </w:tcPr>
          <w:p w14:paraId="5F646A30" w14:textId="217732CA" w:rsidR="00947D9B" w:rsidRDefault="00947D9B" w:rsidP="00947D9B">
            <w:pPr>
              <w:spacing w:before="0" w:after="0"/>
              <w:rPr>
                <w:lang w:eastAsia="zh-CN"/>
              </w:rPr>
            </w:pPr>
            <w:r>
              <w:rPr>
                <w:lang w:eastAsia="zh-CN"/>
              </w:rPr>
              <w:t>Regarding additional simulation assumptions/parameters for PUCCH simulations, we think companies should report this info in the contributions they submit to RAN1 #103e, together with the simulation results.</w:t>
            </w:r>
          </w:p>
        </w:tc>
      </w:tr>
    </w:tbl>
    <w:p w14:paraId="0E1CDE00" w14:textId="77777777" w:rsidR="00677506" w:rsidRDefault="00677506" w:rsidP="000011F0"/>
    <w:p w14:paraId="43CE9D5B" w14:textId="77777777" w:rsidR="00677506" w:rsidRPr="000011F0" w:rsidRDefault="00677506" w:rsidP="000011F0"/>
    <w:p w14:paraId="657E25EA" w14:textId="21C8DC2A" w:rsidR="00C87895" w:rsidRPr="00D31E03" w:rsidRDefault="00C87895" w:rsidP="00C87895">
      <w:pPr>
        <w:pStyle w:val="Heading1"/>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w:t>
            </w:r>
            <w:r>
              <w:lastRenderedPageBreak/>
              <w:t xml:space="preserve">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lastRenderedPageBreak/>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 xml:space="preserve">erformance in low SNR due to the non-coherent </w:t>
            </w:r>
            <w:r>
              <w:lastRenderedPageBreak/>
              <w:t>demodulation and the 0 overhead of DMRS</w:t>
            </w:r>
          </w:p>
        </w:tc>
        <w:tc>
          <w:tcPr>
            <w:tcW w:w="2397" w:type="dxa"/>
          </w:tcPr>
          <w:p w14:paraId="359FCD56" w14:textId="77777777" w:rsidR="00D458CA" w:rsidRPr="003D2838" w:rsidRDefault="00D458CA" w:rsidP="00E90E2C">
            <w:r>
              <w:lastRenderedPageBreak/>
              <w:t xml:space="preserve">More spec impact of introducing the new PUCCH format. The </w:t>
            </w:r>
            <w:r>
              <w:lastRenderedPageBreak/>
              <w:t>potential new configuration will depends on how the PUCCH is designed</w:t>
            </w:r>
          </w:p>
        </w:tc>
        <w:tc>
          <w:tcPr>
            <w:tcW w:w="2170" w:type="dxa"/>
          </w:tcPr>
          <w:p w14:paraId="4E95243F" w14:textId="77777777" w:rsidR="00D458CA" w:rsidRDefault="00D458CA" w:rsidP="00E90E2C">
            <w:r>
              <w:lastRenderedPageBreak/>
              <w:t xml:space="preserve">Regarding the detailed schemes of </w:t>
            </w:r>
            <w:proofErr w:type="spellStart"/>
            <w:r>
              <w:t>dmrs</w:t>
            </w:r>
            <w:proofErr w:type="spellEnd"/>
            <w:r>
              <w:t xml:space="preserve">-less PUCCH, the further </w:t>
            </w:r>
            <w:r>
              <w:lastRenderedPageBreak/>
              <w:t>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lastRenderedPageBreak/>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w:t>
            </w:r>
            <w:r>
              <w:lastRenderedPageBreak/>
              <w:t xml:space="preserve">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 xml:space="preserve">uawei, </w:t>
            </w:r>
            <w:proofErr w:type="spellStart"/>
            <w:r>
              <w:t>Hisilicon</w:t>
            </w:r>
            <w:proofErr w:type="spellEnd"/>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w:t>
            </w:r>
            <w:r>
              <w:lastRenderedPageBreak/>
              <w:t xml:space="preserve">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lastRenderedPageBreak/>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w:t>
            </w:r>
            <w:r>
              <w:lastRenderedPageBreak/>
              <w:t xml:space="preserve">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lastRenderedPageBreak/>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 xml:space="preserve">uawei, </w:t>
            </w:r>
            <w:proofErr w:type="spellStart"/>
            <w:r>
              <w:t>Hisilicon</w:t>
            </w:r>
            <w:proofErr w:type="spellEnd"/>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w:t>
            </w:r>
            <w:r w:rsidRPr="00A65A57">
              <w:rPr>
                <w:rFonts w:asciiTheme="minorHAnsi" w:eastAsia="Times New Roman" w:hAnsiTheme="minorHAnsi" w:cstheme="minorHAnsi"/>
              </w:rPr>
              <w:lastRenderedPageBreak/>
              <w:t xml:space="preserve">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Heading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w:t>
            </w:r>
            <w:proofErr w:type="spellStart"/>
            <w:r>
              <w:t>signaling</w:t>
            </w:r>
            <w:proofErr w:type="spellEnd"/>
            <w:r>
              <w:t xml:space="preserve">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lastRenderedPageBreak/>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 xml:space="preserve">uawei, </w:t>
            </w:r>
            <w:proofErr w:type="spellStart"/>
            <w:r>
              <w:t>Hisilicon</w:t>
            </w:r>
            <w:proofErr w:type="spellEnd"/>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w:t>
            </w:r>
            <w:r>
              <w:lastRenderedPageBreak/>
              <w:t>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 xml:space="preserve">uawei, </w:t>
            </w:r>
            <w:proofErr w:type="spellStart"/>
            <w:r>
              <w:t>Hisilicon</w:t>
            </w:r>
            <w:proofErr w:type="spellEnd"/>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w:t>
            </w:r>
            <w:r>
              <w:lastRenderedPageBreak/>
              <w:t>. We support this proposal.</w:t>
            </w:r>
          </w:p>
        </w:tc>
      </w:tr>
      <w:tr w:rsidR="00D458CA" w14:paraId="201C5846" w14:textId="77777777" w:rsidTr="00E90E2C">
        <w:trPr>
          <w:jc w:val="center"/>
        </w:trPr>
        <w:tc>
          <w:tcPr>
            <w:tcW w:w="1121" w:type="dxa"/>
          </w:tcPr>
          <w:p w14:paraId="339624BE" w14:textId="77777777" w:rsidR="00D458CA" w:rsidRDefault="00D458CA" w:rsidP="00E90E2C">
            <w:r>
              <w:lastRenderedPageBreak/>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r>
              <w:t>Less  motivation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w:t>
            </w:r>
            <w:r>
              <w:lastRenderedPageBreak/>
              <w:t xml:space="preserve">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 xml:space="preserve">The feasibility of DMRS bundling should be further discussed either in PUSCH enhancement AI or this AI, </w:t>
            </w:r>
            <w:r w:rsidRPr="00131FCF">
              <w:lastRenderedPageBreak/>
              <w:t>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 xml:space="preserve">uawei, </w:t>
            </w:r>
            <w:proofErr w:type="spellStart"/>
            <w:r>
              <w:t>Hisilicon</w:t>
            </w:r>
            <w:proofErr w:type="spellEnd"/>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 xml:space="preserve">This assumes PUCCH repetitions. PUCCH repetitions are not </w:t>
            </w:r>
            <w:r>
              <w:lastRenderedPageBreak/>
              <w:t>universally useful. In particular, repetitions are not practical when considering HARQ-ACK payload.</w:t>
            </w:r>
          </w:p>
        </w:tc>
        <w:tc>
          <w:tcPr>
            <w:tcW w:w="1327" w:type="dxa"/>
          </w:tcPr>
          <w:p w14:paraId="44C0C7E4" w14:textId="77777777" w:rsidR="00D458CA" w:rsidRDefault="00D458CA" w:rsidP="00E90E2C">
            <w:r>
              <w:lastRenderedPageBreak/>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r>
              <w:rPr>
                <w:rFonts w:hint="eastAsia"/>
              </w:rPr>
              <w:lastRenderedPageBreak/>
              <w:t>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lastRenderedPageBreak/>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 xml:space="preserve">We would like to better understand the downlink performance degradation vs. uplink coverage gains </w:t>
            </w:r>
            <w:proofErr w:type="spellStart"/>
            <w:r>
              <w:t>tradeoffs</w:t>
            </w:r>
            <w:proofErr w:type="spellEnd"/>
            <w:r>
              <w:t>.</w:t>
            </w:r>
          </w:p>
        </w:tc>
      </w:tr>
      <w:tr w:rsidR="00D458CA" w14:paraId="540DF780" w14:textId="77777777" w:rsidTr="00E90E2C">
        <w:trPr>
          <w:jc w:val="center"/>
        </w:trPr>
        <w:tc>
          <w:tcPr>
            <w:tcW w:w="1121" w:type="dxa"/>
          </w:tcPr>
          <w:p w14:paraId="5BB21503" w14:textId="77777777" w:rsidR="00D458CA" w:rsidRDefault="00D458CA" w:rsidP="00E90E2C">
            <w:r>
              <w:lastRenderedPageBreak/>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lastRenderedPageBreak/>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 xml:space="preserve">uawei, </w:t>
            </w:r>
            <w:proofErr w:type="spellStart"/>
            <w:r>
              <w:t>Hisilicon</w:t>
            </w:r>
            <w:proofErr w:type="spellEnd"/>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lastRenderedPageBreak/>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lastRenderedPageBreak/>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 xml:space="preserve">uawei, </w:t>
            </w:r>
            <w:proofErr w:type="spellStart"/>
            <w:r>
              <w:t>Hisilicon</w:t>
            </w:r>
            <w:proofErr w:type="spellEnd"/>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lastRenderedPageBreak/>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lastRenderedPageBreak/>
              <w:t>H</w:t>
            </w:r>
            <w:r>
              <w:t xml:space="preserve">uawei, </w:t>
            </w:r>
            <w:proofErr w:type="spellStart"/>
            <w:r>
              <w:t>Hisilicon</w:t>
            </w:r>
            <w:proofErr w:type="spellEnd"/>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In current PUCCH 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6ED2C316" w14:textId="77777777" w:rsidR="00D458CA" w:rsidRDefault="00D458CA" w:rsidP="00E90E2C">
            <w:pPr>
              <w:spacing w:before="0"/>
              <w:jc w:val="left"/>
            </w:pPr>
            <w:r>
              <w:lastRenderedPageBreak/>
              <w:t>Additional latency.</w:t>
            </w:r>
          </w:p>
        </w:tc>
        <w:tc>
          <w:tcPr>
            <w:tcW w:w="1327" w:type="dxa"/>
          </w:tcPr>
          <w:p w14:paraId="26930E37" w14:textId="77777777" w:rsidR="00D458CA" w:rsidRDefault="00D458CA" w:rsidP="00E90E2C">
            <w:r>
              <w:t xml:space="preserve">Prioritize. Also determine maximum UCI payload </w:t>
            </w:r>
            <w:r>
              <w:lastRenderedPageBreak/>
              <w:t>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lastRenderedPageBreak/>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 xml:space="preserve">uawei, </w:t>
            </w:r>
            <w:proofErr w:type="spellStart"/>
            <w:r>
              <w:t>Hisilicon</w:t>
            </w:r>
            <w:proofErr w:type="spellEnd"/>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lastRenderedPageBreak/>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 xml:space="preserve">For SORTD, as that introduced in LTE, double </w:t>
            </w:r>
            <w:r>
              <w:lastRenderedPageBreak/>
              <w:t>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lastRenderedPageBreak/>
              <w:t xml:space="preserve">The transmission diversity scheme </w:t>
            </w:r>
            <w:r>
              <w:lastRenderedPageBreak/>
              <w:t>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lastRenderedPageBreak/>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IITM, Reliance Jio, Tejas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w:t>
            </w:r>
            <w:r>
              <w:lastRenderedPageBreak/>
              <w:t xml:space="preserve">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 xml:space="preserve">uawei, </w:t>
            </w:r>
            <w:proofErr w:type="spellStart"/>
            <w:r>
              <w:t>Hisilicon</w:t>
            </w:r>
            <w:proofErr w:type="spellEnd"/>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w:t>
            </w:r>
            <w:r>
              <w:lastRenderedPageBreak/>
              <w:t>less” solutions,  should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lastRenderedPageBreak/>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lastRenderedPageBreak/>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 xml:space="preserve">Huawei, </w:t>
            </w:r>
            <w:proofErr w:type="spellStart"/>
            <w:r>
              <w:t>Hisilicon</w:t>
            </w:r>
            <w:proofErr w:type="spellEnd"/>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There are several variants on DMRS enhancement 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lastRenderedPageBreak/>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lastRenderedPageBreak/>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lastRenderedPageBreak/>
              <w:t>H</w:t>
            </w:r>
            <w:r>
              <w:t xml:space="preserve">uawei, </w:t>
            </w:r>
            <w:proofErr w:type="spellStart"/>
            <w:r>
              <w:t>Hisilicon</w:t>
            </w:r>
            <w:proofErr w:type="spellEnd"/>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 xml:space="preserve">a higher DMRS density in some cases can enable a better channel estimation and improve PUCCH coverage. It’s a </w:t>
            </w:r>
            <w:proofErr w:type="spellStart"/>
            <w:r>
              <w:t>tradeoff</w:t>
            </w:r>
            <w:proofErr w:type="spellEnd"/>
            <w:r>
              <w:t xml:space="preserve">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 xml:space="preserve">No difference to P/SP CSI reporting on PUCCH or CSI reporting on </w:t>
            </w:r>
            <w:r>
              <w:lastRenderedPageBreak/>
              <w:t>PUSCH in terms of coverage – not a coverage enhancement issue</w:t>
            </w:r>
          </w:p>
        </w:tc>
        <w:tc>
          <w:tcPr>
            <w:tcW w:w="1327" w:type="dxa"/>
          </w:tcPr>
          <w:p w14:paraId="23B8D00E" w14:textId="77777777" w:rsidR="00D458CA" w:rsidRDefault="00D458CA" w:rsidP="00E90E2C">
            <w:r>
              <w:lastRenderedPageBreak/>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well. A-CSI here may be particularly focused on in this study while </w:t>
            </w:r>
            <w:r>
              <w:lastRenderedPageBreak/>
              <w:t>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 xml:space="preserve">uawei, </w:t>
            </w:r>
            <w:proofErr w:type="spellStart"/>
            <w:r>
              <w:t>Hisilicon</w:t>
            </w:r>
            <w:proofErr w:type="spellEnd"/>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w:t>
            </w:r>
            <w:r w:rsidRPr="006948A6">
              <w:lastRenderedPageBreak/>
              <w:t xml:space="preserve">same coverage target as 14-symbol long PUCCH.  </w:t>
            </w:r>
          </w:p>
        </w:tc>
        <w:tc>
          <w:tcPr>
            <w:tcW w:w="1327" w:type="dxa"/>
          </w:tcPr>
          <w:p w14:paraId="0ED7DC69" w14:textId="77777777" w:rsidR="00D458CA" w:rsidRDefault="00D458CA" w:rsidP="00E90E2C">
            <w:r>
              <w:lastRenderedPageBreak/>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xml:space="preserve">, may be more </w:t>
            </w:r>
            <w:r>
              <w:lastRenderedPageBreak/>
              <w:t>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lastRenderedPageBreak/>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lastRenderedPageBreak/>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lastRenderedPageBreak/>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lastRenderedPageBreak/>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lastRenderedPageBreak/>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88680B" w:rsidP="001B723E">
            <w:pPr>
              <w:spacing w:before="0" w:after="0"/>
              <w:rPr>
                <w:u w:val="single"/>
              </w:rPr>
            </w:pPr>
            <w:hyperlink r:id="rId14"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88680B" w:rsidP="001B723E">
            <w:pPr>
              <w:spacing w:before="0" w:after="0"/>
              <w:rPr>
                <w:u w:val="single"/>
              </w:rPr>
            </w:pPr>
            <w:hyperlink r:id="rId15"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88680B" w:rsidP="001B723E">
            <w:pPr>
              <w:spacing w:before="0" w:after="0"/>
              <w:rPr>
                <w:u w:val="single"/>
              </w:rPr>
            </w:pPr>
            <w:hyperlink r:id="rId16"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88680B" w:rsidP="001B723E">
            <w:pPr>
              <w:spacing w:before="0" w:after="0"/>
              <w:rPr>
                <w:u w:val="single"/>
              </w:rPr>
            </w:pPr>
            <w:hyperlink r:id="rId17"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88680B" w:rsidP="001B723E">
            <w:pPr>
              <w:spacing w:before="0" w:after="0"/>
              <w:rPr>
                <w:u w:val="single"/>
              </w:rPr>
            </w:pPr>
            <w:hyperlink r:id="rId18"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88680B" w:rsidP="001B723E">
            <w:pPr>
              <w:spacing w:before="0" w:after="0"/>
              <w:rPr>
                <w:u w:val="single"/>
              </w:rPr>
            </w:pPr>
            <w:hyperlink r:id="rId19"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88680B" w:rsidP="001B723E">
            <w:pPr>
              <w:spacing w:before="0" w:after="0"/>
              <w:rPr>
                <w:u w:val="single"/>
              </w:rPr>
            </w:pPr>
            <w:hyperlink r:id="rId20"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88680B" w:rsidP="001B723E">
            <w:pPr>
              <w:spacing w:before="0" w:after="0"/>
              <w:rPr>
                <w:u w:val="single"/>
              </w:rPr>
            </w:pPr>
            <w:hyperlink r:id="rId21"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88680B" w:rsidP="001B723E">
            <w:pPr>
              <w:spacing w:before="0" w:after="0"/>
              <w:rPr>
                <w:u w:val="single"/>
              </w:rPr>
            </w:pPr>
            <w:hyperlink r:id="rId22"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88680B" w:rsidP="001B723E">
            <w:pPr>
              <w:spacing w:before="0" w:after="0"/>
              <w:rPr>
                <w:u w:val="single"/>
              </w:rPr>
            </w:pPr>
            <w:hyperlink r:id="rId23"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88680B" w:rsidP="001B723E">
            <w:pPr>
              <w:spacing w:before="0" w:after="0"/>
              <w:rPr>
                <w:u w:val="single"/>
              </w:rPr>
            </w:pPr>
            <w:hyperlink r:id="rId24"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88680B" w:rsidP="001B723E">
            <w:pPr>
              <w:spacing w:before="0" w:after="0"/>
              <w:rPr>
                <w:u w:val="single"/>
              </w:rPr>
            </w:pPr>
            <w:hyperlink r:id="rId25"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88680B" w:rsidP="001B723E">
            <w:pPr>
              <w:spacing w:before="0" w:after="0"/>
              <w:rPr>
                <w:u w:val="single"/>
              </w:rPr>
            </w:pPr>
            <w:hyperlink r:id="rId26"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88680B" w:rsidP="001B723E">
            <w:pPr>
              <w:spacing w:before="0" w:after="0"/>
              <w:rPr>
                <w:u w:val="single"/>
              </w:rPr>
            </w:pPr>
            <w:hyperlink r:id="rId27"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IITM, Reliance Jio, Tejas Networks</w:t>
            </w:r>
          </w:p>
        </w:tc>
      </w:tr>
      <w:tr w:rsidR="001B723E" w:rsidRPr="00D31E03" w14:paraId="7CB03F6A" w14:textId="77777777" w:rsidTr="001B723E">
        <w:trPr>
          <w:trHeight w:val="264"/>
        </w:trPr>
        <w:tc>
          <w:tcPr>
            <w:tcW w:w="1255" w:type="dxa"/>
            <w:hideMark/>
          </w:tcPr>
          <w:p w14:paraId="3247A83D" w14:textId="0E519F24" w:rsidR="001B723E" w:rsidRPr="00D31E03" w:rsidRDefault="0088680B" w:rsidP="001B723E">
            <w:pPr>
              <w:spacing w:before="0" w:after="0"/>
              <w:rPr>
                <w:u w:val="single"/>
              </w:rPr>
            </w:pPr>
            <w:hyperlink r:id="rId28"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88680B" w:rsidP="001B723E">
            <w:pPr>
              <w:spacing w:before="0" w:after="0"/>
              <w:rPr>
                <w:u w:val="single"/>
              </w:rPr>
            </w:pPr>
            <w:hyperlink r:id="rId29"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88680B" w:rsidP="001B723E">
            <w:pPr>
              <w:spacing w:before="0" w:after="0"/>
              <w:rPr>
                <w:u w:val="single"/>
              </w:rPr>
            </w:pPr>
            <w:hyperlink r:id="rId30"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88680B" w:rsidP="001B723E">
            <w:pPr>
              <w:spacing w:before="0" w:after="0"/>
              <w:rPr>
                <w:u w:val="single"/>
              </w:rPr>
            </w:pPr>
            <w:hyperlink r:id="rId31"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88680B" w:rsidP="001B723E">
            <w:pPr>
              <w:spacing w:before="0" w:after="0"/>
              <w:rPr>
                <w:u w:val="single"/>
              </w:rPr>
            </w:pPr>
            <w:hyperlink r:id="rId32"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88680B" w:rsidP="001B723E">
            <w:pPr>
              <w:spacing w:before="0" w:after="0"/>
              <w:rPr>
                <w:u w:val="single"/>
              </w:rPr>
            </w:pPr>
            <w:hyperlink r:id="rId33"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4"/>
      <w:headerReference w:type="default" r:id="rId35"/>
      <w:footerReference w:type="even" r:id="rId36"/>
      <w:footerReference w:type="default" r:id="rId37"/>
      <w:headerReference w:type="first" r:id="rId38"/>
      <w:footerReference w:type="first" r:id="rId39"/>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CDB5B" w14:textId="77777777" w:rsidR="0088680B" w:rsidRDefault="0088680B">
      <w:r>
        <w:separator/>
      </w:r>
    </w:p>
  </w:endnote>
  <w:endnote w:type="continuationSeparator" w:id="0">
    <w:p w14:paraId="5BF491E9" w14:textId="77777777" w:rsidR="0088680B" w:rsidRDefault="0088680B">
      <w:r>
        <w:continuationSeparator/>
      </w:r>
    </w:p>
  </w:endnote>
  <w:endnote w:type="continuationNotice" w:id="1">
    <w:p w14:paraId="02E6BC42" w14:textId="77777777" w:rsidR="0088680B" w:rsidRDefault="008868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A03F31" w:rsidRDefault="00A03F3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A03F31" w:rsidRDefault="00A03F3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7E6AD5C" w:rsidR="00A03F31" w:rsidRDefault="00A03F3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04A60">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4A60">
      <w:rPr>
        <w:rStyle w:val="PageNumber"/>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A03F31" w:rsidRDefault="00A0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10BE5" w14:textId="77777777" w:rsidR="0088680B" w:rsidRDefault="0088680B">
      <w:r>
        <w:separator/>
      </w:r>
    </w:p>
  </w:footnote>
  <w:footnote w:type="continuationSeparator" w:id="0">
    <w:p w14:paraId="42BE7F98" w14:textId="77777777" w:rsidR="0088680B" w:rsidRDefault="0088680B">
      <w:r>
        <w:continuationSeparator/>
      </w:r>
    </w:p>
  </w:footnote>
  <w:footnote w:type="continuationNotice" w:id="1">
    <w:p w14:paraId="0E4F38B6" w14:textId="77777777" w:rsidR="0088680B" w:rsidRDefault="008868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A03F31" w:rsidRDefault="00A03F3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A03F31" w:rsidRDefault="00A03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A03F31" w:rsidRDefault="00A0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IN"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33"/>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380"/>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A60"/>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625"/>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C21"/>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18A"/>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2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80B"/>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D9B"/>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31"/>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279"/>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70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1F"/>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5AA"/>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2.xml><?xml version="1.0" encoding="utf-8"?>
<ds:datastoreItem xmlns:ds="http://schemas.openxmlformats.org/officeDocument/2006/customXml" ds:itemID="{222850A2-BE04-48A1-AFE2-1AF9E5380BB5}">
  <ds:schemaRefs>
    <ds:schemaRef ds:uri="http://schemas.openxmlformats.org/officeDocument/2006/bibliography"/>
  </ds:schemaRefs>
</ds:datastoreItem>
</file>

<file path=customXml/itemProps3.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7B79731-0960-45B3-8951-1FAD1DD206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55</Pages>
  <Words>10535</Words>
  <Characters>60052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Gokul Sridharan</cp:lastModifiedBy>
  <cp:revision>5</cp:revision>
  <cp:lastPrinted>2014-11-07T05:38:00Z</cp:lastPrinted>
  <dcterms:created xsi:type="dcterms:W3CDTF">2020-08-27T22:40:00Z</dcterms:created>
  <dcterms:modified xsi:type="dcterms:W3CDTF">2020-08-27T22:41:00Z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