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Heading2"/>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pPr>
              <w:rPr>
                <w:rFonts w:hint="eastAsia"/>
              </w:rPr>
            </w:pPr>
            <w:r>
              <w:t>Intel</w:t>
            </w:r>
          </w:p>
        </w:tc>
        <w:tc>
          <w:tcPr>
            <w:tcW w:w="7786" w:type="dxa"/>
          </w:tcPr>
          <w:p w14:paraId="081F64DB" w14:textId="3FFF792E" w:rsidR="00E930A9" w:rsidRDefault="00E930A9" w:rsidP="00842CD4">
            <w:pPr>
              <w:rPr>
                <w:rFonts w:hint="eastAsia"/>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w:t>
            </w:r>
            <w:r w:rsidR="00842CD4">
              <w:rPr>
                <w:szCs w:val="24"/>
              </w:rPr>
              <w:lastRenderedPageBreak/>
              <w:t xml:space="preserve">format would be used for proper operation.   </w:t>
            </w:r>
            <w:r>
              <w:rPr>
                <w:szCs w:val="24"/>
              </w:rPr>
              <w:t xml:space="preserve"> </w:t>
            </w:r>
          </w:p>
        </w:tc>
      </w:tr>
    </w:tbl>
    <w:p w14:paraId="298E088C" w14:textId="77777777" w:rsidR="00A178B4" w:rsidRDefault="00AB5F75">
      <w:pPr>
        <w:rPr>
          <w:rFonts w:ascii="Times" w:eastAsiaTheme="minorEastAsia" w:hAnsi="Times"/>
          <w:sz w:val="22"/>
          <w:szCs w:val="22"/>
          <w:lang w:val="en-US"/>
        </w:rPr>
      </w:pPr>
      <w:r>
        <w:rPr>
          <w:lang w:eastAsia="zh-CN"/>
        </w:rPr>
        <w:lastRenderedPageBreak/>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pPr>
              <w:rPr>
                <w:rFonts w:hint="eastAsia"/>
              </w:rPr>
            </w:pPr>
            <w:r>
              <w:t>Intel</w:t>
            </w:r>
          </w:p>
        </w:tc>
        <w:tc>
          <w:tcPr>
            <w:tcW w:w="7786" w:type="dxa"/>
          </w:tcPr>
          <w:p w14:paraId="6DBB772E" w14:textId="3D191DBE" w:rsidR="00E77536" w:rsidRDefault="00EA4108" w:rsidP="008E4867">
            <w:pPr>
              <w:rPr>
                <w:rFonts w:hint="eastAsia"/>
              </w:rPr>
            </w:pPr>
            <w:r>
              <w:t>We suggest to</w:t>
            </w:r>
            <w:r w:rsidR="00E77536">
              <w:t xml:space="preserve"> remove FFS. </w:t>
            </w:r>
          </w:p>
        </w:tc>
      </w:tr>
    </w:tbl>
    <w:p w14:paraId="52E09099" w14:textId="77777777" w:rsidR="00A178B4" w:rsidRDefault="00A178B4">
      <w:pPr>
        <w:rPr>
          <w:lang w:eastAsia="zh-CN"/>
        </w:rPr>
      </w:pPr>
    </w:p>
    <w:p w14:paraId="0C18116E"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lastRenderedPageBreak/>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Heading2"/>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pPr>
              <w:rPr>
                <w:rFonts w:hint="eastAsia"/>
              </w:rPr>
            </w:pPr>
            <w:r>
              <w:t>Intel</w:t>
            </w:r>
          </w:p>
        </w:tc>
        <w:tc>
          <w:tcPr>
            <w:tcW w:w="7786" w:type="dxa"/>
          </w:tcPr>
          <w:p w14:paraId="178F1458" w14:textId="0FFFF7D1" w:rsidR="00441321" w:rsidRDefault="00441321" w:rsidP="00441321">
            <w:pPr>
              <w:rPr>
                <w:rFonts w:hint="eastAsia"/>
              </w:rPr>
            </w:pPr>
            <w:r>
              <w:t xml:space="preserve">Given that PUSCH duration of 14 symbols is assumed in the link level simulations, we do not see the need to consider PUSCH repetition type B. In our view, PUSCH repetition type A would be sufficient. </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lastRenderedPageBreak/>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lastRenderedPageBreak/>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lastRenderedPageBreak/>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pPr>
              <w:rPr>
                <w:rFonts w:hint="eastAsia"/>
              </w:rPr>
            </w:pPr>
            <w:r>
              <w:t>Intel</w:t>
            </w:r>
          </w:p>
        </w:tc>
        <w:tc>
          <w:tcPr>
            <w:tcW w:w="7786" w:type="dxa"/>
          </w:tcPr>
          <w:p w14:paraId="3121AE47" w14:textId="43187E3E" w:rsidR="00F0114D" w:rsidRDefault="00F0114D" w:rsidP="00F0114D">
            <w:pPr>
              <w:rPr>
                <w:rFonts w:hint="eastAsia"/>
              </w:rPr>
            </w:pPr>
            <w:r>
              <w:t xml:space="preserve">In the link budget analysis, constant PSD in DL should be assumed. It is more appropriate to assume that gNB transmits DL signals/channels within the system bandwidth.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lastRenderedPageBreak/>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lastRenderedPageBreak/>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16.45pt" o:ole="">
                  <v:imagedata r:id="rId14" o:title=""/>
                </v:shape>
                <o:OLEObject Type="Embed" ProgID="Equation.3" ShapeID="_x0000_i1025" DrawAspect="Content" ObjectID="_1659279268"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3pt;height:16.45pt" o:ole="">
                  <v:imagedata r:id="rId14" o:title=""/>
                </v:shape>
                <o:OLEObject Type="Embed" ProgID="Equation.3" ShapeID="_x0000_i1026" DrawAspect="Content" ObjectID="_1659279269"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lastRenderedPageBreak/>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w:t>
            </w:r>
            <w:r>
              <w:rPr>
                <w:rFonts w:eastAsia="SimSun" w:hint="eastAsia"/>
                <w:lang w:val="en-US" w:eastAsia="zh-CN"/>
              </w:rPr>
              <w:lastRenderedPageBreak/>
              <w:t xml:space="preserve">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bookmarkStart w:id="3" w:name="_GoBack"/>
            <w:bookmarkEnd w:id="3"/>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lastRenderedPageBreak/>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A178B4" w14:paraId="69DC2476" w14:textId="77777777" w:rsidTr="00A178B4">
        <w:tc>
          <w:tcPr>
            <w:tcW w:w="2376" w:type="dxa"/>
          </w:tcPr>
          <w:p w14:paraId="57643D6C" w14:textId="77777777" w:rsidR="00A178B4" w:rsidRDefault="00A178B4"/>
        </w:tc>
        <w:tc>
          <w:tcPr>
            <w:tcW w:w="7786" w:type="dxa"/>
          </w:tcPr>
          <w:p w14:paraId="3B954DF3" w14:textId="77777777" w:rsidR="00A178B4" w:rsidRDefault="00A178B4"/>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Heading1"/>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Heading1"/>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Heading1"/>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ListParagraph"/>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ListParagraph"/>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ListParagraph"/>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ListParagraph"/>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ListParagraph"/>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ListParagraph"/>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ListParagraph"/>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ListParagraph"/>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ListParagraph"/>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lastRenderedPageBreak/>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ListParagraph"/>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lastRenderedPageBreak/>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lastRenderedPageBreak/>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lastRenderedPageBreak/>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lastRenderedPageBreak/>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lastRenderedPageBreak/>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lastRenderedPageBreak/>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9"/>
            <w:r>
              <w:rPr>
                <w:rFonts w:ascii="Arial" w:hAnsi="Arial" w:cs="Arial"/>
              </w:rPr>
              <w:t>FFS: BLER for CSI (10% or 1%)</w:t>
            </w:r>
            <w:commentRangeEnd w:id="19"/>
            <w:r>
              <w:rPr>
                <w:rStyle w:val="CommentReference"/>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lastRenderedPageBreak/>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lastRenderedPageBreak/>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lastRenderedPageBreak/>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CommentReference"/>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lastRenderedPageBreak/>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lastRenderedPageBreak/>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Pr>
                <w:rStyle w:val="CommentReference"/>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CommentReference"/>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 xml:space="preserve">TBS can be calculated based on e.g. the number of PRBs, </w:t>
            </w:r>
            <w:r>
              <w:rPr>
                <w:sz w:val="21"/>
                <w:szCs w:val="21"/>
                <w:lang w:eastAsia="ko-KR"/>
              </w:rPr>
              <w:lastRenderedPageBreak/>
              <w:t>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CommentReference"/>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4"/>
            <w:r>
              <w:rPr>
                <w:color w:val="FF0000"/>
                <w:lang w:val="en-GB" w:eastAsia="ko-KR"/>
              </w:rPr>
              <w:t>FFS: Format 0, 2</w:t>
            </w:r>
            <w:commentRangeEnd w:id="24"/>
            <w:r>
              <w:rPr>
                <w:rStyle w:val="CommentReference"/>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lastRenderedPageBreak/>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CommentReference"/>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CommentReference"/>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CommentReference"/>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CommentReference"/>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lastRenderedPageBreak/>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Author" w:date="1900-01-01T00:00:00Z" w:initials="A">
    <w:p w14:paraId="2BCA67C4" w14:textId="77777777" w:rsidR="00BC3267" w:rsidRDefault="00BC3267">
      <w:pPr>
        <w:pStyle w:val="CommentText"/>
      </w:pPr>
      <w:r>
        <w:t>Open issue No. 10</w:t>
      </w:r>
    </w:p>
  </w:comment>
  <w:comment w:id="20" w:author="Author" w:date="1900-01-01T00:00:00Z" w:initials="A">
    <w:p w14:paraId="0B1D6BEB" w14:textId="77777777" w:rsidR="00BC3267" w:rsidRDefault="00BC3267">
      <w:pPr>
        <w:pStyle w:val="CommentText"/>
      </w:pPr>
      <w:r>
        <w:t>Open issue No. 6</w:t>
      </w:r>
    </w:p>
  </w:comment>
  <w:comment w:id="21" w:author="Author" w:date="1900-01-01T00:00:00Z" w:initials="A">
    <w:p w14:paraId="04954235" w14:textId="77777777" w:rsidR="00BC3267" w:rsidRDefault="00BC3267">
      <w:pPr>
        <w:pStyle w:val="CommentText"/>
      </w:pPr>
      <w:r>
        <w:t>Open issue No. 8</w:t>
      </w:r>
    </w:p>
  </w:comment>
  <w:comment w:id="22" w:author="Author" w:date="1900-01-01T00:00:00Z" w:initials="A">
    <w:p w14:paraId="6E23556E" w14:textId="77777777" w:rsidR="00BC3267" w:rsidRDefault="00BC3267">
      <w:pPr>
        <w:pStyle w:val="CommentText"/>
      </w:pPr>
      <w:r>
        <w:t>Open issue No. 7</w:t>
      </w:r>
    </w:p>
  </w:comment>
  <w:comment w:id="23" w:author="Author" w:date="1900-01-01T00:00:00Z" w:initials="A">
    <w:p w14:paraId="378F48B8" w14:textId="77777777" w:rsidR="00BC3267" w:rsidRDefault="00BC3267">
      <w:pPr>
        <w:pStyle w:val="CommentText"/>
      </w:pPr>
      <w:r>
        <w:t>Open issue No. 5</w:t>
      </w:r>
    </w:p>
  </w:comment>
  <w:comment w:id="24" w:author="Author" w:date="1900-01-01T00:00:00Z" w:initials="A">
    <w:p w14:paraId="2BE16938" w14:textId="77777777" w:rsidR="00BC3267" w:rsidRDefault="00BC3267">
      <w:pPr>
        <w:pStyle w:val="CommentText"/>
      </w:pPr>
      <w:r>
        <w:t>Open Issue No. 2</w:t>
      </w:r>
    </w:p>
  </w:comment>
  <w:comment w:id="25" w:author="Author" w:date="1900-01-01T00:00:00Z" w:initials="A">
    <w:p w14:paraId="52EB266C" w14:textId="77777777" w:rsidR="00BC3267" w:rsidRDefault="00BC3267">
      <w:pPr>
        <w:pStyle w:val="CommentText"/>
      </w:pPr>
      <w:r>
        <w:t>Open issue No. 3</w:t>
      </w:r>
    </w:p>
  </w:comment>
  <w:comment w:id="26" w:author="Author" w:date="1900-01-01T00:00:00Z" w:initials="A">
    <w:p w14:paraId="1C4B0DFD" w14:textId="77777777" w:rsidR="00BC3267" w:rsidRDefault="00BC3267">
      <w:pPr>
        <w:pStyle w:val="CommentText"/>
      </w:pPr>
      <w:r>
        <w:t>Open issue No. 4</w:t>
      </w:r>
    </w:p>
  </w:comment>
  <w:comment w:id="27" w:author="Author" w:date="1900-01-01T00:00:00Z" w:initials="A">
    <w:p w14:paraId="07636F43" w14:textId="77777777" w:rsidR="00BC3267" w:rsidRDefault="00BC3267">
      <w:pPr>
        <w:pStyle w:val="CommentText"/>
      </w:pPr>
      <w:r>
        <w:t>Open issue No. 11</w:t>
      </w:r>
    </w:p>
  </w:comment>
  <w:comment w:id="28" w:author="Author" w:date="1900-01-01T00:00:00Z" w:initials="A">
    <w:p w14:paraId="580F2BDD" w14:textId="77777777" w:rsidR="00BC3267" w:rsidRDefault="00BC3267">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191A8" w14:textId="77777777" w:rsidR="00BE5102" w:rsidRDefault="00BE5102">
      <w:pPr>
        <w:spacing w:after="0"/>
      </w:pPr>
      <w:r>
        <w:separator/>
      </w:r>
    </w:p>
  </w:endnote>
  <w:endnote w:type="continuationSeparator" w:id="0">
    <w:p w14:paraId="55350AB9" w14:textId="77777777" w:rsidR="00BE5102" w:rsidRDefault="00BE5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PMincho">
    <w:altName w:val="Yu Gothic UI"/>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3CE0F06D" w:rsidR="00BC3267" w:rsidRDefault="00BC3267">
    <w:pPr>
      <w:pStyle w:val="Footer"/>
      <w:spacing w:before="120" w:after="120"/>
      <w:jc w:val="center"/>
    </w:pPr>
    <w:r>
      <w:fldChar w:fldCharType="begin"/>
    </w:r>
    <w:r>
      <w:instrText xml:space="preserve"> PAGE   \* MERGEFORMAT </w:instrText>
    </w:r>
    <w:r>
      <w:fldChar w:fldCharType="separate"/>
    </w:r>
    <w:r w:rsidRPr="008E4867">
      <w:rPr>
        <w:noProof/>
        <w:lang w:val="ja-JP"/>
      </w:rPr>
      <w:t>15</w:t>
    </w:r>
    <w:r>
      <w:fldChar w:fldCharType="end"/>
    </w:r>
  </w:p>
  <w:p w14:paraId="21AEA8D2" w14:textId="77777777" w:rsidR="00BC3267" w:rsidRDefault="00BC32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DD7E6" w14:textId="77777777" w:rsidR="00BE5102" w:rsidRDefault="00BE5102">
      <w:pPr>
        <w:spacing w:after="0"/>
      </w:pPr>
      <w:r>
        <w:separator/>
      </w:r>
    </w:p>
  </w:footnote>
  <w:footnote w:type="continuationSeparator" w:id="0">
    <w:p w14:paraId="6333EF42" w14:textId="77777777" w:rsidR="00BE5102" w:rsidRDefault="00BE51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4.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6074340-09F3-4BAE-B585-F76EC3E1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7234</Words>
  <Characters>37478</Characters>
  <Application>Microsoft Office Word</Application>
  <DocSecurity>0</DocSecurity>
  <Lines>1441</Lines>
  <Paragraphs>1090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cp:keywords>CTPClassification=CTP_NT</cp:keywords>
  <cp:lastModifiedBy/>
  <cp:revision>1</cp:revision>
  <dcterms:created xsi:type="dcterms:W3CDTF">2020-08-18T09:50:00Z</dcterms:created>
  <dcterms:modified xsi:type="dcterms:W3CDTF">2020-08-19T01:08:00Z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