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t>Tdoc R1-</w:t>
      </w:r>
      <w:r w:rsidR="00DD3E55" w:rsidRPr="00DD3E55">
        <w:t>20</w:t>
      </w:r>
      <w:r w:rsidR="00BD4883">
        <w:t>xxxxx</w:t>
      </w:r>
    </w:p>
    <w:p w14:paraId="743E4011" w14:textId="19B98198"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2"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3"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a5"/>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a5"/>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a5"/>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w:t>
            </w:r>
            <w:r w:rsidRPr="00B31A12">
              <w:rPr>
                <w:sz w:val="18"/>
                <w:lang w:eastAsia="ko-KR"/>
              </w:rPr>
              <w:lastRenderedPageBreak/>
              <w:t xml:space="preserve">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w:t>
            </w:r>
            <w:r w:rsidRPr="00B31A12">
              <w:rPr>
                <w:sz w:val="18"/>
                <w:lang w:eastAsia="ko-KR"/>
              </w:rPr>
              <w:lastRenderedPageBreak/>
              <w:t xml:space="preserve">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lastRenderedPageBreak/>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w:t>
            </w:r>
            <w:r>
              <w:rPr>
                <w:lang w:val="en-US"/>
              </w:rPr>
              <w:lastRenderedPageBreak/>
              <w:t>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 xml:space="preserve">Lenovo, </w:t>
            </w:r>
            <w:r>
              <w:rPr>
                <w:rFonts w:eastAsia="DengXian"/>
                <w:lang w:val="en-US" w:eastAsia="zh-CN"/>
              </w:rPr>
              <w:lastRenderedPageBreak/>
              <w:t>Motorola Mobility</w:t>
            </w:r>
          </w:p>
        </w:tc>
        <w:tc>
          <w:tcPr>
            <w:tcW w:w="8155" w:type="dxa"/>
          </w:tcPr>
          <w:p w14:paraId="1B3D3EB7" w14:textId="77777777" w:rsidR="008468A7" w:rsidRDefault="008468A7" w:rsidP="00AD759E">
            <w:pPr>
              <w:rPr>
                <w:rFonts w:eastAsia="DengXian"/>
                <w:lang w:val="en-US" w:eastAsia="zh-CN"/>
              </w:rPr>
            </w:pPr>
            <w:r>
              <w:rPr>
                <w:lang w:val="en-US"/>
              </w:rPr>
              <w:lastRenderedPageBreak/>
              <w:t xml:space="preserve">If time allows, prefer detailed cost breakdown to better understand the cost saving impacts from </w:t>
            </w:r>
            <w:r>
              <w:rPr>
                <w:lang w:val="en-US"/>
              </w:rPr>
              <w:lastRenderedPageBreak/>
              <w:t xml:space="preserve">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5"/>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5"/>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bl>
    <w:p w14:paraId="16B8BFC6" w14:textId="476A4C55" w:rsidR="00232CBE" w:rsidRPr="009813C8"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5"/>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5"/>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a5"/>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5"/>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 xml:space="preserve">multi-band support affects </w:t>
            </w:r>
            <w:r w:rsidRPr="00EA49CE">
              <w:rPr>
                <w:rFonts w:ascii="Times New Roman" w:eastAsia="Yu Mincho" w:hAnsi="Times New Roman" w:cs="Times New Roman"/>
                <w:sz w:val="20"/>
                <w:szCs w:val="20"/>
                <w:lang w:val="en-GB"/>
              </w:rPr>
              <w:lastRenderedPageBreak/>
              <w:t>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游明朝"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bl>
    <w:p w14:paraId="53FF3989" w14:textId="77777777" w:rsidR="008E0B98" w:rsidRPr="009813C8"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 xml:space="preserve">Potential benefits in terms of reduced device size can be mentioned where applicable in the TR (e.g. in the </w:t>
            </w:r>
            <w:r w:rsidRPr="00681B6B">
              <w:rPr>
                <w:lang w:eastAsia="x-none"/>
              </w:rPr>
              <w:lastRenderedPageBreak/>
              <w:t>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lastRenderedPageBreak/>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lastRenderedPageBreak/>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hint="eastAsia"/>
                <w:lang w:eastAsia="ja-JP"/>
              </w:rPr>
            </w:pPr>
            <w:r>
              <w:rPr>
                <w:rFonts w:eastAsia="游明朝"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hint="eastAsia"/>
                <w:lang w:eastAsia="ja-JP"/>
              </w:rPr>
            </w:pPr>
            <w:r>
              <w:rPr>
                <w:rFonts w:eastAsia="DengXian"/>
                <w:lang w:eastAsia="zh-CN"/>
              </w:rPr>
              <w:t>We don’t agree with second bullet.</w:t>
            </w:r>
          </w:p>
        </w:tc>
      </w:tr>
    </w:tbl>
    <w:p w14:paraId="3DCFBE7C" w14:textId="77777777" w:rsidR="00923EE5" w:rsidRPr="00E15BE2"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lastRenderedPageBreak/>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w:t>
            </w:r>
            <w:r w:rsidRPr="00F32C45">
              <w:rPr>
                <w:rFonts w:eastAsia="DengXian"/>
                <w:sz w:val="20"/>
                <w:szCs w:val="22"/>
                <w:lang w:eastAsia="zh-CN"/>
              </w:rPr>
              <w:lastRenderedPageBreak/>
              <w:t xml:space="preserve">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w:t>
            </w:r>
            <w:r w:rsidR="00775377">
              <w:rPr>
                <w:rFonts w:eastAsia="DengXian"/>
                <w:lang w:eastAsia="zh-CN"/>
              </w:rPr>
              <w:lastRenderedPageBreak/>
              <w:t xml:space="preserve">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hint="eastAsia"/>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hint="eastAsia"/>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bl>
    <w:p w14:paraId="452FBEF8" w14:textId="53BE0463" w:rsidR="007F2A38" w:rsidRPr="00E15BE2"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lastRenderedPageBreak/>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 xml:space="preserve">For reduced number of antennas, the following coexistence impacts (which have been slightly rephrased compared to above in some cases for improved clarity) should be captured </w:t>
            </w:r>
            <w:r>
              <w:rPr>
                <w:rFonts w:eastAsia="DengXian"/>
                <w:color w:val="C00000"/>
                <w:lang w:eastAsia="zh-CN"/>
              </w:rPr>
              <w:lastRenderedPageBreak/>
              <w:t>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7777777" w:rsidR="003F6DF7" w:rsidRDefault="003F6DF7" w:rsidP="00737ADF">
            <w:pPr>
              <w:pStyle w:val="a5"/>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bl>
    <w:p w14:paraId="3692D03E" w14:textId="21E91805" w:rsidR="003F6DF7" w:rsidRPr="00E15BE2"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hint="eastAsia"/>
                <w:lang w:eastAsia="ja-JP"/>
              </w:rPr>
            </w:pPr>
            <w:r>
              <w:rPr>
                <w:rFonts w:eastAsia="游明朝"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游明朝"/>
                <w:szCs w:val="22"/>
                <w:lang w:eastAsia="zh-CN"/>
              </w:rPr>
              <w:t>D</w:t>
            </w:r>
            <w:r>
              <w:rPr>
                <w:rFonts w:eastAsia="游明朝" w:hint="eastAsia"/>
                <w:szCs w:val="22"/>
                <w:lang w:eastAsia="zh-CN"/>
              </w:rPr>
              <w:t>on</w:t>
            </w:r>
            <w:r>
              <w:rPr>
                <w:rFonts w:eastAsia="游明朝"/>
                <w:szCs w:val="22"/>
                <w:lang w:eastAsia="zh-CN"/>
              </w:rPr>
              <w:t>’</w:t>
            </w:r>
            <w:r>
              <w:rPr>
                <w:rFonts w:eastAsia="游明朝" w:hint="eastAsia"/>
                <w:szCs w:val="22"/>
                <w:lang w:eastAsia="zh-CN"/>
              </w:rPr>
              <w:t>t agree with C5. Coverage recovery can solve the coverage issue.</w:t>
            </w:r>
          </w:p>
        </w:tc>
      </w:tr>
    </w:tbl>
    <w:p w14:paraId="064B33FD" w14:textId="77777777" w:rsidR="003F6DF7" w:rsidRPr="00E15BE2" w:rsidRDefault="003F6DF7"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 xml:space="preserve">We do not see RAN1 specification impacts beyond potential associated coverage </w:t>
            </w:r>
            <w:r>
              <w:rPr>
                <w:lang w:eastAsia="zh-CN"/>
              </w:rPr>
              <w:lastRenderedPageBreak/>
              <w:t>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lastRenderedPageBreak/>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 xml:space="preserve">if every </w:t>
            </w:r>
            <w:r w:rsidR="00FF59C9">
              <w:rPr>
                <w:rFonts w:eastAsia="DengXian"/>
                <w:lang w:eastAsia="zh-CN"/>
              </w:rPr>
              <w:lastRenderedPageBreak/>
              <w:t>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lastRenderedPageBreak/>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a5"/>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a5"/>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a5"/>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游明朝"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sufficient for FR1. An intermediate </w:t>
            </w:r>
            <w:r>
              <w:rPr>
                <w:lang w:eastAsia="sv-SE"/>
              </w:rPr>
              <w:lastRenderedPageBreak/>
              <w:t>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lastRenderedPageBreak/>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hint="eastAsia"/>
                <w:lang w:eastAsia="ja-JP"/>
              </w:rPr>
            </w:pPr>
            <w:r>
              <w:rPr>
                <w:rFonts w:eastAsia="游明朝"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游明朝" w:hint="eastAsia"/>
                <w:lang w:eastAsia="zh-CN"/>
              </w:rPr>
              <w:t>Share similar view as vivo and samsung</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5"/>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a number of issues and little gain for </w:t>
            </w:r>
            <w:r>
              <w:rPr>
                <w:rFonts w:eastAsia="DengXian"/>
                <w:lang w:eastAsia="zh-CN"/>
              </w:rPr>
              <w:lastRenderedPageBreak/>
              <w:t>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w:t>
            </w:r>
            <w:r>
              <w:rPr>
                <w:rFonts w:eastAsia="DengXian"/>
                <w:lang w:eastAsia="zh-CN"/>
              </w:rPr>
              <w:lastRenderedPageBreak/>
              <w:t xml:space="preserve">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游明朝" w:hint="eastAsia"/>
                <w:lang w:eastAsia="zh-CN"/>
              </w:rPr>
              <w:t>Slightly prefer to support V2 to study 50MHz in FR2.</w:t>
            </w:r>
          </w:p>
        </w:tc>
      </w:tr>
    </w:tbl>
    <w:p w14:paraId="5A9FAEE9" w14:textId="708812CF" w:rsidR="00A60F02" w:rsidRPr="009813C8"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lastRenderedPageBreak/>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lastRenderedPageBreak/>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lastRenderedPageBreak/>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 xml:space="preserve">Lenovo, Motorola </w:t>
            </w:r>
            <w:r w:rsidRPr="00E71259">
              <w:rPr>
                <w:rFonts w:eastAsia="DengXian"/>
                <w:lang w:eastAsia="zh-CN"/>
              </w:rPr>
              <w:lastRenderedPageBreak/>
              <w:t>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lastRenderedPageBreak/>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150pt" o:ole="">
                  <v:imagedata r:id="rId15" o:title=""/>
                </v:shape>
                <o:OLEObject Type="Embed" ProgID="Visio.Drawing.15" ShapeID="_x0000_i1025" DrawAspect="Content" ObjectID="_1659882939" r:id="rId16"/>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bl>
    <w:p w14:paraId="72014B39" w14:textId="77777777" w:rsidR="00753BF8" w:rsidRPr="00E15BE2"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lastRenderedPageBreak/>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lastRenderedPageBreak/>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hint="eastAsia"/>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hint="eastAsia"/>
                <w:lang w:eastAsia="zh-CN"/>
              </w:rPr>
            </w:pPr>
            <w:r>
              <w:rPr>
                <w:rFonts w:eastAsia="DengXian" w:hint="eastAsia"/>
                <w:lang w:eastAsia="zh-CN"/>
              </w:rPr>
              <w:t>Fine with proposal</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lastRenderedPageBreak/>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hint="eastAsia"/>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hint="eastAsia"/>
                <w:lang w:eastAsia="zh-CN"/>
              </w:rPr>
            </w:pPr>
            <w:r>
              <w:rPr>
                <w:rFonts w:eastAsia="DengXian" w:hint="eastAsia"/>
                <w:lang w:eastAsia="zh-CN"/>
              </w:rPr>
              <w:t xml:space="preserve">C11 shall be captured.  </w:t>
            </w:r>
            <w:proofErr w:type="gramStart"/>
            <w:r>
              <w:rPr>
                <w:rFonts w:eastAsia="DengXian" w:hint="eastAsia"/>
                <w:lang w:eastAsia="zh-CN"/>
              </w:rPr>
              <w:t>Redap</w:t>
            </w:r>
            <w:proofErr w:type="gram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lastRenderedPageBreak/>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lastRenderedPageBreak/>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lack of proper analyses of exactly what would need to be done, and which schemes would actually have a </w:t>
            </w:r>
            <w:r>
              <w:rPr>
                <w:rFonts w:eastAsia="DengXian"/>
                <w:lang w:eastAsia="zh-CN"/>
              </w:rPr>
              <w:lastRenderedPageBreak/>
              <w:t>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w:t>
            </w:r>
            <w:r>
              <w:rPr>
                <w:lang w:eastAsia="sv-SE"/>
              </w:rPr>
              <w:lastRenderedPageBreak/>
              <w:t xml:space="preserve">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lastRenderedPageBreak/>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a5"/>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lastRenderedPageBreak/>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游明朝" w:hint="eastAsia"/>
                <w:lang w:eastAsia="zh-CN"/>
              </w:rPr>
              <w:t>OPPO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bl>
    <w:p w14:paraId="5328C481" w14:textId="01C18699" w:rsidR="00ED1746" w:rsidRPr="009813C8"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hint="eastAsia"/>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hint="eastAsia"/>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bl>
    <w:p w14:paraId="3D39F03C" w14:textId="77777777" w:rsidR="00817D93" w:rsidRPr="00E15BE2" w:rsidRDefault="00817D93" w:rsidP="00DF7EB6"/>
    <w:p w14:paraId="0FC983AD" w14:textId="3A22F433" w:rsidR="0076672F" w:rsidRDefault="0076672F" w:rsidP="0076672F">
      <w:pPr>
        <w:pStyle w:val="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lastRenderedPageBreak/>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 xml:space="preserve">Lenovo, Motorola </w:t>
            </w:r>
            <w:r w:rsidRPr="00ED7C37">
              <w:rPr>
                <w:lang w:eastAsia="zh-CN"/>
              </w:rPr>
              <w:lastRenderedPageBreak/>
              <w:t>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lastRenderedPageBreak/>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hint="eastAsia"/>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hint="eastAsia"/>
                <w:lang w:eastAsia="zh-CN"/>
              </w:rPr>
            </w:pPr>
            <w:r>
              <w:rPr>
                <w:rFonts w:eastAsia="DengXian" w:hint="eastAsia"/>
                <w:lang w:eastAsia="zh-CN"/>
              </w:rPr>
              <w:t>ok</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bl>
    <w:p w14:paraId="3FBE5DE6" w14:textId="77777777" w:rsidR="00D1353F" w:rsidRDefault="00D1353F" w:rsidP="00D1353F"/>
    <w:p w14:paraId="40CD4FAD" w14:textId="2867202E" w:rsidR="0076672F" w:rsidRDefault="0076672F" w:rsidP="0076672F">
      <w:pPr>
        <w:pStyle w:val="3"/>
      </w:pPr>
      <w:bookmarkStart w:id="29" w:name="_Toc42165613"/>
      <w:r>
        <w:lastRenderedPageBreak/>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lastRenderedPageBreak/>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0"/>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lastRenderedPageBreak/>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lastRenderedPageBreak/>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hint="eastAsia"/>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hint="eastAsia"/>
                <w:lang w:eastAsia="zh-CN"/>
              </w:rPr>
            </w:pPr>
            <w:r>
              <w:rPr>
                <w:rFonts w:eastAsia="DengXian" w:hint="eastAsia"/>
                <w:lang w:eastAsia="zh-CN"/>
              </w:rPr>
              <w:t>Support P13</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35" w:name="_Toc42165618"/>
      <w:r>
        <w:lastRenderedPageBreak/>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lastRenderedPageBreak/>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 xml:space="preserve">For relaxed UE processing time, at least the following coexistence impacts can be </w:t>
            </w:r>
            <w:r>
              <w:rPr>
                <w:rFonts w:eastAsia="DengXian"/>
                <w:color w:val="C00000"/>
                <w:sz w:val="20"/>
                <w:szCs w:val="20"/>
                <w:lang w:eastAsia="zh-CN"/>
              </w:rPr>
              <w:lastRenderedPageBreak/>
              <w:t>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hint="eastAsia"/>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hint="eastAsia"/>
                <w:lang w:eastAsia="zh-CN"/>
              </w:rPr>
            </w:pPr>
            <w:r>
              <w:rPr>
                <w:rFonts w:eastAsia="DengXian" w:hint="eastAsia"/>
                <w:lang w:eastAsia="zh-CN"/>
              </w:rPr>
              <w:t>ok</w:t>
            </w:r>
          </w:p>
        </w:tc>
      </w:tr>
    </w:tbl>
    <w:p w14:paraId="602509D0" w14:textId="77777777" w:rsidR="00AF35B7" w:rsidRDefault="00AF35B7"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lastRenderedPageBreak/>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lastRenderedPageBreak/>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w:t>
      </w:r>
      <w:r>
        <w:rPr>
          <w:lang w:eastAsia="ja-JP"/>
        </w:rPr>
        <w:lastRenderedPageBreak/>
        <w:t xml:space="preserve">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a5"/>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a5"/>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lastRenderedPageBreak/>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a5"/>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游明朝"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bl>
    <w:p w14:paraId="16CB9F4F" w14:textId="77777777" w:rsidR="004E7775" w:rsidRPr="009813C8"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lastRenderedPageBreak/>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a5"/>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a5"/>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a5"/>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lastRenderedPageBreak/>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游明朝"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lastRenderedPageBreak/>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a5"/>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a5"/>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5"/>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5"/>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a5"/>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w:t>
            </w:r>
            <w:r w:rsidRPr="007F7551">
              <w:rPr>
                <w:rFonts w:ascii="Times New Roman" w:eastAsia="DengXian" w:hAnsi="Times New Roman" w:cs="Times New Roman"/>
                <w:color w:val="C00000"/>
                <w:sz w:val="20"/>
                <w:szCs w:val="20"/>
                <w:lang w:val="en-GB" w:eastAsia="zh-CN"/>
              </w:rPr>
              <w:lastRenderedPageBreak/>
              <w:t>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游明朝"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lastRenderedPageBreak/>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a5"/>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a5"/>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t>
            </w:r>
            <w:r w:rsidR="00DD6AED">
              <w:rPr>
                <w:rFonts w:eastAsia="DengXian"/>
                <w:lang w:eastAsia="zh-CN"/>
              </w:rPr>
              <w:lastRenderedPageBreak/>
              <w:t>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5"/>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lastRenderedPageBreak/>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bookmarkStart w:id="39" w:name="_GoBack"/>
            <w:bookmarkEnd w:id="39"/>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游明朝"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5"/>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5"/>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0D42C8"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1BBC32AA" w:rsidR="000D42C8" w:rsidRPr="000D42C8" w:rsidRDefault="000D42C8" w:rsidP="00470901">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9891A20" w:rsidR="000D42C8" w:rsidRPr="000D42C8" w:rsidRDefault="000D42C8" w:rsidP="00470901">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lastRenderedPageBreak/>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 xml:space="preserve">Source 1 [1]: ~90% cost saving in LDPC </w:t>
            </w:r>
            <w:r>
              <w:rPr>
                <w:sz w:val="18"/>
                <w:szCs w:val="18"/>
                <w:lang w:eastAsia="zh-CN"/>
              </w:rPr>
              <w:lastRenderedPageBreak/>
              <w:t>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w:t>
            </w:r>
            <w:r w:rsidRPr="0033779B">
              <w:lastRenderedPageBreak/>
              <w:t xml:space="preserve">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lastRenderedPageBreak/>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45120D">
            <w:pPr>
              <w:rPr>
                <w:color w:val="0000FF"/>
                <w:u w:val="single"/>
              </w:rPr>
            </w:pPr>
            <w:hyperlink r:id="rId17"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45120D">
            <w:pPr>
              <w:rPr>
                <w:color w:val="0000FF"/>
                <w:u w:val="single"/>
              </w:rPr>
            </w:pPr>
            <w:hyperlink r:id="rId18"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45120D">
            <w:pPr>
              <w:rPr>
                <w:color w:val="0000FF"/>
                <w:u w:val="single"/>
              </w:rPr>
            </w:pPr>
            <w:hyperlink r:id="rId19"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45120D">
            <w:pPr>
              <w:rPr>
                <w:color w:val="0000FF"/>
                <w:u w:val="single"/>
              </w:rPr>
            </w:pPr>
            <w:hyperlink r:id="rId20"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45120D">
            <w:pPr>
              <w:rPr>
                <w:color w:val="0000FF"/>
                <w:u w:val="single"/>
              </w:rPr>
            </w:pPr>
            <w:hyperlink r:id="rId21"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45120D">
            <w:pPr>
              <w:rPr>
                <w:color w:val="0000FF"/>
                <w:u w:val="single"/>
              </w:rPr>
            </w:pPr>
            <w:hyperlink r:id="rId22"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45120D">
            <w:pPr>
              <w:rPr>
                <w:color w:val="0000FF"/>
                <w:u w:val="single"/>
              </w:rPr>
            </w:pPr>
            <w:hyperlink r:id="rId23"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45120D">
            <w:pPr>
              <w:rPr>
                <w:color w:val="0000FF"/>
                <w:u w:val="single"/>
              </w:rPr>
            </w:pPr>
            <w:hyperlink r:id="rId24"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45120D">
            <w:pPr>
              <w:rPr>
                <w:color w:val="0000FF"/>
                <w:u w:val="single"/>
              </w:rPr>
            </w:pPr>
            <w:hyperlink r:id="rId25"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45120D">
            <w:pPr>
              <w:rPr>
                <w:color w:val="0000FF"/>
                <w:u w:val="single"/>
              </w:rPr>
            </w:pPr>
            <w:hyperlink r:id="rId26"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45120D">
            <w:pPr>
              <w:rPr>
                <w:color w:val="0000FF"/>
                <w:u w:val="single"/>
              </w:rPr>
            </w:pPr>
            <w:hyperlink r:id="rId27"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45120D">
            <w:pPr>
              <w:rPr>
                <w:color w:val="0000FF"/>
                <w:u w:val="single"/>
              </w:rPr>
            </w:pPr>
            <w:hyperlink r:id="rId28"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45120D">
            <w:pPr>
              <w:rPr>
                <w:color w:val="0000FF"/>
                <w:u w:val="single"/>
              </w:rPr>
            </w:pPr>
            <w:hyperlink r:id="rId29"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45120D">
            <w:pPr>
              <w:rPr>
                <w:color w:val="0000FF"/>
                <w:u w:val="single"/>
              </w:rPr>
            </w:pPr>
            <w:hyperlink r:id="rId30"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45120D">
            <w:pPr>
              <w:rPr>
                <w:color w:val="0000FF"/>
                <w:u w:val="single"/>
              </w:rPr>
            </w:pPr>
            <w:hyperlink r:id="rId31"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45120D">
            <w:pPr>
              <w:rPr>
                <w:color w:val="0000FF"/>
                <w:u w:val="single"/>
              </w:rPr>
            </w:pPr>
            <w:hyperlink r:id="rId32"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45120D">
            <w:pPr>
              <w:rPr>
                <w:color w:val="0000FF"/>
                <w:u w:val="single"/>
              </w:rPr>
            </w:pPr>
            <w:hyperlink r:id="rId33"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45120D">
            <w:pPr>
              <w:rPr>
                <w:color w:val="0000FF"/>
                <w:u w:val="single"/>
              </w:rPr>
            </w:pPr>
            <w:hyperlink r:id="rId34"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45120D">
            <w:pPr>
              <w:rPr>
                <w:color w:val="0000FF"/>
                <w:u w:val="single"/>
              </w:rPr>
            </w:pPr>
            <w:hyperlink r:id="rId35"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45120D">
            <w:pPr>
              <w:rPr>
                <w:color w:val="0000FF"/>
                <w:u w:val="single"/>
              </w:rPr>
            </w:pPr>
            <w:hyperlink r:id="rId36"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45120D">
            <w:pPr>
              <w:rPr>
                <w:color w:val="0000FF"/>
                <w:u w:val="single"/>
              </w:rPr>
            </w:pPr>
            <w:hyperlink r:id="rId37"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45120D">
            <w:pPr>
              <w:rPr>
                <w:color w:val="0000FF"/>
                <w:u w:val="single"/>
              </w:rPr>
            </w:pPr>
            <w:hyperlink r:id="rId38"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45120D">
            <w:pPr>
              <w:rPr>
                <w:color w:val="0000FF"/>
                <w:u w:val="single"/>
              </w:rPr>
            </w:pPr>
            <w:hyperlink r:id="rId39"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45120D">
            <w:pPr>
              <w:rPr>
                <w:color w:val="0000FF"/>
                <w:u w:val="single"/>
              </w:rPr>
            </w:pPr>
            <w:hyperlink r:id="rId40"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45120D">
            <w:pPr>
              <w:rPr>
                <w:color w:val="0000FF"/>
                <w:u w:val="single"/>
              </w:rPr>
            </w:pPr>
            <w:hyperlink r:id="rId41"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45120D">
            <w:pPr>
              <w:rPr>
                <w:color w:val="0000FF"/>
                <w:u w:val="single"/>
              </w:rPr>
            </w:pPr>
            <w:hyperlink r:id="rId42"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45120D">
            <w:pPr>
              <w:rPr>
                <w:color w:val="0000FF"/>
                <w:u w:val="single"/>
              </w:rPr>
            </w:pPr>
            <w:hyperlink r:id="rId43"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45120D">
            <w:pPr>
              <w:rPr>
                <w:color w:val="0000FF"/>
                <w:u w:val="single"/>
              </w:rPr>
            </w:pPr>
            <w:hyperlink r:id="rId44"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w:t>
            </w:r>
            <w:r w:rsidRPr="008415B9">
              <w:rPr>
                <w:lang w:val="en-US"/>
              </w:rPr>
              <w:lastRenderedPageBreak/>
              <w:t>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lastRenderedPageBreak/>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lastRenderedPageBreak/>
              <w:t>[29]</w:t>
            </w:r>
          </w:p>
        </w:tc>
        <w:tc>
          <w:tcPr>
            <w:tcW w:w="1456" w:type="dxa"/>
            <w:tcMar>
              <w:top w:w="0" w:type="dxa"/>
              <w:left w:w="70" w:type="dxa"/>
              <w:bottom w:w="0" w:type="dxa"/>
              <w:right w:w="70" w:type="dxa"/>
            </w:tcMar>
            <w:hideMark/>
          </w:tcPr>
          <w:p w14:paraId="77D99785" w14:textId="77777777" w:rsidR="00F66882" w:rsidRPr="008415B9" w:rsidRDefault="0045120D">
            <w:pPr>
              <w:rPr>
                <w:color w:val="0000FF"/>
                <w:u w:val="single"/>
              </w:rPr>
            </w:pPr>
            <w:hyperlink r:id="rId45"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45120D">
            <w:pPr>
              <w:rPr>
                <w:color w:val="0000FF"/>
                <w:u w:val="single"/>
              </w:rPr>
            </w:pPr>
            <w:hyperlink r:id="rId46"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45120D">
            <w:pPr>
              <w:rPr>
                <w:color w:val="0000FF"/>
                <w:u w:val="single"/>
              </w:rPr>
            </w:pPr>
            <w:hyperlink r:id="rId47"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45120D">
            <w:pPr>
              <w:rPr>
                <w:color w:val="0000FF"/>
                <w:u w:val="single"/>
              </w:rPr>
            </w:pPr>
            <w:hyperlink r:id="rId48"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45120D">
            <w:pPr>
              <w:rPr>
                <w:color w:val="0000FF"/>
                <w:u w:val="single"/>
              </w:rPr>
            </w:pPr>
            <w:hyperlink r:id="rId49"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45120D">
            <w:pPr>
              <w:rPr>
                <w:color w:val="0000FF"/>
                <w:u w:val="single"/>
              </w:rPr>
            </w:pPr>
            <w:hyperlink r:id="rId50"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45120D">
            <w:pPr>
              <w:rPr>
                <w:color w:val="0000FF"/>
                <w:u w:val="single"/>
              </w:rPr>
            </w:pPr>
            <w:hyperlink r:id="rId51"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3384F" w14:textId="77777777" w:rsidR="001C7FD2" w:rsidRDefault="001C7FD2" w:rsidP="00581A60">
      <w:pPr>
        <w:spacing w:after="0"/>
      </w:pPr>
      <w:r>
        <w:separator/>
      </w:r>
    </w:p>
  </w:endnote>
  <w:endnote w:type="continuationSeparator" w:id="0">
    <w:p w14:paraId="4D7FA2D5" w14:textId="77777777" w:rsidR="001C7FD2" w:rsidRDefault="001C7FD2" w:rsidP="00581A60">
      <w:pPr>
        <w:spacing w:after="0"/>
      </w:pPr>
      <w:r>
        <w:continuationSeparator/>
      </w:r>
    </w:p>
  </w:endnote>
  <w:endnote w:type="continuationNotice" w:id="1">
    <w:p w14:paraId="13EDBBEC" w14:textId="77777777" w:rsidR="001C7FD2" w:rsidRDefault="001C7F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00000000" w:usb2="00000000"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游明朝">
    <w:altName w:val="宋体"/>
    <w:panose1 w:val="00000000000000000000"/>
    <w:charset w:val="86"/>
    <w:family w:val="roman"/>
    <w:notTrueType/>
    <w:pitch w:val="default"/>
  </w:font>
  <w:font w:name="Segoe UI Emoji">
    <w:altName w:val="Segoe UI Symbol"/>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067D9" w14:textId="77777777" w:rsidR="001C7FD2" w:rsidRDefault="001C7FD2" w:rsidP="00581A60">
      <w:pPr>
        <w:spacing w:after="0"/>
      </w:pPr>
      <w:r>
        <w:separator/>
      </w:r>
    </w:p>
  </w:footnote>
  <w:footnote w:type="continuationSeparator" w:id="0">
    <w:p w14:paraId="12ECEB0E" w14:textId="77777777" w:rsidR="001C7FD2" w:rsidRDefault="001C7FD2" w:rsidP="00581A60">
      <w:pPr>
        <w:spacing w:after="0"/>
      </w:pPr>
      <w:r>
        <w:continuationSeparator/>
      </w:r>
    </w:p>
  </w:footnote>
  <w:footnote w:type="continuationNotice" w:id="1">
    <w:p w14:paraId="3F1F8486" w14:textId="77777777" w:rsidR="001C7FD2" w:rsidRDefault="001C7FD2">
      <w:pPr>
        <w:spacing w:after="0"/>
      </w:pPr>
    </w:p>
  </w:footnote>
  <w:footnote w:id="2">
    <w:p w14:paraId="2798ED64" w14:textId="77777777" w:rsidR="0045120D" w:rsidRPr="00C50163" w:rsidRDefault="0045120D"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45120D" w:rsidRPr="00C50163" w:rsidRDefault="0045120D"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4C2A"/>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Inbox/R1-2007177.zip" TargetMode="External"/><Relationship Id="rId18" Type="http://schemas.openxmlformats.org/officeDocument/2006/relationships/hyperlink" Target="http://www.3gpp.org/ftp/TSG_RAN/WG1_RL1/TSGR1_102-e/Docs/R1-2005269.zip" TargetMode="External"/><Relationship Id="rId26" Type="http://schemas.openxmlformats.org/officeDocument/2006/relationships/hyperlink" Target="http://www.3gpp.org/ftp/TSG_RAN/WG1_RL1/TSGR1_102-e/Docs/R1-2005770.zip" TargetMode="External"/><Relationship Id="rId39" Type="http://schemas.openxmlformats.org/officeDocument/2006/relationships/hyperlink" Target="http://www.3gpp.org/ftp/TSG_RAN/WG1_RL1/TSGR1_102-e/Docs/R1-2006538.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474.zip" TargetMode="External"/><Relationship Id="rId34" Type="http://schemas.openxmlformats.org/officeDocument/2006/relationships/hyperlink" Target="http://www.3gpp.org/ftp/TSG_RAN/WG1_RL1/TSGR1_102-e/Docs/R1-2006196.zip" TargetMode="External"/><Relationship Id="rId42" Type="http://schemas.openxmlformats.org/officeDocument/2006/relationships/hyperlink" Target="http://www.3gpp.org/ftp/TSG_RAN/WG1_RL1/TSGR1_102-e/Docs/R1-2006644.zip" TargetMode="External"/><Relationship Id="rId47" Type="http://schemas.openxmlformats.org/officeDocument/2006/relationships/hyperlink" Target="http://www.3gpp.org/ftp/TSG_RAN/WG1_RL1/TSGR1_102-e/Docs/R1-2006039.zip" TargetMode="External"/><Relationship Id="rId50" Type="http://schemas.openxmlformats.org/officeDocument/2006/relationships/hyperlink" Target="http://www.3gpp.org/ftp/TSG_RAN/WG1_RL1/TSGR1_102-e/Docs/R1-2005934.zip" TargetMode="External"/><Relationship Id="rId7" Type="http://schemas.microsoft.com/office/2007/relationships/stylesWithEffects" Target="stylesWithEffects.xml"/><Relationship Id="rId12" Type="http://schemas.openxmlformats.org/officeDocument/2006/relationships/hyperlink" Target="https://www.3gpp.org/ftp/tsg_ran/WG1_RL1/TSGR1_102-e/Docs/R1-2007090.zip" TargetMode="External"/><Relationship Id="rId17" Type="http://schemas.openxmlformats.org/officeDocument/2006/relationships/hyperlink" Target="http://www.3gpp.org/ftp/TSG_RAN/WG1_RL1/TSGR1_102-e/Docs/R1-2005234.zip" TargetMode="External"/><Relationship Id="rId25" Type="http://schemas.openxmlformats.org/officeDocument/2006/relationships/hyperlink" Target="http://www.3gpp.org/ftp/TSG_RAN/WG1_RL1/TSGR1_102-e/Docs/R1-2005714.zip" TargetMode="External"/><Relationship Id="rId33" Type="http://schemas.openxmlformats.org/officeDocument/2006/relationships/hyperlink" Target="http://www.3gpp.org/ftp/TSG_RAN/WG1_RL1/TSGR1_102-e/Docs/R1-2006152.zip" TargetMode="External"/><Relationship Id="rId38" Type="http://schemas.openxmlformats.org/officeDocument/2006/relationships/hyperlink" Target="http://www.3gpp.org/ftp/TSG_RAN/WG1_RL1/TSGR1_102-e/Docs/R1-2006524.zip" TargetMode="External"/><Relationship Id="rId46" Type="http://schemas.openxmlformats.org/officeDocument/2006/relationships/hyperlink" Target="https://www.3gpp.org/ftp/tsg_ran/WG1_RL1/TSGR1_102-e/Docs/R1-2006988.zip" TargetMode="Externa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http://www.3gpp.org/ftp/TSG_RAN/WG1_RL1/TSGR1_102-e/Docs/R1-2005383.zip" TargetMode="External"/><Relationship Id="rId29" Type="http://schemas.openxmlformats.org/officeDocument/2006/relationships/hyperlink" Target="http://www.3gpp.org/ftp/TSG_RAN/WG1_RL1/TSGR1_102-e/Docs/R1-2005937.zip" TargetMode="External"/><Relationship Id="rId41" Type="http://schemas.openxmlformats.org/officeDocument/2006/relationships/hyperlink" Target="http://www.3gpp.org/ftp/TSG_RAN/WG1_RL1/TSGR1_102-e/Docs/R1-20065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1_RL1/TSGR1_102-e/Docs/R1-2005637.zip" TargetMode="External"/><Relationship Id="rId32" Type="http://schemas.openxmlformats.org/officeDocument/2006/relationships/hyperlink" Target="http://www.3gpp.org/ftp/TSG_RAN/WG1_RL1/TSGR1_102-e/Docs/R1-2006036.zip" TargetMode="External"/><Relationship Id="rId37" Type="http://schemas.openxmlformats.org/officeDocument/2006/relationships/hyperlink" Target="http://www.3gpp.org/ftp/TSG_RAN/WG1_RL1/TSGR1_102-e/Docs/R1-2006306.zip" TargetMode="External"/><Relationship Id="rId40" Type="http://schemas.openxmlformats.org/officeDocument/2006/relationships/hyperlink" Target="http://www.3gpp.org/ftp/TSG_RAN/WG1_RL1/TSGR1_102-e/Docs/R1-2006542.zip" TargetMode="External"/><Relationship Id="rId45" Type="http://schemas.openxmlformats.org/officeDocument/2006/relationships/hyperlink" Target="http://www.3gpp.org/ftp/TSG_RAN/WG1_RL1/TSGR1_102-e/Docs/R1-2006811.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3gpp.org/ftp/TSG_RAN/WG1_RL1/TSGR1_102-e/Docs/R1-2005580.zip" TargetMode="External"/><Relationship Id="rId28" Type="http://schemas.openxmlformats.org/officeDocument/2006/relationships/hyperlink" Target="http://www.3gpp.org/ftp/TSG_RAN/WG1_RL1/TSGR1_102-e/Docs/R1-2005880.zip" TargetMode="External"/><Relationship Id="rId36" Type="http://schemas.openxmlformats.org/officeDocument/2006/relationships/hyperlink" Target="http://www.3gpp.org/ftp/TSG_RAN/WG1_RL1/TSGR1_102-e/Docs/R1-2006272.zip" TargetMode="External"/><Relationship Id="rId49" Type="http://schemas.openxmlformats.org/officeDocument/2006/relationships/hyperlink" Target="http://www.3gpp.org/ftp/TSG_RAN/WG1_RL1/TSGR1_102-e/Docs/R1-2006686.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277.zip" TargetMode="External"/><Relationship Id="rId31" Type="http://schemas.openxmlformats.org/officeDocument/2006/relationships/hyperlink" Target="http://www.3gpp.org/ftp/TSG_RAN/WG1_RL1/TSGR1_102-e/Docs/R1-2005968.zip" TargetMode="External"/><Relationship Id="rId44" Type="http://schemas.openxmlformats.org/officeDocument/2006/relationships/hyperlink" Target="http://www.3gpp.org/ftp/TSG_RAN/WG1_RL1/TSGR1_102-e/Docs/R1-200673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3gpp.org/ftp/TSG_RAN/WG1_RL1/TSGR1_102-e/Docs/R1-2005525.zip" TargetMode="External"/><Relationship Id="rId27" Type="http://schemas.openxmlformats.org/officeDocument/2006/relationships/hyperlink" Target="http://www.3gpp.org/ftp/TSG_RAN/WG1_RL1/TSGR1_102-e/Docs/R1-2005830.zip" TargetMode="External"/><Relationship Id="rId30" Type="http://schemas.openxmlformats.org/officeDocument/2006/relationships/hyperlink" Target="http://www.3gpp.org/ftp/TSG_RAN/WG1_RL1/TSGR1_102-e/Docs/R1-2005959.zip" TargetMode="External"/><Relationship Id="rId35" Type="http://schemas.openxmlformats.org/officeDocument/2006/relationships/hyperlink" Target="http://www.3gpp.org/ftp/TSG_RAN/WG1_RL1/TSGR1_102-e/Docs/R1-2006217.zip" TargetMode="External"/><Relationship Id="rId43" Type="http://schemas.openxmlformats.org/officeDocument/2006/relationships/hyperlink" Target="http://www.3gpp.org/ftp/TSG_RAN/WG1_RL1/TSGR1_102-e/Docs/R1-2006682.zip" TargetMode="External"/><Relationship Id="rId48" Type="http://schemas.openxmlformats.org/officeDocument/2006/relationships/hyperlink" Target="http://www.3gpp.org/ftp/TSG_RAN/WG1_RL1/TSGR1_102-e/Docs/R1-2006155.zip" TargetMode="External"/><Relationship Id="rId8" Type="http://schemas.openxmlformats.org/officeDocument/2006/relationships/settings" Target="settings.xml"/><Relationship Id="rId51" Type="http://schemas.openxmlformats.org/officeDocument/2006/relationships/hyperlink" Target="http://www.3gpp.org/ftp/TSG_RAN/WG1_RL1/TSGR1_102-e/Docs/R1-2005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BF88F-D596-461D-8927-6D52415A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34002</Words>
  <Characters>193816</Characters>
  <Application>Microsoft Office Word</Application>
  <DocSecurity>0</DocSecurity>
  <Lines>1615</Lines>
  <Paragraphs>454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227364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2020-08-25T09:28:00Z</dcterms:created>
  <dcterms:modified xsi:type="dcterms:W3CDTF">2020-08-25T09:28:00Z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