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bCs w:val="0"/>
          <w:snapToGrid/>
          <w:kern w:val="0"/>
          <w:lang w:eastAsia="en-US"/>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056FB4">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056FB4">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056FB4">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056FB4">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056FB4">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056FB4">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056FB4">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056FB4">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056FB4">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056FB4">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056FB4">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056FB4">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056FB4">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056FB4">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056FB4">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056FB4">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val="en-GB" w:eastAsia="ja-JP"/>
        </w:rPr>
        <w:t xml:space="preserve">MediaTek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szCs w:val="24"/>
        </w:rPr>
        <w:t xml:space="preserve">On the other hand, CMCC, ZTE, </w:t>
      </w:r>
      <w:proofErr w:type="gramStart"/>
      <w:r w:rsidRPr="00A315B3">
        <w:rPr>
          <w:rFonts w:eastAsia="SimHei" w:cstheme="minorHAnsi"/>
          <w:szCs w:val="24"/>
        </w:rPr>
        <w:t>Apple ,CAICT</w:t>
      </w:r>
      <w:proofErr w:type="gramEnd"/>
      <w:r w:rsidRPr="00A315B3">
        <w:rPr>
          <w:rFonts w:eastAsia="SimHei" w:cstheme="minorHAnsi"/>
          <w:szCs w:val="24"/>
        </w:rPr>
        <w:t xml:space="preserve">, and Sony want to consider </w:t>
      </w:r>
      <w:r w:rsidR="00DA1411" w:rsidRPr="00A315B3">
        <w:rPr>
          <w:rFonts w:eastAsia="SimHei" w:cstheme="minorHAnsi"/>
          <w:szCs w:val="24"/>
        </w:rPr>
        <w:t>the support of</w:t>
      </w:r>
      <w:r w:rsidR="00457F52" w:rsidRPr="00A315B3">
        <w:rPr>
          <w:rFonts w:eastAsia="SimHei" w:cstheme="minorHAnsi"/>
          <w:szCs w:val="24"/>
        </w:rPr>
        <w:t xml:space="preserve"> both</w:t>
      </w:r>
      <w:r w:rsidR="00DA1411" w:rsidRPr="00A315B3">
        <w:rPr>
          <w:rFonts w:eastAsia="SimHei" w:cstheme="minorHAnsi"/>
          <w:szCs w:val="24"/>
        </w:rPr>
        <w:t xml:space="preserve"> UEs</w:t>
      </w:r>
      <w:r w:rsidR="007625B3" w:rsidRPr="00A315B3">
        <w:rPr>
          <w:rFonts w:eastAsia="SimHei" w:cstheme="minorHAnsi"/>
          <w:szCs w:val="24"/>
        </w:rPr>
        <w:t xml:space="preserve"> with and</w:t>
      </w:r>
      <w:r w:rsidR="00DA1411" w:rsidRPr="00A315B3">
        <w:rPr>
          <w:rFonts w:eastAsia="SimHei" w:cstheme="minorHAnsi"/>
          <w:szCs w:val="24"/>
        </w:rPr>
        <w:t xml:space="preserve"> without capability on </w:t>
      </w:r>
      <w:r w:rsidR="00682D2B" w:rsidRPr="00A315B3">
        <w:rPr>
          <w:rFonts w:eastAsia="SimHei" w:cstheme="minorHAnsi"/>
          <w:szCs w:val="24"/>
        </w:rPr>
        <w:t xml:space="preserve">GNSS-based </w:t>
      </w:r>
      <w:r w:rsidR="00DA1411" w:rsidRPr="00A315B3">
        <w:rPr>
          <w:rFonts w:eastAsia="SimHei" w:cstheme="minorHAnsi"/>
          <w:szCs w:val="24"/>
        </w:rPr>
        <w:t>timing and frequency pre-compensation</w:t>
      </w:r>
      <w:r w:rsidR="008A1116" w:rsidRPr="00A315B3">
        <w:rPr>
          <w:rFonts w:eastAsia="SimHei" w:cstheme="minorHAnsi"/>
          <w:szCs w:val="24"/>
        </w:rPr>
        <w:t xml:space="preserve">. ZTE proposed </w:t>
      </w:r>
      <w:r w:rsidR="007625B3" w:rsidRPr="00A315B3">
        <w:rPr>
          <w:rFonts w:eastAsia="SimHei"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837"/>
        <w:gridCol w:w="8018"/>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ListParagraph"/>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ListParagraph"/>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 xml:space="preserve">RAN1 to determine the need for support of GNSS measurement gaps in </w:t>
            </w:r>
            <w:r w:rsidRPr="00A315B3">
              <w:rPr>
                <w:rFonts w:cstheme="minorHAnsi"/>
              </w:rPr>
              <w:lastRenderedPageBreak/>
              <w:t>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eastAsia="ja-JP"/>
              </w:rPr>
            </w:pPr>
            <w:r>
              <w:rPr>
                <w:rFonts w:eastAsia="SimSun" w:cstheme="minorHAnsi" w:hint="eastAsia"/>
                <w:bCs/>
              </w:rPr>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w:t>
            </w:r>
            <w:r>
              <w:rPr>
                <w:rFonts w:cstheme="minorHAnsi" w:hint="eastAsia"/>
              </w:rPr>
              <w:lastRenderedPageBreak/>
              <w:t xml:space="preserve">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E01D82">
        <w:tc>
          <w:tcPr>
            <w:tcW w:w="932" w:type="pct"/>
          </w:tcPr>
          <w:p w14:paraId="72175C54" w14:textId="77777777" w:rsidR="00056FB4" w:rsidRPr="00B623CD" w:rsidRDefault="00056FB4" w:rsidP="00E01D82">
            <w:pPr>
              <w:rPr>
                <w:rFonts w:cstheme="minorHAnsi"/>
                <w:bCs/>
                <w:color w:val="833C0B" w:themeColor="accent2" w:themeShade="80"/>
                <w:lang w:val="en-GB" w:eastAsia="ja-JP"/>
              </w:rPr>
            </w:pPr>
            <w:r>
              <w:rPr>
                <w:rFonts w:cstheme="minorHAnsi"/>
                <w:bCs/>
                <w:color w:val="833C0B" w:themeColor="accent2" w:themeShade="80"/>
                <w:lang w:val="en-GB" w:eastAsia="ja-JP"/>
              </w:rPr>
              <w:lastRenderedPageBreak/>
              <w:t>Eutelsat</w:t>
            </w:r>
          </w:p>
        </w:tc>
        <w:tc>
          <w:tcPr>
            <w:tcW w:w="4068" w:type="pct"/>
          </w:tcPr>
          <w:p w14:paraId="053E0173" w14:textId="77777777" w:rsidR="00056FB4" w:rsidRPr="000624AA" w:rsidRDefault="00056FB4" w:rsidP="00E01D82">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9011C7">
      <w:pPr>
        <w:pStyle w:val="ListParagraph"/>
        <w:numPr>
          <w:ilvl w:val="0"/>
          <w:numId w:val="18"/>
        </w:numPr>
        <w:ind w:firstLine="44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ListParagraph"/>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ListParagraph"/>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ListParagraph"/>
        <w:numPr>
          <w:ilvl w:val="2"/>
          <w:numId w:val="18"/>
        </w:numPr>
        <w:ind w:firstLine="44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ListParagraph"/>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ListParagraph"/>
        <w:numPr>
          <w:ilvl w:val="0"/>
          <w:numId w:val="18"/>
        </w:numPr>
        <w:ind w:firstLine="44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ListParagraph"/>
        <w:numPr>
          <w:ilvl w:val="1"/>
          <w:numId w:val="18"/>
        </w:numPr>
        <w:ind w:firstLine="44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837"/>
        <w:gridCol w:w="8018"/>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 xml:space="preserve">Proposal 1: For UEs with autonomous TA acquisition, the full TA is applied for PRACH </w:t>
            </w:r>
            <w:r w:rsidRPr="00811FE0">
              <w:rPr>
                <w:rFonts w:cstheme="minorHAnsi"/>
              </w:rPr>
              <w:lastRenderedPageBreak/>
              <w:t>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lastRenderedPageBreak/>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ListParagraph"/>
        <w:numPr>
          <w:ilvl w:val="0"/>
          <w:numId w:val="18"/>
        </w:numPr>
        <w:ind w:firstLine="442"/>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ListParagraph"/>
        <w:numPr>
          <w:ilvl w:val="1"/>
          <w:numId w:val="18"/>
        </w:numPr>
        <w:ind w:firstLine="44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ListParagraph"/>
        <w:numPr>
          <w:ilvl w:val="2"/>
          <w:numId w:val="18"/>
        </w:numPr>
        <w:ind w:firstLine="442"/>
        <w:rPr>
          <w:rFonts w:cstheme="minorHAnsi"/>
          <w:b/>
        </w:rPr>
      </w:pPr>
      <w:r w:rsidRPr="0022216B">
        <w:rPr>
          <w:rFonts w:cstheme="minorHAnsi"/>
          <w:b/>
        </w:rPr>
        <w:t>Serving satellite ephemeris</w:t>
      </w:r>
    </w:p>
    <w:p w14:paraId="083123F6" w14:textId="77777777" w:rsidR="0022216B" w:rsidRPr="00811FE0" w:rsidRDefault="0022216B" w:rsidP="009011C7">
      <w:pPr>
        <w:pStyle w:val="ListParagraph"/>
        <w:numPr>
          <w:ilvl w:val="2"/>
          <w:numId w:val="18"/>
        </w:numPr>
        <w:ind w:firstLine="44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ListParagraph"/>
        <w:numPr>
          <w:ilvl w:val="1"/>
          <w:numId w:val="18"/>
        </w:numPr>
        <w:ind w:firstLine="442"/>
        <w:rPr>
          <w:rFonts w:cstheme="minorHAnsi"/>
          <w:b/>
        </w:rPr>
      </w:pPr>
      <w:r w:rsidRPr="00811FE0">
        <w:rPr>
          <w:rFonts w:cstheme="minorHAnsi"/>
          <w:b/>
        </w:rPr>
        <w:t>And a possible common TA indication</w:t>
      </w:r>
    </w:p>
    <w:p w14:paraId="2B5B8B3C" w14:textId="77777777" w:rsidR="0022216B" w:rsidRPr="00811FE0" w:rsidRDefault="0022216B" w:rsidP="009011C7">
      <w:pPr>
        <w:pStyle w:val="ListParagraph"/>
        <w:numPr>
          <w:ilvl w:val="0"/>
          <w:numId w:val="18"/>
        </w:numPr>
        <w:ind w:firstLine="44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ListParagraph"/>
        <w:numPr>
          <w:ilvl w:val="1"/>
          <w:numId w:val="18"/>
        </w:numPr>
        <w:ind w:firstLine="44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lastRenderedPageBreak/>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w:t>
            </w:r>
            <w:proofErr w:type="spellStart"/>
            <w:r>
              <w:rPr>
                <w:rFonts w:cstheme="minorHAnsi" w:hint="eastAsia"/>
              </w:rPr>
              <w:t>gNB</w:t>
            </w:r>
            <w:proofErr w:type="spellEnd"/>
            <w:r>
              <w:rPr>
                <w:rFonts w:cstheme="minorHAnsi" w:hint="eastAsia"/>
              </w:rPr>
              <w:t xml:space="preserve">. And for time stamp, we need more </w:t>
            </w:r>
            <w:proofErr w:type="gramStart"/>
            <w:r>
              <w:rPr>
                <w:rFonts w:cstheme="minorHAnsi"/>
              </w:rPr>
              <w:t>clarifications</w:t>
            </w:r>
            <w:r>
              <w:rPr>
                <w:rFonts w:cstheme="minorHAnsi" w:hint="eastAsia"/>
              </w:rPr>
              <w:t>,</w:t>
            </w:r>
            <w:proofErr w:type="gramEnd"/>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E01D82">
        <w:tc>
          <w:tcPr>
            <w:tcW w:w="932" w:type="pct"/>
          </w:tcPr>
          <w:p w14:paraId="17E40AC3" w14:textId="77777777" w:rsidR="00056FB4" w:rsidRPr="00B623CD"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27DA4A5" w14:textId="77777777" w:rsidR="00056FB4" w:rsidRPr="00B623CD" w:rsidRDefault="00056FB4" w:rsidP="00E01D82">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lastRenderedPageBreak/>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9011C7">
      <w:pPr>
        <w:pStyle w:val="ListParagraph"/>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ListParagraph"/>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9011C7">
      <w:pPr>
        <w:pStyle w:val="ListParagraph"/>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ListParagraph"/>
        <w:numPr>
          <w:ilvl w:val="0"/>
          <w:numId w:val="17"/>
        </w:numPr>
        <w:ind w:firstLine="440"/>
        <w:rPr>
          <w:rFonts w:cstheme="minorHAnsi"/>
        </w:rPr>
      </w:pPr>
      <w:r w:rsidRPr="00811FE0">
        <w:rPr>
          <w:rFonts w:cstheme="minorHAnsi"/>
        </w:rPr>
        <w:lastRenderedPageBreak/>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9011C7">
      <w:pPr>
        <w:pStyle w:val="ListParagraph"/>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ListParagraph"/>
        <w:numPr>
          <w:ilvl w:val="0"/>
          <w:numId w:val="21"/>
        </w:numPr>
        <w:ind w:firstLine="44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lastRenderedPageBreak/>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837"/>
        <w:gridCol w:w="8018"/>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ListParagraph"/>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ListParagraph"/>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ListParagraph"/>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ListParagraph"/>
              <w:numPr>
                <w:ilvl w:val="0"/>
                <w:numId w:val="18"/>
              </w:numPr>
              <w:ind w:firstLine="44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ListParagraph"/>
              <w:numPr>
                <w:ilvl w:val="0"/>
                <w:numId w:val="18"/>
              </w:numPr>
              <w:ind w:firstLine="44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ListParagraph"/>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 xml:space="preserve">he </w:t>
            </w:r>
            <w:r w:rsidR="001611CB" w:rsidRPr="00811FE0">
              <w:rPr>
                <w:rFonts w:cstheme="minorHAnsi"/>
              </w:rPr>
              <w:lastRenderedPageBreak/>
              <w:t>timing offset between the DL and UL frame timing is fixed</w:t>
            </w:r>
            <w:r w:rsidRPr="00811FE0">
              <w:rPr>
                <w:rFonts w:cstheme="minorHAnsi"/>
              </w:rPr>
              <w:t xml:space="preserve"> </w:t>
            </w:r>
          </w:p>
          <w:p w14:paraId="020DB462" w14:textId="77777777" w:rsidR="007C0A45" w:rsidRPr="00811FE0" w:rsidRDefault="007C0A45" w:rsidP="009011C7">
            <w:pPr>
              <w:pStyle w:val="ListParagraph"/>
              <w:numPr>
                <w:ilvl w:val="0"/>
                <w:numId w:val="18"/>
              </w:numPr>
              <w:ind w:firstLine="44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or gNB)).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lastRenderedPageBreak/>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eastAsia="ja-JP"/>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lang w:eastAsia="ja-JP"/>
              </w:rPr>
            </w:pPr>
            <w:r>
              <w:rPr>
                <w:rFonts w:cstheme="minorHAnsi" w:hint="eastAsia"/>
                <w:bCs/>
                <w:lang w:val="en-GB"/>
              </w:rPr>
              <w:t>CATT</w:t>
            </w:r>
          </w:p>
        </w:tc>
        <w:tc>
          <w:tcPr>
            <w:tcW w:w="4068" w:type="pct"/>
          </w:tcPr>
          <w:p w14:paraId="281C6075" w14:textId="77777777" w:rsidR="00F76A3D" w:rsidRDefault="00F76A3D" w:rsidP="00056BB9">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w:t>
            </w:r>
            <w:proofErr w:type="spellStart"/>
            <w:r>
              <w:rPr>
                <w:rFonts w:cstheme="minorHAnsi" w:hint="eastAsia"/>
              </w:rPr>
              <w:t>gNB</w:t>
            </w:r>
            <w:proofErr w:type="spellEnd"/>
            <w:r>
              <w:rPr>
                <w:rFonts w:cstheme="minorHAnsi" w:hint="eastAsia"/>
              </w:rPr>
              <w:t xml:space="preserve">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w:t>
            </w:r>
            <w:proofErr w:type="spellStart"/>
            <w:r>
              <w:rPr>
                <w:rFonts w:cstheme="minorHAnsi" w:hint="eastAsia"/>
              </w:rPr>
              <w:t>gNB</w:t>
            </w:r>
            <w:proofErr w:type="spellEnd"/>
            <w:r>
              <w:rPr>
                <w:rFonts w:cstheme="minorHAnsi" w:hint="eastAsia"/>
              </w:rPr>
              <w:t xml:space="preserve"> will compensate the feeder link delay+ a part of service link delay. </w:t>
            </w:r>
            <w:r>
              <w:rPr>
                <w:rFonts w:cstheme="minorHAnsi"/>
              </w:rPr>
              <w:t>I</w:t>
            </w:r>
            <w:r>
              <w:rPr>
                <w:rFonts w:cstheme="minorHAnsi" w:hint="eastAsia"/>
              </w:rPr>
              <w:t xml:space="preserve">f the reference point is set in satellite, </w:t>
            </w:r>
            <w:proofErr w:type="spellStart"/>
            <w:r>
              <w:rPr>
                <w:rFonts w:cstheme="minorHAnsi" w:hint="eastAsia"/>
              </w:rPr>
              <w:t>gNB</w:t>
            </w:r>
            <w:proofErr w:type="spellEnd"/>
            <w:r>
              <w:rPr>
                <w:rFonts w:cstheme="minorHAnsi" w:hint="eastAsia"/>
              </w:rPr>
              <w:t xml:space="preserve">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E01D82">
        <w:tc>
          <w:tcPr>
            <w:tcW w:w="932" w:type="pct"/>
          </w:tcPr>
          <w:p w14:paraId="3B06D2D1"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FD27D1C"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3 as first preference (on basis of flexibility).</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837"/>
        <w:gridCol w:w="8018"/>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lastRenderedPageBreak/>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lastRenderedPageBreak/>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w:t>
            </w:r>
            <w:r>
              <w:rPr>
                <w:rFonts w:cstheme="minorHAnsi"/>
              </w:rPr>
              <w:lastRenderedPageBreak/>
              <w:t xml:space="preserve">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eastAsia="ja-JP"/>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E01D82">
        <w:tc>
          <w:tcPr>
            <w:tcW w:w="932" w:type="pct"/>
          </w:tcPr>
          <w:p w14:paraId="29C6B6D5"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760C5C5"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4 (dependency on proposal 3 outcome is noted).</w:t>
            </w: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837"/>
        <w:gridCol w:w="8018"/>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w:t>
            </w:r>
            <w:r w:rsidRPr="00811FE0">
              <w:rPr>
                <w:rFonts w:cstheme="minorHAnsi"/>
              </w:rPr>
              <w:lastRenderedPageBreak/>
              <w:t>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lastRenderedPageBreak/>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lastRenderedPageBreak/>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E01D82">
        <w:tc>
          <w:tcPr>
            <w:tcW w:w="932" w:type="pct"/>
          </w:tcPr>
          <w:p w14:paraId="669DE98E"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bl>
    <w:p w14:paraId="6DA1E59F" w14:textId="1BFEB99F" w:rsidR="001E7849" w:rsidRPr="0096019D" w:rsidRDefault="00056FB4" w:rsidP="00993010">
      <w:pPr>
        <w:rPr>
          <w:rFonts w:eastAsia="SimHei" w:cstheme="minorHAnsi"/>
          <w:bCs/>
          <w:sz w:val="24"/>
          <w:szCs w:val="32"/>
        </w:rPr>
      </w:pPr>
      <w:r>
        <w:rPr>
          <w:rFonts w:eastAsia="SimHei" w:cstheme="minorHAnsi"/>
          <w:bCs/>
          <w:sz w:val="24"/>
          <w:szCs w:val="32"/>
        </w:rPr>
        <w:tab/>
      </w:r>
    </w:p>
    <w:p w14:paraId="76F2EB30" w14:textId="77777777" w:rsidR="00183E3D" w:rsidRPr="00811FE0" w:rsidRDefault="00183E3D" w:rsidP="00993010">
      <w:pPr>
        <w:pStyle w:val="Heading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837"/>
        <w:gridCol w:w="8018"/>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ListParagraph"/>
              <w:numPr>
                <w:ilvl w:val="0"/>
                <w:numId w:val="18"/>
              </w:numPr>
              <w:ind w:firstLine="44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ListParagraph"/>
              <w:numPr>
                <w:ilvl w:val="0"/>
                <w:numId w:val="18"/>
              </w:numPr>
              <w:ind w:firstLine="440"/>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gNB based on broadcast information and DL carrier </w:t>
            </w:r>
            <w:r w:rsidRPr="00811FE0">
              <w:rPr>
                <w:rFonts w:cstheme="minorHAnsi"/>
              </w:rPr>
              <w:lastRenderedPageBreak/>
              <w:t>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lastRenderedPageBreak/>
              <w:t>ZTE</w:t>
            </w:r>
          </w:p>
        </w:tc>
        <w:tc>
          <w:tcPr>
            <w:tcW w:w="4068" w:type="pct"/>
          </w:tcPr>
          <w:p w14:paraId="676E3C85" w14:textId="77777777" w:rsidR="00DF360F" w:rsidRPr="00811FE0" w:rsidRDefault="00DF360F" w:rsidP="009011C7">
            <w:pPr>
              <w:pStyle w:val="ListParagraph"/>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9011C7">
            <w:pPr>
              <w:pStyle w:val="ListParagraph"/>
              <w:numPr>
                <w:ilvl w:val="0"/>
                <w:numId w:val="19"/>
              </w:numPr>
              <w:ind w:firstLine="44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SimHei"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w:t>
            </w:r>
            <w:r>
              <w:rPr>
                <w:rFonts w:cstheme="minorHAnsi"/>
              </w:rPr>
              <w:lastRenderedPageBreak/>
              <w:t xml:space="preserve">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eastAsia="ja-JP"/>
              </w:rPr>
              <w:lastRenderedPageBreak/>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bl>
    <w:p w14:paraId="6EE2DBF5" w14:textId="77777777" w:rsidR="00DF360F" w:rsidRPr="0096019D" w:rsidRDefault="00DF360F" w:rsidP="00DF360F">
      <w:pPr>
        <w:rPr>
          <w:rFonts w:eastAsia="SimHei" w:cstheme="minorHAnsi"/>
          <w:bCs/>
          <w:sz w:val="24"/>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837"/>
        <w:gridCol w:w="8018"/>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t>
            </w:r>
            <w:r w:rsidRPr="00811FE0">
              <w:rPr>
                <w:rFonts w:cstheme="minorHAnsi"/>
              </w:rPr>
              <w:lastRenderedPageBreak/>
              <w:t>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lastRenderedPageBreak/>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Proposal 5: W.r.t.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E01D82">
        <w:tc>
          <w:tcPr>
            <w:tcW w:w="932" w:type="pct"/>
          </w:tcPr>
          <w:p w14:paraId="538ECDF2"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14:paraId="287F8F6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 xml:space="preserve">Agree with </w:t>
            </w:r>
            <w:proofErr w:type="spellStart"/>
            <w:r>
              <w:rPr>
                <w:rFonts w:cstheme="minorHAnsi"/>
                <w:color w:val="833C0B" w:themeColor="accent2" w:themeShade="80"/>
              </w:rPr>
              <w:t>MediaTek</w:t>
            </w:r>
            <w:proofErr w:type="spellEnd"/>
            <w:r>
              <w:rPr>
                <w:rFonts w:cstheme="minorHAnsi"/>
                <w:color w:val="833C0B" w:themeColor="accent2" w:themeShade="80"/>
              </w:rPr>
              <w:t>.</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w:t>
      </w:r>
      <w:proofErr w:type="gramStart"/>
      <w:r w:rsidR="00180ED0" w:rsidRPr="00811FE0">
        <w:rPr>
          <w:rFonts w:asciiTheme="minorHAnsi" w:hAnsiTheme="minorHAnsi" w:cstheme="minorHAnsi"/>
          <w:color w:val="000000" w:themeColor="text1"/>
        </w:rPr>
        <w:t>how</w:t>
      </w:r>
      <w:proofErr w:type="gramEnd"/>
      <w:r w:rsidR="00180ED0" w:rsidRPr="00811FE0">
        <w:rPr>
          <w:rFonts w:asciiTheme="minorHAnsi" w:hAnsiTheme="minorHAnsi" w:cstheme="minorHAnsi"/>
          <w:color w:val="000000" w:themeColor="text1"/>
        </w:rPr>
        <w:t xml:space="preserve">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w:t>
            </w:r>
            <w:r>
              <w:rPr>
                <w:rFonts w:cstheme="minorHAnsi"/>
              </w:rPr>
              <w:lastRenderedPageBreak/>
              <w:t xml:space="preserve">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lastRenderedPageBreak/>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eastAsia="ja-JP"/>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eastAsia="ja-JP"/>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E01D82">
        <w:tc>
          <w:tcPr>
            <w:tcW w:w="932" w:type="pct"/>
          </w:tcPr>
          <w:p w14:paraId="0D014067"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0410562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bl>
    <w:p w14:paraId="1D91BBD9" w14:textId="77777777" w:rsidR="006121A0" w:rsidRPr="003E5821" w:rsidRDefault="006121A0" w:rsidP="007A7568">
      <w:pPr>
        <w:rPr>
          <w:rFonts w:eastAsia="SimHei" w:cstheme="minorHAnsi"/>
          <w:bCs/>
          <w:sz w:val="24"/>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837"/>
        <w:gridCol w:w="8018"/>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lastRenderedPageBreak/>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 xml:space="preserve">Proposal 3: When there is contradiction among common TA value for uplink </w:t>
            </w:r>
            <w:r w:rsidRPr="00811FE0">
              <w:rPr>
                <w:rFonts w:cstheme="minorHAnsi"/>
              </w:rPr>
              <w:lastRenderedPageBreak/>
              <w:t>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lastRenderedPageBreak/>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eastAsia="ja-JP"/>
              </w:rPr>
              <w:lastRenderedPageBreak/>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E01D82">
        <w:tc>
          <w:tcPr>
            <w:tcW w:w="932" w:type="pct"/>
          </w:tcPr>
          <w:p w14:paraId="7557B935"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 xml:space="preserve">Agree with </w:t>
            </w:r>
            <w:proofErr w:type="spellStart"/>
            <w:r>
              <w:rPr>
                <w:rFonts w:cstheme="minorHAnsi"/>
                <w:color w:val="833C0B" w:themeColor="accent2" w:themeShade="80"/>
              </w:rPr>
              <w:t>MediaTek</w:t>
            </w:r>
            <w:proofErr w:type="spellEnd"/>
            <w:r>
              <w:rPr>
                <w:rFonts w:cstheme="minorHAnsi"/>
                <w:color w:val="833C0B" w:themeColor="accent2" w:themeShade="80"/>
              </w:rPr>
              <w:t xml:space="preserve"> (proposal 1 priority to </w:t>
            </w:r>
            <w:proofErr w:type="gramStart"/>
            <w:r>
              <w:rPr>
                <w:rFonts w:cstheme="minorHAnsi"/>
                <w:color w:val="833C0B" w:themeColor="accent2" w:themeShade="80"/>
              </w:rPr>
              <w:t>discussed</w:t>
            </w:r>
            <w:proofErr w:type="gramEnd"/>
            <w:r>
              <w:rPr>
                <w:rFonts w:cstheme="minorHAnsi"/>
                <w:color w:val="833C0B" w:themeColor="accent2" w:themeShade="80"/>
              </w:rPr>
              <w:t>).</w:t>
            </w:r>
          </w:p>
        </w:tc>
      </w:tr>
    </w:tbl>
    <w:p w14:paraId="2C8D9A4B" w14:textId="77777777" w:rsidR="00F65C86" w:rsidRPr="00961E2A" w:rsidRDefault="00F65C86" w:rsidP="007A7568">
      <w:pPr>
        <w:rPr>
          <w:rFonts w:eastAsia="SimHei" w:cstheme="minorHAnsi"/>
          <w:bCs/>
          <w:sz w:val="24"/>
          <w:szCs w:val="32"/>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837"/>
        <w:gridCol w:w="8018"/>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lastRenderedPageBreak/>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r w:rsidR="00536BB5" w:rsidRPr="00811FE0">
        <w:rPr>
          <w:rFonts w:eastAsia="SimHei" w:cstheme="minorHAnsi"/>
          <w:bCs/>
          <w:szCs w:val="32"/>
        </w:rPr>
        <w:t>accurate</w:t>
      </w:r>
      <w:proofErr w:type="gramStart"/>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837"/>
        <w:gridCol w:w="8018"/>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eastAsia="ja-JP"/>
              </w:rPr>
              <w:lastRenderedPageBreak/>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satellite/gNB).</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E01D82">
        <w:tc>
          <w:tcPr>
            <w:tcW w:w="932" w:type="pct"/>
          </w:tcPr>
          <w:p w14:paraId="55C00952"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E01D82">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77777777" w:rsidR="00056FB4" w:rsidRPr="00056FB4" w:rsidRDefault="00056FB4" w:rsidP="00D85FF1">
            <w:pPr>
              <w:rPr>
                <w:rFonts w:cstheme="minorHAnsi" w:hint="eastAsia"/>
                <w:bCs/>
              </w:rPr>
            </w:pPr>
          </w:p>
        </w:tc>
        <w:tc>
          <w:tcPr>
            <w:tcW w:w="4068" w:type="pct"/>
          </w:tcPr>
          <w:p w14:paraId="506F8F92" w14:textId="77777777" w:rsidR="00056FB4" w:rsidRDefault="00056FB4" w:rsidP="00D85FF1">
            <w:pPr>
              <w:rPr>
                <w:rFonts w:cstheme="minorHAnsi" w:hint="eastAsia"/>
              </w:rPr>
            </w:pP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837"/>
        <w:gridCol w:w="8018"/>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lastRenderedPageBreak/>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eastAsia="ja-JP"/>
              </w:rPr>
              <w:t>Nokia</w:t>
            </w:r>
          </w:p>
        </w:tc>
        <w:tc>
          <w:tcPr>
            <w:tcW w:w="4068" w:type="pct"/>
          </w:tcPr>
          <w:p w14:paraId="0324FF03" w14:textId="33BB8243"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14:paraId="03D5904A" w14:textId="77777777" w:rsidTr="00E01D82">
        <w:tc>
          <w:tcPr>
            <w:tcW w:w="932" w:type="pct"/>
          </w:tcPr>
          <w:p w14:paraId="1B0194F0"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6BB8B23"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77777777" w:rsidR="00056FB4" w:rsidRDefault="00056FB4" w:rsidP="00D85FF1">
            <w:pPr>
              <w:rPr>
                <w:rFonts w:cstheme="minorHAnsi" w:hint="eastAsia"/>
                <w:bCs/>
                <w:lang w:val="en-GB"/>
              </w:rPr>
            </w:pPr>
          </w:p>
        </w:tc>
        <w:tc>
          <w:tcPr>
            <w:tcW w:w="4068" w:type="pct"/>
          </w:tcPr>
          <w:p w14:paraId="49B459C5" w14:textId="77777777" w:rsidR="00056FB4" w:rsidRDefault="00056FB4" w:rsidP="001207C2">
            <w:pPr>
              <w:rPr>
                <w:rFonts w:cstheme="minorHAnsi" w:hint="eastAsia"/>
              </w:rPr>
            </w:pP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837"/>
        <w:gridCol w:w="8018"/>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lastRenderedPageBreak/>
              <w:t xml:space="preserve">MediaTek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The UL synchronization becomes UE autonomous handling. Later, in RAR, the gNB can further fine-tune the TA delta as in the legacy system.</w:t>
            </w:r>
          </w:p>
          <w:p w14:paraId="2D9819E0" w14:textId="77777777" w:rsidR="00266F23" w:rsidRPr="00A315B3" w:rsidRDefault="00266F23" w:rsidP="00F36B4D">
            <w:r w:rsidRPr="00A315B3">
              <w:t xml:space="preserve">Proposal 4: for gNB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eastAsia="ja-JP"/>
              </w:rPr>
              <w:lastRenderedPageBreak/>
              <w:t>Nokia</w:t>
            </w:r>
          </w:p>
        </w:tc>
        <w:tc>
          <w:tcPr>
            <w:tcW w:w="4068" w:type="pct"/>
          </w:tcPr>
          <w:p w14:paraId="5C93B576" w14:textId="6443247B"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E01D82">
        <w:tc>
          <w:tcPr>
            <w:tcW w:w="932" w:type="pct"/>
          </w:tcPr>
          <w:p w14:paraId="14B72AE6"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51F5847B"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7777777" w:rsidR="00056FB4" w:rsidRDefault="00056FB4" w:rsidP="00D85FF1">
            <w:pPr>
              <w:rPr>
                <w:rFonts w:cstheme="minorHAnsi" w:hint="eastAsia"/>
                <w:bCs/>
                <w:lang w:val="en-GB"/>
              </w:rPr>
            </w:pPr>
          </w:p>
        </w:tc>
        <w:tc>
          <w:tcPr>
            <w:tcW w:w="4068" w:type="pct"/>
          </w:tcPr>
          <w:p w14:paraId="2849E884" w14:textId="77777777" w:rsidR="00056FB4" w:rsidRDefault="00056FB4" w:rsidP="00D85FF1">
            <w:pPr>
              <w:rPr>
                <w:rFonts w:cstheme="minorHAnsi" w:hint="eastAsia"/>
              </w:rPr>
            </w:pP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r w:rsidR="0004484A" w:rsidRPr="00A315B3">
        <w:rPr>
          <w:rFonts w:cstheme="minorHAnsi"/>
        </w:rPr>
        <w:t>connected</w:t>
      </w:r>
      <w:proofErr w:type="gramStart"/>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837"/>
        <w:gridCol w:w="8018"/>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gNB has to frequently send TA commands to the UE if merely based on closed-loop TA adjustment, which will introduce huge signaling </w:t>
            </w:r>
            <w:r w:rsidRPr="00A315B3">
              <w:rPr>
                <w:rFonts w:cstheme="minorHAnsi"/>
              </w:rPr>
              <w:lastRenderedPageBreak/>
              <w:t>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lastRenderedPageBreak/>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every 200 ms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837"/>
        <w:gridCol w:w="8018"/>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lastRenderedPageBreak/>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837"/>
        <w:gridCol w:w="8018"/>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ListParagraph"/>
        <w:numPr>
          <w:ilvl w:val="0"/>
          <w:numId w:val="25"/>
        </w:numPr>
        <w:ind w:firstLine="442"/>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9011C7">
      <w:pPr>
        <w:pStyle w:val="ListParagraph"/>
        <w:numPr>
          <w:ilvl w:val="1"/>
          <w:numId w:val="25"/>
        </w:numPr>
        <w:ind w:firstLine="44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ListParagraph"/>
        <w:numPr>
          <w:ilvl w:val="1"/>
          <w:numId w:val="25"/>
        </w:numPr>
        <w:ind w:firstLine="44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lastRenderedPageBreak/>
              <w:t>because</w:t>
            </w:r>
            <w:r>
              <w:rPr>
                <w:rFonts w:cstheme="minorHAnsi" w:hint="eastAsia"/>
              </w:rPr>
              <w:t xml:space="preserve"> </w:t>
            </w:r>
            <w:proofErr w:type="spellStart"/>
            <w:r>
              <w:rPr>
                <w:rFonts w:cstheme="minorHAnsi" w:hint="eastAsia"/>
              </w:rPr>
              <w:t>gNB</w:t>
            </w:r>
            <w:proofErr w:type="spellEnd"/>
            <w:r>
              <w:rPr>
                <w:rFonts w:cstheme="minorHAnsi" w:hint="eastAsia"/>
              </w:rPr>
              <w:t xml:space="preserve"> can maintain the timing change of feeder link. </w:t>
            </w:r>
          </w:p>
        </w:tc>
      </w:tr>
      <w:tr w:rsidR="00056FB4" w:rsidRPr="007603D8" w14:paraId="28CF603F" w14:textId="77777777" w:rsidTr="00E01D82">
        <w:tc>
          <w:tcPr>
            <w:tcW w:w="932" w:type="pct"/>
          </w:tcPr>
          <w:p w14:paraId="53536E0A"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42B159D0"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w:t>
            </w:r>
          </w:p>
        </w:tc>
      </w:tr>
      <w:tr w:rsidR="00056FB4" w:rsidRPr="007603D8" w14:paraId="00C65264" w14:textId="77777777" w:rsidTr="00605A66">
        <w:tc>
          <w:tcPr>
            <w:tcW w:w="932" w:type="pct"/>
          </w:tcPr>
          <w:p w14:paraId="61E203FE" w14:textId="77777777" w:rsidR="00056FB4" w:rsidRDefault="00056FB4" w:rsidP="00E93ACE">
            <w:pPr>
              <w:rPr>
                <w:rFonts w:cstheme="minorHAnsi" w:hint="eastAsia"/>
                <w:bCs/>
                <w:lang w:val="en-GB"/>
              </w:rPr>
            </w:pPr>
          </w:p>
        </w:tc>
        <w:tc>
          <w:tcPr>
            <w:tcW w:w="4068" w:type="pct"/>
          </w:tcPr>
          <w:p w14:paraId="36C00D2D" w14:textId="77777777" w:rsidR="00056FB4" w:rsidRDefault="00056FB4" w:rsidP="001207C2">
            <w:pPr>
              <w:rPr>
                <w:rFonts w:cstheme="minorHAnsi" w:hint="eastAsia"/>
              </w:rPr>
            </w:pP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837"/>
        <w:gridCol w:w="8018"/>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gNB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lastRenderedPageBreak/>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ListParagraph"/>
        <w:numPr>
          <w:ilvl w:val="0"/>
          <w:numId w:val="31"/>
        </w:numPr>
        <w:spacing w:line="254" w:lineRule="auto"/>
        <w:ind w:firstLine="442"/>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9011C7">
      <w:pPr>
        <w:pStyle w:val="ListParagraph"/>
        <w:numPr>
          <w:ilvl w:val="0"/>
          <w:numId w:val="31"/>
        </w:numPr>
        <w:spacing w:line="254" w:lineRule="auto"/>
        <w:ind w:firstLine="442"/>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eastAsia="ja-JP"/>
              </w:rPr>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nstead, we think UL post-</w:t>
            </w:r>
            <w:proofErr w:type="spellStart"/>
            <w:r>
              <w:rPr>
                <w:rFonts w:cstheme="minorHAnsi" w:hint="eastAsia"/>
              </w:rPr>
              <w:t>doppler</w:t>
            </w:r>
            <w:proofErr w:type="spellEnd"/>
            <w:r>
              <w:rPr>
                <w:rFonts w:cstheme="minorHAnsi" w:hint="eastAsia"/>
              </w:rPr>
              <w:t xml:space="preserve"> compensation should be indicated to UE, because UE can compensate partial Doppler shift or full Doppler shift depending on </w:t>
            </w:r>
            <w:proofErr w:type="spellStart"/>
            <w:r>
              <w:rPr>
                <w:rFonts w:cstheme="minorHAnsi" w:hint="eastAsia"/>
              </w:rPr>
              <w:t>gNB</w:t>
            </w:r>
            <w:proofErr w:type="spellEnd"/>
            <w:r>
              <w:rPr>
                <w:rFonts w:cstheme="minorHAnsi" w:hint="eastAsia"/>
              </w:rPr>
              <w:t xml:space="preserve">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E01D82">
        <w:tc>
          <w:tcPr>
            <w:tcW w:w="932" w:type="pct"/>
          </w:tcPr>
          <w:p w14:paraId="4B50C56B"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4B28577"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 the proposals.</w:t>
            </w:r>
          </w:p>
        </w:tc>
      </w:tr>
      <w:tr w:rsidR="00056FB4" w:rsidRPr="007603D8" w14:paraId="6322DBA2" w14:textId="77777777" w:rsidTr="00605A66">
        <w:tc>
          <w:tcPr>
            <w:tcW w:w="932" w:type="pct"/>
          </w:tcPr>
          <w:p w14:paraId="2D5EF839" w14:textId="77777777" w:rsidR="00056FB4" w:rsidRDefault="00056FB4" w:rsidP="009A70B9">
            <w:pPr>
              <w:rPr>
                <w:rFonts w:cstheme="minorHAnsi" w:hint="eastAsia"/>
                <w:bCs/>
                <w:lang w:val="en-GB"/>
              </w:rPr>
            </w:pPr>
          </w:p>
        </w:tc>
        <w:tc>
          <w:tcPr>
            <w:tcW w:w="4068" w:type="pct"/>
          </w:tcPr>
          <w:p w14:paraId="2F657AC0" w14:textId="77777777" w:rsidR="00056FB4" w:rsidRDefault="00056FB4" w:rsidP="001207C2">
            <w:pPr>
              <w:rPr>
                <w:rFonts w:cstheme="minorHAnsi"/>
              </w:rPr>
            </w:pP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TableGrid"/>
        <w:tblW w:w="5000" w:type="pct"/>
        <w:tblLook w:val="04A0" w:firstRow="1" w:lastRow="0" w:firstColumn="1" w:lastColumn="0" w:noHBand="0" w:noVBand="1"/>
      </w:tblPr>
      <w:tblGrid>
        <w:gridCol w:w="1837"/>
        <w:gridCol w:w="8018"/>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w:t>
            </w:r>
            <w:r w:rsidR="001F5F1D">
              <w:rPr>
                <w:rFonts w:cstheme="minorHAnsi"/>
                <w:lang w:val="en-GB" w:eastAsia="ja-JP"/>
              </w:rPr>
              <w:lastRenderedPageBreak/>
              <w:t xml:space="preserve">Eutelsat </w:t>
            </w:r>
          </w:p>
        </w:tc>
        <w:tc>
          <w:tcPr>
            <w:tcW w:w="4068" w:type="pct"/>
          </w:tcPr>
          <w:p w14:paraId="20426097" w14:textId="77777777" w:rsidR="002D70BC" w:rsidRPr="00A315B3" w:rsidRDefault="002D70BC" w:rsidP="007A7568">
            <w:pPr>
              <w:rPr>
                <w:rFonts w:cstheme="minorHAnsi"/>
              </w:rPr>
            </w:pPr>
            <w:r w:rsidRPr="00A315B3">
              <w:rPr>
                <w:rFonts w:cstheme="minorHAnsi"/>
              </w:rPr>
              <w:lastRenderedPageBreak/>
              <w:t xml:space="preserve">Observation 3: Autonomous acquisition of the Doppler shift due to satellite movement </w:t>
            </w:r>
            <w:r w:rsidRPr="00A315B3">
              <w:rPr>
                <w:rFonts w:cstheme="minorHAnsi"/>
              </w:rPr>
              <w:lastRenderedPageBreak/>
              <w:t xml:space="preserve">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lastRenderedPageBreak/>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lastRenderedPageBreak/>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E01D82">
        <w:tc>
          <w:tcPr>
            <w:tcW w:w="932" w:type="pct"/>
          </w:tcPr>
          <w:p w14:paraId="2A7D017A"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18AE77D2" w14:textId="77777777" w:rsidR="00056FB4" w:rsidRPr="00C26C28" w:rsidRDefault="00056FB4" w:rsidP="00E01D82">
            <w:pPr>
              <w:rPr>
                <w:rFonts w:cstheme="minorHAnsi"/>
                <w:color w:val="833C0B" w:themeColor="accent2" w:themeShade="80"/>
              </w:rPr>
            </w:pPr>
            <w:r>
              <w:rPr>
                <w:rFonts w:cstheme="minorHAnsi"/>
                <w:color w:val="833C0B" w:themeColor="accent2" w:themeShade="80"/>
              </w:rPr>
              <w:t xml:space="preserve">Agree with </w:t>
            </w:r>
            <w:proofErr w:type="spellStart"/>
            <w:r>
              <w:rPr>
                <w:rFonts w:cstheme="minorHAnsi"/>
                <w:color w:val="833C0B" w:themeColor="accent2" w:themeShade="80"/>
              </w:rPr>
              <w:t>MediaTek</w:t>
            </w:r>
            <w:proofErr w:type="spellEnd"/>
            <w:r>
              <w:rPr>
                <w:rFonts w:cstheme="minorHAnsi"/>
                <w:color w:val="833C0B" w:themeColor="accent2" w:themeShade="80"/>
              </w:rPr>
              <w:t>.</w:t>
            </w:r>
          </w:p>
        </w:tc>
      </w:tr>
      <w:tr w:rsidR="00056FB4" w:rsidRPr="00A315B3" w14:paraId="6B294D07" w14:textId="77777777" w:rsidTr="00605A66">
        <w:tc>
          <w:tcPr>
            <w:tcW w:w="932" w:type="pct"/>
          </w:tcPr>
          <w:p w14:paraId="285FDA2B" w14:textId="77777777" w:rsidR="00056FB4" w:rsidRDefault="00056FB4" w:rsidP="00522BBC">
            <w:pPr>
              <w:rPr>
                <w:rFonts w:cstheme="minorHAnsi" w:hint="eastAsia"/>
                <w:bCs/>
                <w:lang w:val="en-GB"/>
              </w:rPr>
            </w:pPr>
          </w:p>
        </w:tc>
        <w:tc>
          <w:tcPr>
            <w:tcW w:w="4068" w:type="pct"/>
          </w:tcPr>
          <w:p w14:paraId="00417B71" w14:textId="77777777" w:rsidR="00056FB4" w:rsidRDefault="00056FB4" w:rsidP="00522BBC">
            <w:pPr>
              <w:rPr>
                <w:rFonts w:cstheme="minorHAnsi" w:hint="eastAsia"/>
              </w:rPr>
            </w:pP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837"/>
        <w:gridCol w:w="8018"/>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lastRenderedPageBreak/>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837"/>
        <w:gridCol w:w="8018"/>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xml:space="preserve">, </w:t>
            </w:r>
            <w:proofErr w:type="spellStart"/>
            <w:r w:rsidRPr="007603D8">
              <w:rPr>
                <w:rFonts w:cstheme="minorHAnsi"/>
                <w:lang w:val="en-GB" w:eastAsia="ja-JP"/>
              </w:rPr>
              <w:t>Inc</w:t>
            </w:r>
            <w:proofErr w:type="spellEnd"/>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lastRenderedPageBreak/>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lastRenderedPageBreak/>
              <w:t>Samsung</w:t>
            </w:r>
          </w:p>
        </w:tc>
        <w:tc>
          <w:tcPr>
            <w:tcW w:w="4068" w:type="pct"/>
          </w:tcPr>
          <w:p w14:paraId="139048F8" w14:textId="77777777"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837"/>
        <w:gridCol w:w="8018"/>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 xml:space="preserve">For DL, the UE will need to be able to synchronize to the SSB to read PSS/SSS/PBCH and associated SIBs to </w:t>
            </w:r>
            <w:r w:rsidRPr="002A361F">
              <w:rPr>
                <w:rFonts w:cstheme="minorHAnsi"/>
              </w:rPr>
              <w:lastRenderedPageBreak/>
              <w:t>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E01D82">
        <w:tc>
          <w:tcPr>
            <w:tcW w:w="932" w:type="pct"/>
          </w:tcPr>
          <w:p w14:paraId="7E285589"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6C666034" w14:textId="77777777" w:rsidR="00056FB4" w:rsidRDefault="00056FB4" w:rsidP="00E01D82">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77777777" w:rsidR="00056FB4" w:rsidRDefault="00056FB4" w:rsidP="001A743D">
            <w:pPr>
              <w:rPr>
                <w:rFonts w:cstheme="minorHAnsi" w:hint="eastAsia"/>
                <w:bCs/>
                <w:lang w:val="en-GB"/>
              </w:rPr>
            </w:pPr>
          </w:p>
        </w:tc>
        <w:tc>
          <w:tcPr>
            <w:tcW w:w="4068" w:type="pct"/>
          </w:tcPr>
          <w:p w14:paraId="72A18FE6" w14:textId="77777777" w:rsidR="00056FB4" w:rsidRDefault="00056FB4" w:rsidP="001A743D">
            <w:pPr>
              <w:rPr>
                <w:rFonts w:cstheme="minorHAnsi" w:hint="eastAsia"/>
              </w:rPr>
            </w:pP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837"/>
        <w:gridCol w:w="8018"/>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lastRenderedPageBreak/>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lastRenderedPageBreak/>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BodyText"/>
                    <w:rPr>
                      <w:rFonts w:asciiTheme="minorHAnsi" w:hAnsiTheme="minorHAnsi" w:cstheme="minorHAnsi"/>
                      <w:lang w:val="fr-FR" w:eastAsia="zh-TW"/>
                    </w:rPr>
                  </w:pPr>
                  <w:r w:rsidRPr="00056FB4">
                    <w:rPr>
                      <w:rFonts w:asciiTheme="minorHAnsi" w:hAnsiTheme="minorHAnsi" w:cstheme="minorHAnsi"/>
                      <w:lang w:val="fr-FR" w:eastAsia="zh-TW"/>
                    </w:rPr>
                    <w:t xml:space="preserve">Satellite </w:t>
                  </w:r>
                  <w:proofErr w:type="spellStart"/>
                  <w:r w:rsidRPr="00056FB4">
                    <w:rPr>
                      <w:rFonts w:asciiTheme="minorHAnsi" w:hAnsiTheme="minorHAnsi" w:cstheme="minorHAnsi"/>
                      <w:lang w:val="fr-FR" w:eastAsia="zh-TW"/>
                    </w:rPr>
                    <w:t>Velocity</w:t>
                  </w:r>
                  <w:proofErr w:type="spellEnd"/>
                  <w:r w:rsidRPr="00056FB4">
                    <w:rPr>
                      <w:rFonts w:asciiTheme="minorHAnsi" w:hAnsiTheme="minorHAnsi" w:cstheme="minorHAnsi"/>
                      <w:lang w:val="fr-FR" w:eastAsia="zh-TW"/>
                    </w:rPr>
                    <w:t xml:space="preserve"> Vx, </w:t>
                  </w:r>
                  <w:proofErr w:type="spellStart"/>
                  <w:r w:rsidRPr="00056FB4">
                    <w:rPr>
                      <w:rFonts w:asciiTheme="minorHAnsi" w:hAnsiTheme="minorHAnsi" w:cstheme="minorHAnsi"/>
                      <w:lang w:val="fr-FR" w:eastAsia="zh-TW"/>
                    </w:rPr>
                    <w:t>Vy</w:t>
                  </w:r>
                  <w:proofErr w:type="spellEnd"/>
                  <w:r w:rsidRPr="00056FB4">
                    <w:rPr>
                      <w:rFonts w:asciiTheme="minorHAnsi" w:hAnsiTheme="minorHAnsi" w:cstheme="minorHAnsi"/>
                      <w:lang w:val="fr-FR" w:eastAsia="zh-TW"/>
                    </w:rPr>
                    <w:t xml:space="preserve">, </w:t>
                  </w:r>
                  <w:proofErr w:type="spellStart"/>
                  <w:r w:rsidRPr="00056FB4">
                    <w:rPr>
                      <w:rFonts w:asciiTheme="minorHAnsi" w:hAnsiTheme="minorHAnsi" w:cstheme="minorHAnsi"/>
                      <w:lang w:val="fr-FR" w:eastAsia="zh-TW"/>
                    </w:rPr>
                    <w:t>Vz</w:t>
                  </w:r>
                  <w:proofErr w:type="spellEnd"/>
                  <w:r w:rsidRPr="00056FB4">
                    <w:rPr>
                      <w:rFonts w:asciiTheme="minorHAnsi" w:hAnsiTheme="minorHAnsi" w:cstheme="minorHAnsi"/>
                      <w:lang w:val="fr-FR" w:eastAsia="zh-TW"/>
                    </w:rPr>
                    <w:t xml:space="preserve">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Reference Point Position </w:t>
                  </w:r>
                  <w:proofErr w:type="spellStart"/>
                  <w:r w:rsidRPr="00A315B3">
                    <w:rPr>
                      <w:rFonts w:asciiTheme="minorHAnsi" w:hAnsiTheme="minorHAnsi" w:cstheme="minorHAnsi"/>
                      <w:lang w:eastAsia="zh-TW"/>
                    </w:rPr>
                    <w:t>Px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837"/>
        <w:gridCol w:w="8018"/>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 xml:space="preserve">NTN UE should have the capability of </w:t>
            </w:r>
            <w:r w:rsidRPr="00BB0540">
              <w:rPr>
                <w:rFonts w:cstheme="minorHAnsi"/>
              </w:rPr>
              <w:lastRenderedPageBreak/>
              <w:t>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eastAsia="ja-JP"/>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E01D82">
        <w:tc>
          <w:tcPr>
            <w:tcW w:w="932" w:type="pct"/>
          </w:tcPr>
          <w:p w14:paraId="4A386BAF"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E01D82">
            <w:pPr>
              <w:rPr>
                <w:rFonts w:cstheme="minorHAnsi"/>
                <w:color w:val="833C0B" w:themeColor="accent2" w:themeShade="80"/>
              </w:rPr>
            </w:pPr>
            <w:r>
              <w:rPr>
                <w:rFonts w:cstheme="minorHAnsi"/>
                <w:color w:val="833C0B" w:themeColor="accent2" w:themeShade="80"/>
              </w:rPr>
              <w:t xml:space="preserve">Agree with </w:t>
            </w:r>
            <w:proofErr w:type="spellStart"/>
            <w:r>
              <w:rPr>
                <w:rFonts w:cstheme="minorHAnsi"/>
                <w:color w:val="833C0B" w:themeColor="accent2" w:themeShade="80"/>
              </w:rPr>
              <w:t>MediaTek</w:t>
            </w:r>
            <w:proofErr w:type="spellEnd"/>
            <w:r>
              <w:rPr>
                <w:rFonts w:cstheme="minorHAnsi"/>
                <w:color w:val="833C0B" w:themeColor="accent2" w:themeShade="80"/>
              </w:rPr>
              <w:t xml:space="preserve">. </w:t>
            </w:r>
          </w:p>
        </w:tc>
      </w:tr>
      <w:tr w:rsidR="00056FB4" w:rsidRPr="00646E28" w14:paraId="024C7530" w14:textId="77777777" w:rsidTr="00D74ECB">
        <w:tc>
          <w:tcPr>
            <w:tcW w:w="932" w:type="pct"/>
          </w:tcPr>
          <w:p w14:paraId="2A13D47E" w14:textId="77777777" w:rsidR="00056FB4" w:rsidRDefault="00056FB4" w:rsidP="00522BBC">
            <w:pPr>
              <w:rPr>
                <w:rFonts w:cstheme="minorHAnsi" w:hint="eastAsia"/>
                <w:bCs/>
                <w:lang w:val="en-GB"/>
              </w:rPr>
            </w:pPr>
            <w:bookmarkStart w:id="19" w:name="_GoBack"/>
            <w:bookmarkEnd w:id="19"/>
          </w:p>
        </w:tc>
        <w:tc>
          <w:tcPr>
            <w:tcW w:w="4068" w:type="pct"/>
          </w:tcPr>
          <w:p w14:paraId="55CBB0DA" w14:textId="77777777" w:rsidR="00056FB4" w:rsidRDefault="00056FB4" w:rsidP="00522BBC">
            <w:pPr>
              <w:rPr>
                <w:rFonts w:cstheme="minorHAnsi" w:hint="eastAsia"/>
              </w:rPr>
            </w:pP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9011C7">
      <w:pPr>
        <w:pStyle w:val="ListParagraph"/>
        <w:numPr>
          <w:ilvl w:val="0"/>
          <w:numId w:val="22"/>
        </w:numPr>
        <w:ind w:firstLine="440"/>
        <w:rPr>
          <w:lang w:eastAsia="zh-TW"/>
        </w:rPr>
      </w:pPr>
      <w:r w:rsidRPr="00A315B3">
        <w:rPr>
          <w:lang w:eastAsia="zh-TW"/>
        </w:rPr>
        <w:t>Apple, R1-2006520 On Timing Advance for NTN RAN1#102e, August 2020.</w:t>
      </w:r>
    </w:p>
    <w:p w14:paraId="74A67A7C" w14:textId="77777777" w:rsidR="0025169C" w:rsidRPr="00A315B3" w:rsidRDefault="0025169C" w:rsidP="009011C7">
      <w:pPr>
        <w:pStyle w:val="ListParagraph"/>
        <w:numPr>
          <w:ilvl w:val="0"/>
          <w:numId w:val="22"/>
        </w:numPr>
        <w:ind w:firstLine="440"/>
        <w:rPr>
          <w:lang w:eastAsia="zh-TW"/>
        </w:rPr>
      </w:pPr>
      <w:r w:rsidRPr="00A315B3">
        <w:rPr>
          <w:lang w:eastAsia="zh-TW"/>
        </w:rPr>
        <w:t>CAICT, R1-2006856 Considerations on Enhancements on UL Time Synchronization in NTN.</w:t>
      </w:r>
    </w:p>
    <w:p w14:paraId="31B5D917" w14:textId="77777777" w:rsidR="0025169C" w:rsidRPr="00A315B3" w:rsidRDefault="0025169C" w:rsidP="009011C7">
      <w:pPr>
        <w:pStyle w:val="ListParagraph"/>
        <w:numPr>
          <w:ilvl w:val="0"/>
          <w:numId w:val="22"/>
        </w:numPr>
        <w:ind w:firstLine="440"/>
        <w:rPr>
          <w:lang w:eastAsia="zh-TW"/>
        </w:rPr>
      </w:pPr>
      <w:r w:rsidRPr="00A315B3">
        <w:rPr>
          <w:lang w:eastAsia="zh-TW"/>
        </w:rPr>
        <w:t>CATT, R1-2005707 Discussion for UL time and frequency compensation.</w:t>
      </w:r>
    </w:p>
    <w:p w14:paraId="28560C84" w14:textId="77777777" w:rsidR="0025169C" w:rsidRPr="00A315B3" w:rsidRDefault="0025169C" w:rsidP="009011C7">
      <w:pPr>
        <w:pStyle w:val="ListParagraph"/>
        <w:numPr>
          <w:ilvl w:val="0"/>
          <w:numId w:val="22"/>
        </w:numPr>
        <w:ind w:firstLine="440"/>
        <w:rPr>
          <w:lang w:eastAsia="zh-TW"/>
        </w:rPr>
      </w:pPr>
      <w:r w:rsidRPr="00A315B3">
        <w:rPr>
          <w:lang w:eastAsia="zh-TW"/>
        </w:rPr>
        <w:t>CMCC, R1-2006211 Enhancements on uplink timing advance for NTN.</w:t>
      </w:r>
    </w:p>
    <w:p w14:paraId="082AF089" w14:textId="77777777" w:rsidR="0025169C" w:rsidRPr="00A315B3" w:rsidRDefault="00FF5C72" w:rsidP="009011C7">
      <w:pPr>
        <w:pStyle w:val="ListParagraph"/>
        <w:numPr>
          <w:ilvl w:val="0"/>
          <w:numId w:val="22"/>
        </w:numPr>
        <w:ind w:firstLine="44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9011C7">
      <w:pPr>
        <w:pStyle w:val="ListParagraph"/>
        <w:numPr>
          <w:ilvl w:val="0"/>
          <w:numId w:val="22"/>
        </w:numPr>
        <w:ind w:firstLine="44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9011C7">
      <w:pPr>
        <w:pStyle w:val="ListParagraph"/>
        <w:numPr>
          <w:ilvl w:val="0"/>
          <w:numId w:val="22"/>
        </w:numPr>
        <w:ind w:firstLine="44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9011C7">
      <w:pPr>
        <w:pStyle w:val="ListParagraph"/>
        <w:numPr>
          <w:ilvl w:val="0"/>
          <w:numId w:val="22"/>
        </w:numPr>
        <w:ind w:firstLine="44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9011C7">
      <w:pPr>
        <w:pStyle w:val="ListParagraph"/>
        <w:numPr>
          <w:ilvl w:val="0"/>
          <w:numId w:val="22"/>
        </w:numPr>
        <w:ind w:firstLine="44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9011C7">
      <w:pPr>
        <w:pStyle w:val="ListParagraph"/>
        <w:numPr>
          <w:ilvl w:val="0"/>
          <w:numId w:val="22"/>
        </w:numPr>
        <w:ind w:firstLine="44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9011C7">
      <w:pPr>
        <w:pStyle w:val="ListParagraph"/>
        <w:numPr>
          <w:ilvl w:val="0"/>
          <w:numId w:val="22"/>
        </w:numPr>
        <w:ind w:firstLine="44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9011C7">
      <w:pPr>
        <w:pStyle w:val="ListParagraph"/>
        <w:numPr>
          <w:ilvl w:val="0"/>
          <w:numId w:val="22"/>
        </w:numPr>
        <w:ind w:firstLine="440"/>
        <w:rPr>
          <w:lang w:eastAsia="zh-TW"/>
        </w:rPr>
      </w:pPr>
      <w:r w:rsidRPr="00A315B3">
        <w:rPr>
          <w:lang w:eastAsia="zh-TW"/>
        </w:rPr>
        <w:lastRenderedPageBreak/>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9011C7">
      <w:pPr>
        <w:pStyle w:val="ListParagraph"/>
        <w:numPr>
          <w:ilvl w:val="0"/>
          <w:numId w:val="22"/>
        </w:numPr>
        <w:ind w:firstLine="440"/>
        <w:rPr>
          <w:lang w:eastAsia="zh-TW"/>
        </w:rPr>
      </w:pPr>
      <w:proofErr w:type="spellStart"/>
      <w:r w:rsidRPr="00A315B3">
        <w:rPr>
          <w:lang w:eastAsia="zh-TW"/>
        </w:rPr>
        <w:t>InterDigital</w:t>
      </w:r>
      <w:proofErr w:type="spellEnd"/>
      <w:r w:rsidRPr="00A315B3">
        <w:rPr>
          <w:lang w:eastAsia="zh-TW"/>
        </w:rPr>
        <w:t>, R1-2006619 On UL time/frequency synchronization for NTN.</w:t>
      </w:r>
    </w:p>
    <w:p w14:paraId="439ECB0A" w14:textId="77777777" w:rsidR="0025169C" w:rsidRPr="0025169C" w:rsidRDefault="00341FC8" w:rsidP="009011C7">
      <w:pPr>
        <w:pStyle w:val="ListParagraph"/>
        <w:numPr>
          <w:ilvl w:val="0"/>
          <w:numId w:val="22"/>
        </w:numPr>
        <w:ind w:firstLine="44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9011C7">
      <w:pPr>
        <w:pStyle w:val="ListParagraph"/>
        <w:numPr>
          <w:ilvl w:val="0"/>
          <w:numId w:val="22"/>
        </w:numPr>
        <w:ind w:firstLine="44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9011C7">
      <w:pPr>
        <w:pStyle w:val="ListParagraph"/>
        <w:numPr>
          <w:ilvl w:val="0"/>
          <w:numId w:val="22"/>
        </w:numPr>
        <w:ind w:firstLine="44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9011C7">
      <w:pPr>
        <w:pStyle w:val="ListParagraph"/>
        <w:numPr>
          <w:ilvl w:val="0"/>
          <w:numId w:val="22"/>
        </w:numPr>
        <w:ind w:firstLine="440"/>
        <w:rPr>
          <w:lang w:eastAsia="zh-TW"/>
        </w:rPr>
      </w:pPr>
      <w:r w:rsidRPr="00A315B3">
        <w:rPr>
          <w:lang w:eastAsia="zh-TW"/>
        </w:rPr>
        <w:t>Nokia, R1-2006422 Discussion on UL time and frequency synchronization for NTN.</w:t>
      </w:r>
    </w:p>
    <w:p w14:paraId="3EF6226D" w14:textId="77777777" w:rsidR="0025169C" w:rsidRPr="00A315B3" w:rsidRDefault="0025169C" w:rsidP="009011C7">
      <w:pPr>
        <w:pStyle w:val="ListParagraph"/>
        <w:numPr>
          <w:ilvl w:val="0"/>
          <w:numId w:val="22"/>
        </w:numPr>
        <w:ind w:firstLine="44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9011C7">
      <w:pPr>
        <w:pStyle w:val="ListParagraph"/>
        <w:numPr>
          <w:ilvl w:val="0"/>
          <w:numId w:val="22"/>
        </w:numPr>
        <w:ind w:firstLine="44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9011C7">
      <w:pPr>
        <w:pStyle w:val="ListParagraph"/>
        <w:numPr>
          <w:ilvl w:val="0"/>
          <w:numId w:val="22"/>
        </w:numPr>
        <w:ind w:firstLine="44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9011C7">
      <w:pPr>
        <w:pStyle w:val="ListParagraph"/>
        <w:numPr>
          <w:ilvl w:val="0"/>
          <w:numId w:val="22"/>
        </w:numPr>
        <w:ind w:firstLine="44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9011C7">
      <w:pPr>
        <w:pStyle w:val="ListParagraph"/>
        <w:numPr>
          <w:ilvl w:val="0"/>
          <w:numId w:val="22"/>
        </w:numPr>
        <w:ind w:firstLine="44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9011C7">
      <w:pPr>
        <w:pStyle w:val="ListParagraph"/>
        <w:numPr>
          <w:ilvl w:val="0"/>
          <w:numId w:val="22"/>
        </w:numPr>
        <w:ind w:firstLine="44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9011C7">
      <w:pPr>
        <w:pStyle w:val="ListParagraph"/>
        <w:numPr>
          <w:ilvl w:val="0"/>
          <w:numId w:val="22"/>
        </w:numPr>
        <w:ind w:firstLine="44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B1094" w14:textId="77777777" w:rsidR="001A4F18" w:rsidRDefault="001A4F18">
      <w:r>
        <w:separator/>
      </w:r>
    </w:p>
  </w:endnote>
  <w:endnote w:type="continuationSeparator" w:id="0">
    <w:p w14:paraId="35EECDD6" w14:textId="77777777" w:rsidR="001A4F18" w:rsidRDefault="001A4F18">
      <w:r>
        <w:continuationSeparator/>
      </w:r>
    </w:p>
  </w:endnote>
  <w:endnote w:type="continuationNotice" w:id="1">
    <w:p w14:paraId="3C5CCEC1" w14:textId="77777777" w:rsidR="001A4F18" w:rsidRDefault="001A4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848D" w14:textId="77777777" w:rsidR="001207C2" w:rsidRDefault="001207C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56FB4">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6FB4">
      <w:rPr>
        <w:rStyle w:val="PageNumber"/>
        <w:noProof/>
      </w:rPr>
      <w:t>41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8DCC8" w14:textId="77777777" w:rsidR="001A4F18" w:rsidRDefault="001A4F18">
      <w:r>
        <w:separator/>
      </w:r>
    </w:p>
  </w:footnote>
  <w:footnote w:type="continuationSeparator" w:id="0">
    <w:p w14:paraId="00D99C56" w14:textId="77777777" w:rsidR="001A4F18" w:rsidRDefault="001A4F18">
      <w:r>
        <w:continuationSeparator/>
      </w:r>
    </w:p>
  </w:footnote>
  <w:footnote w:type="continuationNotice" w:id="1">
    <w:p w14:paraId="78408D2F" w14:textId="77777777" w:rsidR="001A4F18" w:rsidRDefault="001A4F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B5EE" w14:textId="77777777" w:rsidR="001207C2" w:rsidRDefault="001207C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7"/>
  </w:num>
  <w:num w:numId="3">
    <w:abstractNumId w:val="0"/>
  </w:num>
  <w:num w:numId="4">
    <w:abstractNumId w:val="23"/>
  </w:num>
  <w:num w:numId="5">
    <w:abstractNumId w:val="24"/>
  </w:num>
  <w:num w:numId="6">
    <w:abstractNumId w:val="27"/>
  </w:num>
  <w:num w:numId="7">
    <w:abstractNumId w:val="7"/>
  </w:num>
  <w:num w:numId="8">
    <w:abstractNumId w:val="11"/>
  </w:num>
  <w:num w:numId="9">
    <w:abstractNumId w:val="4"/>
  </w:num>
  <w:num w:numId="10">
    <w:abstractNumId w:val="33"/>
  </w:num>
  <w:num w:numId="11">
    <w:abstractNumId w:val="15"/>
  </w:num>
  <w:num w:numId="12">
    <w:abstractNumId w:val="31"/>
  </w:num>
  <w:num w:numId="13">
    <w:abstractNumId w:val="12"/>
  </w:num>
  <w:num w:numId="14">
    <w:abstractNumId w:val="19"/>
  </w:num>
  <w:num w:numId="15">
    <w:abstractNumId w:val="29"/>
  </w:num>
  <w:num w:numId="16">
    <w:abstractNumId w:val="9"/>
  </w:num>
  <w:num w:numId="17">
    <w:abstractNumId w:val="18"/>
  </w:num>
  <w:num w:numId="18">
    <w:abstractNumId w:val="10"/>
  </w:num>
  <w:num w:numId="19">
    <w:abstractNumId w:val="30"/>
  </w:num>
  <w:num w:numId="20">
    <w:abstractNumId w:val="1"/>
  </w:num>
  <w:num w:numId="21">
    <w:abstractNumId w:val="35"/>
  </w:num>
  <w:num w:numId="22">
    <w:abstractNumId w:val="34"/>
  </w:num>
  <w:num w:numId="23">
    <w:abstractNumId w:val="26"/>
  </w:num>
  <w:num w:numId="24">
    <w:abstractNumId w:val="22"/>
  </w:num>
  <w:num w:numId="25">
    <w:abstractNumId w:val="21"/>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2"/>
  </w:num>
  <w:num w:numId="30">
    <w:abstractNumId w:val="17"/>
  </w:num>
  <w:num w:numId="31">
    <w:abstractNumId w:val="21"/>
  </w:num>
  <w:num w:numId="32">
    <w:abstractNumId w:val="3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5"/>
  </w:num>
  <w:num w:numId="40">
    <w:abstractNumId w:val="36"/>
  </w:num>
  <w:num w:numId="41">
    <w:abstractNumId w:val="3"/>
  </w:num>
  <w:num w:numId="42">
    <w:abstractNumId w:val="28"/>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1C7"/>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011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11C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1C7"/>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011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11C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85C7261E-7FD9-4F67-A2C7-14DD385DEC71}">
  <ds:schemaRefs>
    <ds:schemaRef ds:uri="http://purl.org/dc/terms/"/>
    <ds:schemaRef ds:uri="3b34c8f0-1ef5-4d1e-bb66-517ce7fe7356"/>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1c5aaf6-e6ce-465b-b873-5148d2a4c105"/>
    <ds:schemaRef ds:uri="http://www.w3.org/XML/1998/namespace"/>
    <ds:schemaRef ds:uri="http://schemas.microsoft.com/sharepoint/v4"/>
    <ds:schemaRef ds:uri="69e103fa-6a94-4466-8403-1c3b9c4992c1"/>
    <ds:schemaRef ds:uri="http://schemas.microsoft.com/office/2006/metadata/properties"/>
  </ds:schemaRefs>
</ds:datastoreItem>
</file>

<file path=customXml/itemProps4.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5.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6.xml><?xml version="1.0" encoding="utf-8"?>
<ds:datastoreItem xmlns:ds="http://schemas.openxmlformats.org/officeDocument/2006/customXml" ds:itemID="{4319E835-93C1-454A-8109-28BCDB6E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12810</Words>
  <Characters>69076</Characters>
  <Application>Microsoft Office Word</Application>
  <DocSecurity>0</DocSecurity>
  <Lines>575</Lines>
  <Paragraphs>163</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81723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2020-08-19T19:50:00Z</dcterms:created>
  <dcterms:modified xsi:type="dcterms:W3CDTF">2020-08-19T20:02:00Z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