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uawei,  HiSilicon</w:t>
            </w:r>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 xml:space="preserve">AI 8.3.3 is about </w:t>
            </w:r>
            <w:proofErr w:type="gramStart"/>
            <w:r>
              <w:rPr>
                <w:iCs/>
                <w:kern w:val="2"/>
                <w:sz w:val="22"/>
                <w:szCs w:val="22"/>
                <w:lang w:eastAsia="zh-CN"/>
              </w:rPr>
              <w:t>multiplexing</w:t>
            </w:r>
            <w:proofErr w:type="gramEnd"/>
            <w:r>
              <w:rPr>
                <w:iCs/>
                <w:kern w:val="2"/>
                <w:sz w:val="22"/>
                <w:szCs w:val="22"/>
                <w:lang w:eastAsia="zh-CN"/>
              </w:rPr>
              <w:t xml:space="preserve">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lastRenderedPageBreak/>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InterDigital</w:t>
            </w:r>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2F978E7"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lastRenderedPageBreak/>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lastRenderedPageBreak/>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lastRenderedPageBreak/>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071C2F0E"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606907FD"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beneficial from URLLC perspective and can be further 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77777777"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SCell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lastRenderedPageBreak/>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77777777"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1</w:t>
            </w: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lastRenderedPageBreak/>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lastRenderedPageBreak/>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w:t>
      </w:r>
      <w:r w:rsidR="001712BA">
        <w:rPr>
          <w:b/>
          <w:bCs/>
          <w:sz w:val="22"/>
          <w:szCs w:val="22"/>
          <w:highlight w:val="yellow"/>
          <w:lang w:val="en-US" w:eastAsia="zh-CN"/>
        </w:rPr>
        <w:t>3</w:t>
      </w:r>
      <w:r w:rsidRPr="00566BAF">
        <w:rPr>
          <w:b/>
          <w:bCs/>
          <w:sz w:val="22"/>
          <w:szCs w:val="22"/>
          <w:highlight w:val="yellow"/>
          <w:lang w:val="en-US" w:eastAsia="zh-CN"/>
        </w:rPr>
        <w:t>.</w:t>
      </w:r>
      <w:r w:rsidR="001712BA">
        <w:rPr>
          <w:b/>
          <w:bCs/>
          <w:sz w:val="22"/>
          <w:szCs w:val="22"/>
          <w:highlight w:val="yellow"/>
          <w:lang w:val="en-US" w:eastAsia="zh-CN"/>
        </w:rPr>
        <w:t>5</w:t>
      </w:r>
      <w:r w:rsidRPr="00566BAF">
        <w:rPr>
          <w:b/>
          <w:bCs/>
          <w:sz w:val="22"/>
          <w:szCs w:val="22"/>
          <w:highlight w:val="yellow"/>
          <w:lang w:val="en-US" w:eastAsia="zh-CN"/>
        </w:rPr>
        <w:t>A:</w:t>
      </w:r>
      <w:r w:rsidRPr="00566BAF">
        <w:rPr>
          <w:sz w:val="22"/>
          <w:szCs w:val="22"/>
          <w:lang w:val="en-US" w:eastAsia="zh-CN"/>
        </w:rPr>
        <w:t xml:space="preserve"> </w:t>
      </w:r>
      <w:r w:rsidRPr="00566BAF">
        <w:rPr>
          <w:b/>
          <w:bCs/>
          <w:sz w:val="22"/>
          <w:szCs w:val="22"/>
          <w:lang w:val="en-US" w:eastAsia="zh-CN"/>
        </w:rPr>
        <w:t xml:space="preserve">Do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lastRenderedPageBreak/>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we have multiple SPS configurations, “multiple” in the spec mentioned by FL should refer to multiple configurations instead of 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lastRenderedPageBreak/>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all of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4DF4443"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w:t>
      </w:r>
      <w:r w:rsidR="001712BA">
        <w:rPr>
          <w:b/>
          <w:bCs/>
          <w:sz w:val="22"/>
          <w:szCs w:val="22"/>
          <w:highlight w:val="yellow"/>
          <w:lang w:val="en-US" w:eastAsia="zh-CN"/>
        </w:rPr>
        <w:t>3</w:t>
      </w:r>
      <w:r w:rsidRPr="00566BAF">
        <w:rPr>
          <w:b/>
          <w:bCs/>
          <w:sz w:val="22"/>
          <w:szCs w:val="22"/>
          <w:highlight w:val="yellow"/>
          <w:lang w:val="en-US" w:eastAsia="zh-CN"/>
        </w:rPr>
        <w:t>.</w:t>
      </w:r>
      <w:r w:rsidR="001712BA">
        <w:rPr>
          <w:b/>
          <w:bCs/>
          <w:sz w:val="22"/>
          <w:szCs w:val="22"/>
          <w:highlight w:val="yellow"/>
          <w:lang w:val="en-US" w:eastAsia="zh-CN"/>
        </w:rPr>
        <w:t>5B</w:t>
      </w:r>
      <w:r w:rsidRPr="00566BAF">
        <w:rPr>
          <w:b/>
          <w:bCs/>
          <w:sz w:val="22"/>
          <w:szCs w:val="22"/>
          <w:highlight w:val="yellow"/>
          <w:lang w:val="en-US" w:eastAsia="zh-CN"/>
        </w:rPr>
        <w:t>:</w:t>
      </w:r>
      <w:r w:rsidRPr="00566BAF">
        <w:rPr>
          <w:sz w:val="22"/>
          <w:szCs w:val="22"/>
          <w:lang w:val="en-US" w:eastAsia="zh-CN"/>
        </w:rPr>
        <w:t xml:space="preserve"> </w:t>
      </w:r>
      <w:r w:rsidRPr="00566BAF">
        <w:rPr>
          <w:b/>
          <w:bCs/>
          <w:sz w:val="22"/>
          <w:szCs w:val="22"/>
          <w:lang w:val="en-US" w:eastAsia="zh-CN"/>
        </w:rPr>
        <w:t>Do you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lastRenderedPageBreak/>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proofErr w:type="gramStart"/>
            <w:r>
              <w:rPr>
                <w:rFonts w:hint="eastAsia"/>
                <w:sz w:val="22"/>
                <w:lang w:val="fr-FR" w:eastAsia="zh-CN"/>
              </w:rPr>
              <w:t>y</w:t>
            </w:r>
            <w:r>
              <w:rPr>
                <w:sz w:val="22"/>
                <w:lang w:val="fr-FR" w:eastAsia="zh-CN"/>
              </w:rPr>
              <w:t>es</w:t>
            </w:r>
            <w:proofErr w:type="gramEnd"/>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lastRenderedPageBreak/>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Malgun Gothic"/>
                <w:iCs/>
                <w:kern w:val="2"/>
                <w:sz w:val="22"/>
                <w:szCs w:val="22"/>
                <w:lang w:eastAsia="ko-KR"/>
              </w:rPr>
              <w:t>gNB</w:t>
            </w:r>
            <w:proofErr w:type="spellEnd"/>
            <w:r>
              <w:rPr>
                <w:rFonts w:eastAsia="Malgun Gothic"/>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w:t>
            </w:r>
            <w:proofErr w:type="gramStart"/>
            <w:r>
              <w:rPr>
                <w:iCs/>
                <w:kern w:val="2"/>
                <w:sz w:val="22"/>
                <w:szCs w:val="22"/>
                <w:lang w:eastAsia="zh-CN"/>
              </w:rPr>
              <w:t>mis-detection</w:t>
            </w:r>
            <w:proofErr w:type="gramEnd"/>
            <w:r>
              <w:rPr>
                <w:iCs/>
                <w:kern w:val="2"/>
                <w:sz w:val="22"/>
                <w:szCs w:val="22"/>
                <w:lang w:eastAsia="zh-CN"/>
              </w:rPr>
              <w:t xml:space="preserve">,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lastRenderedPageBreak/>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w:t>
            </w:r>
            <w:r>
              <w:rPr>
                <w:iCs/>
                <w:kern w:val="2"/>
                <w:lang w:eastAsia="zh-CN"/>
              </w:rPr>
              <w:lastRenderedPageBreak/>
              <w:t xml:space="preserve">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lastRenderedPageBreak/>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lastRenderedPageBreak/>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lastRenderedPageBreak/>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w:t>
            </w:r>
            <w:r>
              <w:rPr>
                <w:iCs/>
                <w:kern w:val="2"/>
                <w:lang w:eastAsia="zh-CN"/>
              </w:rPr>
              <w:lastRenderedPageBreak/>
              <w:t xml:space="preserve">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lastRenderedPageBreak/>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msec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lastRenderedPageBreak/>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lastRenderedPageBreak/>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lastRenderedPageBreak/>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 xml:space="preserve">For FR2, support PF0/2 repetitions - this may or may not be addressed in the coverage </w:t>
            </w:r>
            <w:r>
              <w:rPr>
                <w:kern w:val="2"/>
                <w:lang w:eastAsia="zh-CN"/>
              </w:rPr>
              <w:lastRenderedPageBreak/>
              <w:t>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lastRenderedPageBreak/>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w:t>
            </w:r>
            <w:r>
              <w:rPr>
                <w:kern w:val="2"/>
                <w:lang w:eastAsia="zh-CN"/>
              </w:rPr>
              <w:lastRenderedPageBreak/>
              <w:t xml:space="preserve">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lastRenderedPageBreak/>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lastRenderedPageBreak/>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w:t>
            </w:r>
            <w:r>
              <w:rPr>
                <w:kern w:val="2"/>
                <w:lang w:eastAsia="zh-CN"/>
              </w:rPr>
              <w:lastRenderedPageBreak/>
              <w:t xml:space="preserve">(hence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2"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2"/>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lastRenderedPageBreak/>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lastRenderedPageBreak/>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w:t>
            </w:r>
            <w:r>
              <w:rPr>
                <w:iCs/>
                <w:kern w:val="2"/>
                <w:lang w:eastAsia="zh-CN"/>
              </w:rPr>
              <w:lastRenderedPageBreak/>
              <w:t xml:space="preserve">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lastRenderedPageBreak/>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w:t>
            </w:r>
            <w:r>
              <w:rPr>
                <w:kern w:val="2"/>
                <w:lang w:eastAsia="zh-CN"/>
              </w:rPr>
              <w:lastRenderedPageBreak/>
              <w:t xml:space="preserve">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lastRenderedPageBreak/>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lastRenderedPageBreak/>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lastRenderedPageBreak/>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w:t>
      </w:r>
      <w:r w:rsidRPr="00304C4D">
        <w:rPr>
          <w:sz w:val="22"/>
          <w:lang w:val="en-US" w:eastAsia="zh-CN"/>
        </w:rPr>
        <w:lastRenderedPageBreak/>
        <w:t xml:space="preserve">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lastRenderedPageBreak/>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lastRenderedPageBreak/>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 xml:space="preserve">onsidering limited TU, we are OK not to prioritize this issue in Rel.17. This issue may not be the scope of “UE feedback enhancement”. To handle it in A.I. 8.3.2 is one </w:t>
            </w:r>
            <w:r>
              <w:rPr>
                <w:rFonts w:eastAsia="MS Mincho"/>
                <w:kern w:val="2"/>
                <w:lang w:eastAsia="ja-JP"/>
              </w:rPr>
              <w:lastRenderedPageBreak/>
              <w:t>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lastRenderedPageBreak/>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 xml:space="preserve">Low. This has the potential to increase the HARQ-ACK overhead. Instead of having </w:t>
            </w:r>
            <w:r>
              <w:rPr>
                <w:kern w:val="2"/>
                <w:lang w:eastAsia="zh-CN"/>
              </w:rPr>
              <w:lastRenderedPageBreak/>
              <w:t>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lastRenderedPageBreak/>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1425E3" w:rsidP="001B4F9F">
      <w:pPr>
        <w:pStyle w:val="TableofFigures"/>
        <w:tabs>
          <w:tab w:val="right" w:leader="dot" w:pos="9629"/>
        </w:tabs>
        <w:rPr>
          <w:rFonts w:asciiTheme="minorHAnsi" w:hAnsiTheme="minorHAnsi"/>
          <w:b w:val="0"/>
          <w:noProof/>
          <w:lang w:eastAsia="en-US"/>
        </w:rPr>
      </w:pPr>
      <w:hyperlink r:id="rId17"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1425E3" w:rsidP="001B4F9F">
      <w:pPr>
        <w:pStyle w:val="TableofFigures"/>
        <w:tabs>
          <w:tab w:val="right" w:leader="dot" w:pos="9629"/>
        </w:tabs>
        <w:rPr>
          <w:rFonts w:asciiTheme="minorHAnsi" w:hAnsiTheme="minorHAnsi"/>
          <w:b w:val="0"/>
          <w:noProof/>
          <w:lang w:eastAsia="en-US"/>
        </w:rPr>
      </w:pPr>
      <w:hyperlink r:id="rId18"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1425E3" w:rsidP="001B4F9F">
      <w:pPr>
        <w:pStyle w:val="TableofFigures"/>
        <w:tabs>
          <w:tab w:val="right" w:leader="dot" w:pos="9629"/>
        </w:tabs>
        <w:rPr>
          <w:rFonts w:asciiTheme="minorHAnsi" w:hAnsiTheme="minorHAnsi"/>
          <w:b w:val="0"/>
          <w:noProof/>
          <w:lang w:eastAsia="en-US"/>
        </w:rPr>
      </w:pPr>
      <w:hyperlink r:id="rId19"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1425E3" w:rsidP="001B4F9F">
      <w:pPr>
        <w:pStyle w:val="TableofFigures"/>
        <w:tabs>
          <w:tab w:val="right" w:leader="dot" w:pos="9629"/>
        </w:tabs>
        <w:rPr>
          <w:rFonts w:asciiTheme="minorHAnsi" w:hAnsiTheme="minorHAnsi"/>
          <w:b w:val="0"/>
          <w:noProof/>
          <w:lang w:eastAsia="en-US"/>
        </w:rPr>
      </w:pPr>
      <w:hyperlink r:id="rId21"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1425E3" w:rsidP="001B4F9F">
      <w:pPr>
        <w:pStyle w:val="TableofFigures"/>
        <w:tabs>
          <w:tab w:val="right" w:leader="dot" w:pos="9629"/>
        </w:tabs>
        <w:rPr>
          <w:rFonts w:asciiTheme="minorHAnsi" w:hAnsiTheme="minorHAnsi"/>
          <w:b w:val="0"/>
          <w:noProof/>
          <w:lang w:eastAsia="en-US"/>
        </w:rPr>
      </w:pPr>
      <w:hyperlink r:id="rId22"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1425E3" w:rsidP="001B4F9F">
      <w:pPr>
        <w:pStyle w:val="TableofFigures"/>
        <w:tabs>
          <w:tab w:val="right" w:leader="dot" w:pos="9629"/>
        </w:tabs>
        <w:rPr>
          <w:rFonts w:asciiTheme="minorHAnsi" w:hAnsiTheme="minorHAnsi"/>
          <w:b w:val="0"/>
          <w:noProof/>
          <w:lang w:eastAsia="en-US"/>
        </w:rPr>
      </w:pPr>
      <w:hyperlink r:id="rId23"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1425E3" w:rsidP="001B4F9F">
      <w:pPr>
        <w:pStyle w:val="TableofFigures"/>
        <w:tabs>
          <w:tab w:val="right" w:leader="dot" w:pos="9629"/>
        </w:tabs>
        <w:rPr>
          <w:rFonts w:asciiTheme="minorHAnsi" w:hAnsiTheme="minorHAnsi"/>
          <w:b w:val="0"/>
          <w:noProof/>
          <w:lang w:eastAsia="en-US"/>
        </w:rPr>
      </w:pPr>
      <w:hyperlink r:id="rId24"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1425E3" w:rsidP="001B4F9F">
      <w:pPr>
        <w:pStyle w:val="TableofFigures"/>
        <w:tabs>
          <w:tab w:val="right" w:leader="dot" w:pos="9629"/>
        </w:tabs>
        <w:rPr>
          <w:rFonts w:asciiTheme="minorHAnsi" w:hAnsiTheme="minorHAnsi"/>
          <w:b w:val="0"/>
          <w:noProof/>
          <w:lang w:eastAsia="en-US"/>
        </w:rPr>
      </w:pPr>
      <w:hyperlink r:id="rId25"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4" w:name="_Toc4685930"/>
      <w:bookmarkEnd w:id="13"/>
      <w:r>
        <w:rPr>
          <w:lang w:eastAsia="zh-TW"/>
        </w:rPr>
        <w:t>Observation 2</w:t>
      </w:r>
      <w:r>
        <w:rPr>
          <w:lang w:eastAsia="zh-TW"/>
        </w:rPr>
        <w:tab/>
      </w:r>
      <w:bookmarkStart w:id="15" w:name="_Hlk32550844"/>
      <w:bookmarkEnd w:id="14"/>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F6AA" w14:textId="77777777" w:rsidR="001425E3" w:rsidRDefault="001425E3">
      <w:r>
        <w:separator/>
      </w:r>
    </w:p>
  </w:endnote>
  <w:endnote w:type="continuationSeparator" w:id="0">
    <w:p w14:paraId="2503B83A" w14:textId="77777777" w:rsidR="001425E3" w:rsidRDefault="001425E3">
      <w:r>
        <w:continuationSeparator/>
      </w:r>
    </w:p>
  </w:endnote>
  <w:endnote w:type="continuationNotice" w:id="1">
    <w:p w14:paraId="3873B6A6" w14:textId="77777777" w:rsidR="001425E3" w:rsidRDefault="001425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A596660" w:rsidR="00646F0E" w:rsidRDefault="00646F0E">
        <w:pPr>
          <w:pStyle w:val="Footer"/>
        </w:pPr>
        <w:r>
          <w:fldChar w:fldCharType="begin"/>
        </w:r>
        <w:r>
          <w:instrText>PAGE   \* MERGEFORMAT</w:instrText>
        </w:r>
        <w:r>
          <w:fldChar w:fldCharType="separate"/>
        </w:r>
        <w:r w:rsidRPr="004A5691">
          <w:rPr>
            <w:lang w:val="zh-CN" w:eastAsia="zh-CN"/>
          </w:rPr>
          <w:t>33</w:t>
        </w:r>
        <w:r>
          <w:fldChar w:fldCharType="end"/>
        </w:r>
      </w:p>
    </w:sdtContent>
  </w:sdt>
  <w:p w14:paraId="00A820FC" w14:textId="77777777" w:rsidR="00646F0E" w:rsidRDefault="00646F0E">
    <w:pPr>
      <w:pStyle w:val="Footer"/>
    </w:pPr>
  </w:p>
  <w:p w14:paraId="4A48D3F3" w14:textId="77777777" w:rsidR="00646F0E" w:rsidRDefault="00646F0E"/>
  <w:p w14:paraId="46E31D82" w14:textId="77777777" w:rsidR="00646F0E" w:rsidRDefault="00646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5F7F" w14:textId="77777777" w:rsidR="001425E3" w:rsidRDefault="001425E3">
      <w:r>
        <w:separator/>
      </w:r>
    </w:p>
  </w:footnote>
  <w:footnote w:type="continuationSeparator" w:id="0">
    <w:p w14:paraId="617BCC32" w14:textId="77777777" w:rsidR="001425E3" w:rsidRDefault="001425E3">
      <w:r>
        <w:continuationSeparator/>
      </w:r>
    </w:p>
  </w:footnote>
  <w:footnote w:type="continuationNotice" w:id="1">
    <w:p w14:paraId="1CEAFE09" w14:textId="77777777" w:rsidR="001425E3" w:rsidRDefault="001425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646F0E" w:rsidRDefault="00646F0E">
    <w:pPr>
      <w:pStyle w:val="Header"/>
      <w:tabs>
        <w:tab w:val="right" w:pos="9639"/>
      </w:tabs>
    </w:pPr>
    <w:r>
      <w:tab/>
    </w:r>
  </w:p>
  <w:p w14:paraId="246D48EC" w14:textId="77777777" w:rsidR="00646F0E" w:rsidRDefault="00646F0E"/>
  <w:p w14:paraId="4F6F578E" w14:textId="77777777" w:rsidR="00646F0E" w:rsidRDefault="00646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8"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9"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4"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57"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1"/>
  </w:num>
  <w:num w:numId="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
  </w:num>
  <w:num w:numId="5">
    <w:abstractNumId w:val="45"/>
  </w:num>
  <w:num w:numId="6">
    <w:abstractNumId w:val="55"/>
  </w:num>
  <w:num w:numId="7">
    <w:abstractNumId w:val="18"/>
  </w:num>
  <w:num w:numId="8">
    <w:abstractNumId w:val="50"/>
  </w:num>
  <w:num w:numId="9">
    <w:abstractNumId w:val="11"/>
  </w:num>
  <w:num w:numId="10">
    <w:abstractNumId w:val="21"/>
  </w:num>
  <w:num w:numId="11">
    <w:abstractNumId w:val="52"/>
  </w:num>
  <w:num w:numId="12">
    <w:abstractNumId w:val="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7"/>
  </w:num>
  <w:num w:numId="16">
    <w:abstractNumId w:val="36"/>
  </w:num>
  <w:num w:numId="17">
    <w:abstractNumId w:val="6"/>
  </w:num>
  <w:num w:numId="18">
    <w:abstractNumId w:val="23"/>
  </w:num>
  <w:num w:numId="19">
    <w:abstractNumId w:val="40"/>
  </w:num>
  <w:num w:numId="20">
    <w:abstractNumId w:val="42"/>
  </w:num>
  <w:num w:numId="21">
    <w:abstractNumId w:val="22"/>
  </w:num>
  <w:num w:numId="22">
    <w:abstractNumId w:val="9"/>
  </w:num>
  <w:num w:numId="23">
    <w:abstractNumId w:val="47"/>
  </w:num>
  <w:num w:numId="24">
    <w:abstractNumId w:val="41"/>
  </w:num>
  <w:num w:numId="25">
    <w:abstractNumId w:val="32"/>
  </w:num>
  <w:num w:numId="26">
    <w:abstractNumId w:val="15"/>
  </w:num>
  <w:num w:numId="27">
    <w:abstractNumId w:val="35"/>
  </w:num>
  <w:num w:numId="28">
    <w:abstractNumId w:val="43"/>
  </w:num>
  <w:num w:numId="29">
    <w:abstractNumId w:val="25"/>
  </w:num>
  <w:num w:numId="30">
    <w:abstractNumId w:val="31"/>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59"/>
  </w:num>
  <w:num w:numId="34">
    <w:abstractNumId w:val="27"/>
  </w:num>
  <w:num w:numId="35">
    <w:abstractNumId w:val="10"/>
  </w:num>
  <w:num w:numId="36">
    <w:abstractNumId w:val="56"/>
  </w:num>
  <w:num w:numId="3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4"/>
  </w:num>
  <w:num w:numId="40">
    <w:abstractNumId w:val="3"/>
  </w:num>
  <w:num w:numId="41">
    <w:abstractNumId w:val="16"/>
  </w:num>
  <w:num w:numId="42">
    <w:abstractNumId w:val="24"/>
  </w:num>
  <w:num w:numId="43">
    <w:abstractNumId w:val="33"/>
  </w:num>
  <w:num w:numId="44">
    <w:abstractNumId w:val="20"/>
  </w:num>
  <w:num w:numId="45">
    <w:abstractNumId w:val="28"/>
  </w:num>
  <w:num w:numId="46">
    <w:abstractNumId w:val="2"/>
  </w:num>
  <w:num w:numId="47">
    <w:abstractNumId w:val="13"/>
  </w:num>
  <w:num w:numId="48">
    <w:abstractNumId w:val="44"/>
  </w:num>
  <w:num w:numId="49">
    <w:abstractNumId w:val="57"/>
  </w:num>
  <w:num w:numId="50">
    <w:abstractNumId w:val="2"/>
  </w:num>
  <w:num w:numId="51">
    <w:abstractNumId w:val="19"/>
  </w:num>
  <w:num w:numId="52">
    <w:abstractNumId w:val="58"/>
  </w:num>
  <w:num w:numId="53">
    <w:abstractNumId w:val="34"/>
  </w:num>
  <w:num w:numId="54">
    <w:abstractNumId w:val="39"/>
  </w:num>
  <w:num w:numId="55">
    <w:abstractNumId w:val="0"/>
  </w:num>
  <w:num w:numId="56">
    <w:abstractNumId w:val="8"/>
  </w:num>
  <w:num w:numId="57">
    <w:abstractNumId w:val="30"/>
  </w:num>
  <w:num w:numId="58">
    <w:abstractNumId w:val="38"/>
  </w:num>
  <w:num w:numId="59">
    <w:abstractNumId w:val="37"/>
  </w:num>
  <w:num w:numId="60">
    <w:abstractNumId w:val="46"/>
  </w:num>
  <w:num w:numId="61">
    <w:abstractNumId w:val="12"/>
  </w:num>
  <w:num w:numId="62">
    <w:abstractNumId w:val="17"/>
  </w:num>
  <w:num w:numId="63">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4C4"/>
    <w:rsid w:val="00E9091A"/>
    <w:rsid w:val="00E913F0"/>
    <w:rsid w:val="00E9141E"/>
    <w:rsid w:val="00E91591"/>
    <w:rsid w:val="00E91E23"/>
    <w:rsid w:val="00E923CF"/>
    <w:rsid w:val="00E9281A"/>
    <w:rsid w:val="00E92C75"/>
    <w:rsid w:val="00E92CA2"/>
    <w:rsid w:val="00E92E3B"/>
    <w:rsid w:val="00E92E54"/>
    <w:rsid w:val="00E931AD"/>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18C"/>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リスト段落,列出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84048A27-B86C-4073-8CA7-051A6BD0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99</Pages>
  <Words>29242</Words>
  <Characters>166684</Characters>
  <Application>Microsoft Office Word</Application>
  <DocSecurity>0</DocSecurity>
  <Lines>1389</Lines>
  <Paragraphs>391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195535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Weidong Yang</cp:lastModifiedBy>
  <cp:revision>2</cp:revision>
  <cp:lastPrinted>1900-12-31T16:00:00Z</cp:lastPrinted>
  <dcterms:created xsi:type="dcterms:W3CDTF">2020-08-25T03:49:00Z</dcterms:created>
  <dcterms:modified xsi:type="dcterms:W3CDTF">2020-08-25T03:49:00Z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