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8"/>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a3"/>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a3"/>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a3"/>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a3"/>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a3"/>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a3"/>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a8"/>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a3"/>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a3"/>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맑은 고딕" w:hAnsi="Times New Roman" w:cs="Times New Roman"/>
                <w:color w:val="000000"/>
                <w:kern w:val="24"/>
                <w:sz w:val="20"/>
                <w:szCs w:val="20"/>
                <w:lang w:val="en-GB"/>
              </w:rPr>
            </w:pPr>
            <w:r w:rsidRPr="0039763A">
              <w:rPr>
                <w:rFonts w:ascii="Times New Roman" w:eastAsia="맑은 고딕"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맑은 고딕" w:hAnsi="Times New Roman" w:cs="Times New Roman"/>
                <w:color w:val="00B050"/>
                <w:kern w:val="24"/>
                <w:sz w:val="20"/>
                <w:szCs w:val="20"/>
                <w:lang w:val="en-GB"/>
              </w:rPr>
            </w:pPr>
            <w:r w:rsidRPr="0039763A">
              <w:rPr>
                <w:rFonts w:ascii="Times New Roman" w:eastAsia="맑은 고딕"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a9"/>
              <w:spacing w:before="0" w:beforeAutospacing="0" w:after="0" w:afterAutospacing="0" w:line="256" w:lineRule="auto"/>
              <w:rPr>
                <w:color w:val="00B050"/>
                <w:sz w:val="20"/>
                <w:szCs w:val="20"/>
              </w:rPr>
            </w:pPr>
            <w:r w:rsidRPr="0039763A">
              <w:rPr>
                <w:rFonts w:eastAsia="맑은 고딕"/>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a8"/>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a3"/>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a3"/>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a3"/>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a3"/>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7F31F1" w:rsidP="00305247">
            <w:pPr>
              <w:rPr>
                <w:rFonts w:ascii="Times New Roman" w:hAnsi="Times New Roman" w:cs="Times New Roman"/>
              </w:rPr>
            </w:pPr>
            <w:r w:rsidRPr="0039763A">
              <w:rPr>
                <w:rFonts w:ascii="Times New Roman" w:hAnsi="Times New Roman" w:cs="Times New Roman"/>
                <w:noProof/>
              </w:rPr>
              <w:object w:dxaOrig="7351" w:dyaOrig="6316" w14:anchorId="66B13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0.5pt;height:188.25pt;mso-width-percent:0;mso-height-percent:0;mso-width-percent:0;mso-height-percent:0" o:ole="">
                  <v:imagedata r:id="rId11" o:title=""/>
                </v:shape>
                <o:OLEObject Type="Embed" ProgID="Visio.Drawing.15" ShapeID="_x0000_i1025" DrawAspect="Content" ObjectID="_1658908769" r:id="rId12"/>
              </w:object>
            </w:r>
            <w:r w:rsidR="00451B79"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a3"/>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a3"/>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7F31F1" w:rsidP="00305247">
            <w:pPr>
              <w:rPr>
                <w:rFonts w:ascii="Times New Roman" w:hAnsi="Times New Roman" w:cs="Times New Roman"/>
                <w:sz w:val="20"/>
                <w:szCs w:val="20"/>
              </w:rPr>
            </w:pPr>
            <w:r w:rsidRPr="0039763A">
              <w:rPr>
                <w:rFonts w:ascii="Times New Roman" w:hAnsi="Times New Roman" w:cs="Times New Roman"/>
                <w:noProof/>
                <w:sz w:val="20"/>
                <w:szCs w:val="20"/>
              </w:rPr>
              <w:object w:dxaOrig="12150" w:dyaOrig="3525" w14:anchorId="20BAAF12">
                <v:shape id="_x0000_i1026" type="#_x0000_t75" alt="" style="width:327pt;height:93.75pt;mso-width-percent:0;mso-height-percent:0;mso-width-percent:0;mso-height-percent:0" o:ole="">
                  <v:imagedata r:id="rId13" o:title=""/>
                </v:shape>
                <o:OLEObject Type="Embed" ProgID="Visio.Drawing.15" ShapeID="_x0000_i1026" DrawAspect="Content" ObjectID="_1658908770"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a3"/>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a3"/>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a8"/>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a3"/>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a3"/>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a3"/>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a3"/>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a3"/>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a3"/>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a3"/>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a8"/>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a8"/>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a8"/>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a3"/>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a3"/>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a8"/>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F31F1" w:rsidP="007C580C">
            <w:pPr>
              <w:snapToGrid w:val="0"/>
              <w:jc w:val="center"/>
              <w:rPr>
                <w:rFonts w:ascii="Times New Roman" w:hAnsi="Times New Roman" w:cs="Times New Roman"/>
                <w:sz w:val="18"/>
                <w:szCs w:val="20"/>
              </w:rPr>
            </w:pPr>
            <w:r>
              <w:rPr>
                <w:noProof/>
              </w:rPr>
              <w:object w:dxaOrig="19153" w:dyaOrig="19452" w14:anchorId="186B93A8">
                <v:shape id="_x0000_i1027" type="#_x0000_t75" alt="" style="width:260.25pt;height:263.25pt;mso-width-percent:0;mso-height-percent:0;mso-width-percent:0;mso-height-percent:0" o:ole="">
                  <v:imagedata r:id="rId15" o:title=""/>
                </v:shape>
                <o:OLEObject Type="Embed" ProgID="Visio.Drawing.15" ShapeID="_x0000_i1027" DrawAspect="Content" ObjectID="_1658908771"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a3"/>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a3"/>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a3"/>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companies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7F31F1" w:rsidP="00637DC8">
            <w:pPr>
              <w:pStyle w:val="a3"/>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7417DFF">
                <v:shape id="_x0000_i1028" type="#_x0000_t75" alt="" style="width:189pt;height:162pt;mso-width-percent:0;mso-height-percent:0;mso-width-percent:0;mso-height-percent:0" o:ole="">
                  <v:imagedata r:id="rId17" o:title=""/>
                </v:shape>
                <o:OLEObject Type="Embed" ProgID="Visio.Drawing.15" ShapeID="_x0000_i1028" DrawAspect="Content" ObjectID="_1658908772"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a3"/>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6B1A7EED" w14:textId="6AAC1997" w:rsidR="00397B97" w:rsidRDefault="00397B97" w:rsidP="00397B97">
            <w:pPr>
              <w:pStyle w:val="a3"/>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a3"/>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a3"/>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a3"/>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a3"/>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A30D17">
            <w:pPr>
              <w:pStyle w:val="a3"/>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SimSun"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granularity along 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7863C4" w:rsidRPr="00B3660F" w14:paraId="1FD8E7C5" w14:textId="77777777" w:rsidTr="00454D4F">
        <w:tc>
          <w:tcPr>
            <w:tcW w:w="1615" w:type="dxa"/>
          </w:tcPr>
          <w:p w14:paraId="5C6341B1" w14:textId="2C272CFB"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75F561DC"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61B83C77"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3F491B2" w14:textId="77777777" w:rsidR="007863C4" w:rsidRDefault="007863C4" w:rsidP="007863C4">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08864C28" w14:textId="77777777" w:rsidR="007863C4" w:rsidRPr="00DC7A81" w:rsidRDefault="007863C4" w:rsidP="007863C4">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232462FD"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45F65030"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156F17D5" w14:textId="07677EA0"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5, we can support the table 5</w:t>
            </w:r>
            <w:r w:rsidR="00A35599">
              <w:rPr>
                <w:rFonts w:ascii="Times New Roman" w:eastAsia="DengXian" w:hAnsi="Times New Roman" w:cs="Times New Roman"/>
                <w:sz w:val="18"/>
                <w:szCs w:val="20"/>
                <w:lang w:eastAsia="zh-CN"/>
              </w:rPr>
              <w:t>, but</w:t>
            </w:r>
            <w:r>
              <w:rPr>
                <w:rFonts w:ascii="Times New Roman" w:eastAsia="DengXian" w:hAnsi="Times New Roman" w:cs="Times New Roman"/>
                <w:sz w:val="18"/>
                <w:szCs w:val="20"/>
                <w:lang w:eastAsia="zh-CN"/>
              </w:rPr>
              <w:t xml:space="preserve">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w:t>
            </w:r>
            <w:r w:rsidR="00A35599">
              <w:rPr>
                <w:rFonts w:ascii="Times New Roman" w:eastAsia="DengXian" w:hAnsi="Times New Roman" w:cs="Times New Roman"/>
                <w:sz w:val="18"/>
                <w:szCs w:val="20"/>
                <w:lang w:eastAsia="zh-CN"/>
              </w:rPr>
              <w:t xml:space="preserve"> in our views</w:t>
            </w:r>
            <w:r>
              <w:rPr>
                <w:rFonts w:ascii="Times New Roman" w:eastAsia="DengXian" w:hAnsi="Times New Roman" w:cs="Times New Roman"/>
                <w:sz w:val="18"/>
                <w:szCs w:val="20"/>
                <w:lang w:eastAsia="zh-CN"/>
              </w:rPr>
              <w:t>, due to the already agreed assumption of EIRP =22 dB in table 3.</w:t>
            </w:r>
          </w:p>
          <w:p w14:paraId="61F20A69"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D865BA7" w14:textId="77777777" w:rsidR="007863C4" w:rsidRDefault="007863C4" w:rsidP="007863C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4676D2A9"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66DBF87E" w14:textId="577C71B0" w:rsidR="007863C4" w:rsidRPr="001B2D0D" w:rsidRDefault="007863C4" w:rsidP="007863C4">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A30D17" w:rsidRPr="00B3660F" w14:paraId="504E836E" w14:textId="77777777" w:rsidTr="00454D4F">
        <w:tc>
          <w:tcPr>
            <w:tcW w:w="1615" w:type="dxa"/>
          </w:tcPr>
          <w:p w14:paraId="2E5BF5F0" w14:textId="31F5B824" w:rsidR="00A30D17" w:rsidRDefault="00A30D17" w:rsidP="007863C4">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3D02A391" w14:textId="68FC153D" w:rsidR="00A30D17"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29C7C0A5" w14:textId="77777777" w:rsidR="008B6BB3" w:rsidRDefault="008B6BB3" w:rsidP="007863C4">
            <w:pPr>
              <w:snapToGrid w:val="0"/>
              <w:rPr>
                <w:rFonts w:ascii="Times New Roman" w:hAnsi="Times New Roman" w:cs="Times New Roman"/>
                <w:sz w:val="18"/>
                <w:szCs w:val="20"/>
              </w:rPr>
            </w:pPr>
          </w:p>
          <w:p w14:paraId="0D5F562E" w14:textId="6F363A9A" w:rsidR="008B6BB3"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sidR="008B6BB3">
              <w:rPr>
                <w:rFonts w:ascii="Times New Roman" w:hAnsi="Times New Roman" w:cs="Times New Roman"/>
                <w:b/>
                <w:bCs/>
                <w:sz w:val="18"/>
                <w:szCs w:val="20"/>
              </w:rPr>
              <w:t>tem 2</w:t>
            </w:r>
            <w:r w:rsidR="008B6BB3">
              <w:rPr>
                <w:rFonts w:ascii="Times New Roman" w:hAnsi="Times New Roman" w:cs="Times New Roman"/>
                <w:sz w:val="18"/>
                <w:szCs w:val="20"/>
              </w:rPr>
              <w:t>: Support. The MU-MIMO performance aspect should be left out of evaluation.</w:t>
            </w:r>
          </w:p>
          <w:p w14:paraId="0E731CC9" w14:textId="77777777" w:rsidR="008B6BB3" w:rsidRPr="008B6BB3" w:rsidRDefault="008B6BB3" w:rsidP="007863C4">
            <w:pPr>
              <w:snapToGrid w:val="0"/>
              <w:rPr>
                <w:rFonts w:ascii="Times New Roman" w:hAnsi="Times New Roman" w:cs="Times New Roman"/>
                <w:sz w:val="18"/>
                <w:szCs w:val="20"/>
              </w:rPr>
            </w:pPr>
          </w:p>
          <w:p w14:paraId="727A1965" w14:textId="3D23004D" w:rsidR="00A30D17" w:rsidRDefault="008B6BB3" w:rsidP="007863C4">
            <w:pPr>
              <w:snapToGrid w:val="0"/>
              <w:rPr>
                <w:rFonts w:ascii="Times New Roman" w:hAnsi="Times New Roman" w:cs="Times New Roman"/>
                <w:sz w:val="18"/>
                <w:szCs w:val="20"/>
              </w:rPr>
            </w:pPr>
            <w:r>
              <w:rPr>
                <w:rFonts w:ascii="Times New Roman" w:hAnsi="Times New Roman" w:cs="Times New Roman"/>
                <w:b/>
                <w:bCs/>
                <w:sz w:val="18"/>
                <w:szCs w:val="20"/>
              </w:rPr>
              <w:t>I</w:t>
            </w:r>
            <w:r w:rsidR="00A30D17" w:rsidRPr="00A30D17">
              <w:rPr>
                <w:rFonts w:ascii="Times New Roman" w:hAnsi="Times New Roman" w:cs="Times New Roman"/>
                <w:b/>
                <w:bCs/>
                <w:sz w:val="18"/>
                <w:szCs w:val="20"/>
              </w:rPr>
              <w:t xml:space="preserve">tems </w:t>
            </w:r>
            <w:r>
              <w:rPr>
                <w:rFonts w:ascii="Times New Roman" w:hAnsi="Times New Roman" w:cs="Times New Roman"/>
                <w:b/>
                <w:bCs/>
                <w:sz w:val="18"/>
                <w:szCs w:val="20"/>
              </w:rPr>
              <w:t>3</w:t>
            </w:r>
            <w:r w:rsidR="00A30D17">
              <w:rPr>
                <w:rFonts w:ascii="Times New Roman" w:hAnsi="Times New Roman" w:cs="Times New Roman"/>
                <w:sz w:val="18"/>
                <w:szCs w:val="20"/>
              </w:rPr>
              <w:t>:</w:t>
            </w:r>
            <w:r w:rsidR="005E40C0">
              <w:rPr>
                <w:rFonts w:ascii="Times New Roman" w:hAnsi="Times New Roman" w:cs="Times New Roman"/>
                <w:sz w:val="18"/>
                <w:szCs w:val="20"/>
              </w:rPr>
              <w:t xml:space="preserve"> Support. </w:t>
            </w:r>
          </w:p>
          <w:p w14:paraId="4DBACA0A" w14:textId="77777777" w:rsidR="00DF1DAB" w:rsidRDefault="00DF1DAB" w:rsidP="007863C4">
            <w:pPr>
              <w:snapToGrid w:val="0"/>
              <w:rPr>
                <w:rFonts w:ascii="Times New Roman" w:hAnsi="Times New Roman" w:cs="Times New Roman"/>
                <w:sz w:val="18"/>
                <w:szCs w:val="20"/>
              </w:rPr>
            </w:pPr>
          </w:p>
          <w:p w14:paraId="65747EC4" w14:textId="77777777" w:rsidR="00DF1DAB" w:rsidRDefault="00DF1DAB" w:rsidP="007863C4">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p w14:paraId="18F6D4CD" w14:textId="11A44194" w:rsidR="00DF1DAB" w:rsidRDefault="00DF1DAB" w:rsidP="007863C4">
            <w:pPr>
              <w:snapToGrid w:val="0"/>
              <w:rPr>
                <w:rFonts w:ascii="Times New Roman" w:hAnsi="Times New Roman" w:cs="Times New Roman"/>
                <w:sz w:val="18"/>
                <w:szCs w:val="20"/>
              </w:rPr>
            </w:pPr>
          </w:p>
        </w:tc>
      </w:tr>
      <w:tr w:rsidR="001D3891" w:rsidRPr="00B3660F" w14:paraId="3CA2B27E" w14:textId="77777777" w:rsidTr="00454D4F">
        <w:tc>
          <w:tcPr>
            <w:tcW w:w="1615" w:type="dxa"/>
          </w:tcPr>
          <w:p w14:paraId="4E8A1FA1" w14:textId="6DE7F47C"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69B2D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3A3B31A8" w14:textId="77777777" w:rsidR="001D3891" w:rsidRPr="005F7BDF" w:rsidRDefault="001D3891" w:rsidP="00154F55">
            <w:pPr>
              <w:pStyle w:val="a3"/>
              <w:numPr>
                <w:ilvl w:val="0"/>
                <w:numId w:val="48"/>
              </w:numPr>
              <w:snapToGrid w:val="0"/>
              <w:ind w:left="342" w:hanging="342"/>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0BECC0B1" w14:textId="77777777" w:rsidR="001D3891" w:rsidRPr="005F7BDF" w:rsidRDefault="001D3891" w:rsidP="00154F55">
            <w:pPr>
              <w:pStyle w:val="a3"/>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14A904C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3329A5F4" w14:textId="77777777" w:rsidR="001D3891" w:rsidRDefault="001D3891" w:rsidP="00154F55">
            <w:pPr>
              <w:pStyle w:val="a3"/>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5FD0630C"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874A24B" w14:textId="77777777" w:rsidR="001D3891" w:rsidRDefault="001D3891" w:rsidP="00154F55">
            <w:pPr>
              <w:pStyle w:val="a3"/>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lastRenderedPageBreak/>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0D82F669"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7433C17B" w14:textId="77777777" w:rsidR="001D3891" w:rsidRDefault="001D3891" w:rsidP="00154F55">
            <w:pPr>
              <w:pStyle w:val="a3"/>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00927363"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0D615F6E" w14:textId="77777777" w:rsidR="001D3891" w:rsidRPr="00CD5E9C" w:rsidRDefault="001D3891" w:rsidP="00154F55">
            <w:pPr>
              <w:pStyle w:val="a3"/>
              <w:numPr>
                <w:ilvl w:val="0"/>
                <w:numId w:val="48"/>
              </w:numPr>
              <w:snapToGrid w:val="0"/>
              <w:spacing w:after="0"/>
              <w:ind w:left="346" w:hanging="346"/>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B96B6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0FF1E83C" w14:textId="77777777" w:rsidR="001D3891" w:rsidRDefault="001D3891" w:rsidP="00154F55">
            <w:pPr>
              <w:pStyle w:val="a3"/>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E66FA9F"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23EC55C2" w14:textId="5FA981C6" w:rsidR="001D3891" w:rsidRPr="00A30D17" w:rsidRDefault="001D3891" w:rsidP="001D3891">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C33DF9" w:rsidRPr="00B3660F" w14:paraId="00ADA681" w14:textId="77777777" w:rsidTr="00454D4F">
        <w:tc>
          <w:tcPr>
            <w:tcW w:w="1615" w:type="dxa"/>
          </w:tcPr>
          <w:p w14:paraId="1AB5C623" w14:textId="6295F28B" w:rsidR="00C33DF9" w:rsidRDefault="00C33DF9" w:rsidP="00C33DF9">
            <w:pPr>
              <w:snapToGrid w:val="0"/>
              <w:rPr>
                <w:rFonts w:ascii="Times New Roman" w:hAnsi="Times New Roman" w:cs="Times New Roman"/>
                <w:sz w:val="18"/>
                <w:szCs w:val="20"/>
              </w:rPr>
            </w:pPr>
            <w:r>
              <w:rPr>
                <w:rFonts w:ascii="Times New Roman" w:hAnsi="Times New Roman" w:cs="Times New Roman"/>
                <w:sz w:val="18"/>
                <w:szCs w:val="20"/>
              </w:rPr>
              <w:lastRenderedPageBreak/>
              <w:t>Intel</w:t>
            </w:r>
          </w:p>
        </w:tc>
        <w:tc>
          <w:tcPr>
            <w:tcW w:w="8280" w:type="dxa"/>
          </w:tcPr>
          <w:p w14:paraId="5C62592A"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58F92E81" w14:textId="2DC291D1" w:rsidR="00C33DF9" w:rsidRPr="007804B3" w:rsidRDefault="00C33DF9" w:rsidP="00154F55">
            <w:pPr>
              <w:pStyle w:val="a3"/>
              <w:numPr>
                <w:ilvl w:val="0"/>
                <w:numId w:val="49"/>
              </w:numPr>
              <w:snapToGrid w:val="0"/>
              <w:spacing w:line="256" w:lineRule="auto"/>
              <w:ind w:left="701"/>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sidR="007804B3" w:rsidRPr="007804B3">
              <w:rPr>
                <w:rFonts w:ascii="Times New Roman" w:hAnsi="Times New Roman" w:cs="Times New Roman"/>
                <w:sz w:val="18"/>
                <w:szCs w:val="18"/>
              </w:rPr>
              <w:t>.</w:t>
            </w:r>
            <w:r w:rsidR="007804B3">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6A79FB54" w14:textId="2F91744B" w:rsidR="00C33DF9" w:rsidRDefault="00C33DF9" w:rsidP="00154F55">
            <w:pPr>
              <w:pStyle w:val="a3"/>
              <w:numPr>
                <w:ilvl w:val="0"/>
                <w:numId w:val="49"/>
              </w:numPr>
              <w:snapToGrid w:val="0"/>
              <w:spacing w:line="256" w:lineRule="auto"/>
              <w:ind w:left="701"/>
              <w:rPr>
                <w:rFonts w:ascii="Times New Roman" w:hAnsi="Times New Roman" w:cs="Times New Roman"/>
                <w:sz w:val="18"/>
                <w:szCs w:val="18"/>
              </w:rPr>
            </w:pPr>
            <w:r>
              <w:rPr>
                <w:rFonts w:ascii="Times New Roman" w:hAnsi="Times New Roman" w:cs="Times New Roman"/>
                <w:sz w:val="18"/>
                <w:szCs w:val="18"/>
              </w:rPr>
              <w:t>We prefer Alt. 3</w:t>
            </w:r>
            <w:r w:rsidR="007804B3">
              <w:rPr>
                <w:rFonts w:ascii="Times New Roman" w:hAnsi="Times New Roman" w:cs="Times New Roman"/>
                <w:sz w:val="18"/>
                <w:szCs w:val="18"/>
              </w:rPr>
              <w:t>.</w:t>
            </w:r>
            <w:r>
              <w:rPr>
                <w:rFonts w:ascii="Times New Roman" w:hAnsi="Times New Roman" w:cs="Times New Roman"/>
                <w:sz w:val="18"/>
                <w:szCs w:val="18"/>
              </w:rPr>
              <w:t xml:space="preserve"> </w:t>
            </w:r>
          </w:p>
          <w:p w14:paraId="64ABB801"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2ABEED2F" w14:textId="77777777" w:rsidR="00C33DF9" w:rsidRDefault="00C33DF9" w:rsidP="00154F55">
            <w:pPr>
              <w:pStyle w:val="a3"/>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799DF059" w14:textId="77777777" w:rsidR="00C33DF9" w:rsidRDefault="00C33DF9" w:rsidP="00154F55">
            <w:pPr>
              <w:pStyle w:val="a3"/>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3B1A8317" w14:textId="77777777" w:rsidR="00C33DF9" w:rsidRDefault="00C33DF9" w:rsidP="00154F55">
            <w:pPr>
              <w:pStyle w:val="a3"/>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propose the following alternatives:</w:t>
            </w:r>
          </w:p>
          <w:p w14:paraId="0323CD78" w14:textId="5CB025BF" w:rsidR="00C33DF9" w:rsidRDefault="00C33DF9" w:rsidP="00154F55">
            <w:pPr>
              <w:pStyle w:val="a3"/>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1: </w:t>
            </w:r>
            <w:r w:rsidR="00786509" w:rsidRPr="00467A9E">
              <w:rPr>
                <w:rFonts w:ascii="Times New Roman" w:hAnsi="Times New Roman" w:cs="Times New Roman"/>
                <w:i/>
                <w:iCs/>
                <w:sz w:val="18"/>
                <w:szCs w:val="18"/>
              </w:rPr>
              <w:t>Consider single cell with 1 UE</w:t>
            </w:r>
            <w:r w:rsidR="00786509">
              <w:rPr>
                <w:rFonts w:ascii="Times New Roman" w:hAnsi="Times New Roman" w:cs="Times New Roman"/>
                <w:sz w:val="18"/>
                <w:szCs w:val="18"/>
              </w:rPr>
              <w:t>, since there is very limited (and mostly static) interference in current model and the use of 21 cell simulation is unclear.</w:t>
            </w:r>
          </w:p>
          <w:p w14:paraId="0F8E2C58" w14:textId="7A072BD8" w:rsidR="00C33DF9" w:rsidRPr="00786509" w:rsidRDefault="00C33DF9" w:rsidP="00154F55">
            <w:pPr>
              <w:pStyle w:val="a3"/>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2: </w:t>
            </w:r>
            <w:r w:rsidR="00786509" w:rsidRPr="00467A9E">
              <w:rPr>
                <w:rFonts w:ascii="Times New Roman" w:hAnsi="Times New Roman" w:cs="Times New Roman"/>
                <w:i/>
                <w:iCs/>
                <w:sz w:val="18"/>
                <w:szCs w:val="18"/>
              </w:rPr>
              <w:t>Introduce randomness in UE drops</w:t>
            </w:r>
            <w:r w:rsidR="00786509">
              <w:rPr>
                <w:rFonts w:ascii="Times New Roman" w:hAnsi="Times New Roman" w:cs="Times New Roman"/>
                <w:sz w:val="18"/>
                <w:szCs w:val="18"/>
              </w:rPr>
              <w:t xml:space="preserve"> i.e., the UE can be dropped anywhere on the trajectory and once UE reaches an endpoint, it can turn around follow the reverse trajectory</w:t>
            </w:r>
          </w:p>
          <w:p w14:paraId="5C47E4D7"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4D22F7C7" w14:textId="77777777" w:rsidR="00C33DF9" w:rsidRDefault="00C33DF9" w:rsidP="00154F55">
            <w:pPr>
              <w:pStyle w:val="a3"/>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518867CE"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90333DB" w14:textId="77777777" w:rsidR="00C33DF9" w:rsidRDefault="00C33DF9" w:rsidP="00154F55">
            <w:pPr>
              <w:pStyle w:val="a3"/>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0AE95997" w14:textId="77777777" w:rsidR="00C33DF9" w:rsidRDefault="00C33DF9" w:rsidP="00154F55">
            <w:pPr>
              <w:pStyle w:val="a3"/>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351EA13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731C8184" w14:textId="77777777" w:rsidR="00C33DF9" w:rsidRDefault="00C33DF9" w:rsidP="00154F55">
            <w:pPr>
              <w:pStyle w:val="a3"/>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27A1956C"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7CEE1C6F" w14:textId="77777777" w:rsidR="00C33DF9" w:rsidRDefault="00C33DF9" w:rsidP="00154F55">
            <w:pPr>
              <w:pStyle w:val="a3"/>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5C5C41C" w14:textId="77777777" w:rsidR="00C33DF9" w:rsidRDefault="00C33DF9" w:rsidP="00154F55">
            <w:pPr>
              <w:pStyle w:val="a3"/>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1F0154B2" w14:textId="07AC91D9" w:rsidR="00C33DF9" w:rsidRDefault="00C33DF9" w:rsidP="00154F55">
            <w:pPr>
              <w:pStyle w:val="a3"/>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Since this is a new type of evaluation being considered in RAN1, we strongly suggest spatial consistency </w:t>
            </w:r>
            <w:r w:rsidR="007804B3">
              <w:rPr>
                <w:rFonts w:ascii="Times New Roman" w:hAnsi="Times New Roman" w:cs="Times New Roman"/>
                <w:sz w:val="18"/>
                <w:szCs w:val="18"/>
              </w:rPr>
              <w:t>should be considered as</w:t>
            </w:r>
            <w:r>
              <w:rPr>
                <w:rFonts w:ascii="Times New Roman" w:hAnsi="Times New Roman" w:cs="Times New Roman"/>
                <w:sz w:val="18"/>
                <w:szCs w:val="18"/>
              </w:rPr>
              <w:t xml:space="preserve"> a baseline since previously, only drop based simulations were used in RAN1 where UE does not change physical position during the simulation</w:t>
            </w:r>
          </w:p>
          <w:p w14:paraId="111AE112" w14:textId="77777777" w:rsidR="00C33DF9" w:rsidRDefault="00C33DF9" w:rsidP="00154F55">
            <w:pPr>
              <w:pStyle w:val="a3"/>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4F39300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5FF54B9F" w14:textId="77777777" w:rsidR="00C33DF9" w:rsidRDefault="00C33DF9" w:rsidP="00154F55">
            <w:pPr>
              <w:pStyle w:val="a3"/>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6062F7F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4FD08DF5" w14:textId="77777777" w:rsidR="00C33DF9" w:rsidRDefault="00C33DF9" w:rsidP="00154F55">
            <w:pPr>
              <w:pStyle w:val="a3"/>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0EE2E32C" w14:textId="77777777" w:rsidR="00C33DF9" w:rsidRDefault="00C33DF9" w:rsidP="00154F55">
            <w:pPr>
              <w:pStyle w:val="a3"/>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lastRenderedPageBreak/>
              <w:t xml:space="preserve">Companies should report assumptions. </w:t>
            </w:r>
          </w:p>
          <w:p w14:paraId="3131C96E" w14:textId="77777777" w:rsidR="00C33DF9" w:rsidRDefault="00C33DF9" w:rsidP="00154F55">
            <w:pPr>
              <w:pStyle w:val="a3"/>
              <w:numPr>
                <w:ilvl w:val="0"/>
                <w:numId w:val="53"/>
              </w:numPr>
              <w:snapToGrid w:val="0"/>
              <w:spacing w:after="0" w:line="256" w:lineRule="auto"/>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p w14:paraId="4A7EE1EA" w14:textId="77777777" w:rsidR="00C33DF9" w:rsidRDefault="00C33DF9" w:rsidP="00C33DF9">
            <w:pPr>
              <w:snapToGrid w:val="0"/>
              <w:rPr>
                <w:rFonts w:ascii="Times New Roman" w:hAnsi="Times New Roman" w:cs="Times New Roman"/>
                <w:sz w:val="18"/>
                <w:szCs w:val="20"/>
              </w:rPr>
            </w:pPr>
          </w:p>
        </w:tc>
      </w:tr>
      <w:tr w:rsidR="0081632B" w:rsidRPr="00B3660F" w14:paraId="06DD257E" w14:textId="77777777" w:rsidTr="00454D4F">
        <w:tc>
          <w:tcPr>
            <w:tcW w:w="1615" w:type="dxa"/>
          </w:tcPr>
          <w:p w14:paraId="4F16870A" w14:textId="3EB150D7" w:rsidR="0081632B" w:rsidRDefault="0081632B" w:rsidP="00C33DF9">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77443F8A"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20D15944"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1AECC0"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339C4405"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0676D139"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8E01126"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6B339B18" w14:textId="3D363503"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051536A2" w14:textId="77777777"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46D1C9D" w14:textId="77777777"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2E477841" w14:textId="515EB335"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F0FE9" w:rsidRPr="00B3660F" w14:paraId="5600F13C" w14:textId="77777777" w:rsidTr="00454D4F">
        <w:tc>
          <w:tcPr>
            <w:tcW w:w="1615" w:type="dxa"/>
          </w:tcPr>
          <w:p w14:paraId="6E9F3C66" w14:textId="1F2E953E" w:rsidR="006F0FE9" w:rsidRDefault="006F0FE9" w:rsidP="006F0FE9">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59201BED"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3FDC39F9"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7EA8EE5A" w14:textId="77777777" w:rsidR="006F0FE9" w:rsidRPr="0007454A" w:rsidRDefault="006F0FE9" w:rsidP="006F0FE9">
            <w:pPr>
              <w:snapToGrid w:val="0"/>
              <w:rPr>
                <w:rFonts w:ascii="Times New Roman" w:hAnsi="Times New Roman" w:cs="Times New Roman"/>
                <w:bCs/>
                <w:sz w:val="18"/>
                <w:szCs w:val="18"/>
              </w:rPr>
            </w:pPr>
          </w:p>
          <w:p w14:paraId="31CCFE4A"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20441FA5"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w:t>
            </w:r>
            <w:bookmarkStart w:id="3" w:name="_GoBack"/>
            <w:bookmarkEnd w:id="3"/>
            <w:r>
              <w:rPr>
                <w:rFonts w:ascii="Times New Roman" w:hAnsi="Times New Roman" w:cs="Times New Roman"/>
                <w:bCs/>
                <w:sz w:val="18"/>
                <w:szCs w:val="18"/>
              </w:rPr>
              <w:t>ility, we support one-UE assumption</w:t>
            </w:r>
            <w:r>
              <w:rPr>
                <w:rFonts w:ascii="Times New Roman" w:hAnsi="Times New Roman" w:cs="Times New Roman"/>
                <w:bCs/>
                <w:sz w:val="18"/>
                <w:szCs w:val="18"/>
              </w:rPr>
              <w:t xml:space="preserve"> that the two associated-UEs seems not clear for validating the benefits of potential BM solutions.</w:t>
            </w:r>
          </w:p>
          <w:p w14:paraId="707ED0B5"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4C19B2CE" w14:textId="77777777" w:rsidR="006F0FE9" w:rsidRDefault="006F0FE9" w:rsidP="006F0FE9">
            <w:pPr>
              <w:snapToGrid w:val="0"/>
              <w:rPr>
                <w:rFonts w:ascii="Times New Roman" w:hAnsi="Times New Roman" w:cs="Times New Roman"/>
                <w:bCs/>
                <w:sz w:val="18"/>
                <w:szCs w:val="18"/>
              </w:rPr>
            </w:pPr>
          </w:p>
          <w:p w14:paraId="10ED56D7"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7C292CF3"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52AE64FB" w14:textId="77777777" w:rsidR="006F0FE9" w:rsidRPr="0007454A" w:rsidRDefault="006F0FE9" w:rsidP="006F0FE9">
            <w:pPr>
              <w:snapToGrid w:val="0"/>
              <w:rPr>
                <w:rFonts w:ascii="Times New Roman" w:hAnsi="Times New Roman" w:cs="Times New Roman"/>
                <w:bCs/>
                <w:sz w:val="18"/>
                <w:szCs w:val="18"/>
              </w:rPr>
            </w:pPr>
          </w:p>
          <w:p w14:paraId="0764D105"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41B36C81"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1B5679D7" w14:textId="77777777" w:rsidR="006F0FE9" w:rsidRPr="00D93F47" w:rsidRDefault="006F0FE9" w:rsidP="006F0FE9">
            <w:pPr>
              <w:snapToGrid w:val="0"/>
              <w:rPr>
                <w:rFonts w:ascii="Times New Roman" w:hAnsi="Times New Roman" w:cs="Times New Roman" w:hint="eastAsia"/>
                <w:bCs/>
                <w:sz w:val="18"/>
                <w:szCs w:val="18"/>
              </w:rPr>
            </w:pPr>
          </w:p>
          <w:p w14:paraId="5F8CF2F0" w14:textId="77777777" w:rsidR="006F0FE9" w:rsidRDefault="006F0FE9" w:rsidP="006F0FE9">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3D50C61E" w14:textId="77777777" w:rsidR="006F0FE9" w:rsidRDefault="006F0FE9" w:rsidP="006F0FE9">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6DDD187A" w14:textId="5ECD3A13" w:rsidR="006F0FE9" w:rsidRDefault="006F0FE9" w:rsidP="006F0FE9">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7F31F1"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50" w:dyaOrig="6315" w14:anchorId="75AFA805">
          <v:shape id="_x0000_i1029" type="#_x0000_t75" alt="" style="width:276pt;height:237pt;mso-width-percent:0;mso-height-percent:0;mso-width-percent:0;mso-height-percent:0" o:ole="">
            <v:imagedata r:id="rId19" o:title=""/>
          </v:shape>
          <o:OLEObject Type="Embed" ProgID="Visio.Drawing.15" ShapeID="_x0000_i1029" DrawAspect="Content" ObjectID="_1658908773"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aa"/>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a8"/>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a3"/>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a3"/>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a3"/>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a3"/>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lastRenderedPageBreak/>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aa"/>
              <w:jc w:val="center"/>
              <w:rPr>
                <w:rFonts w:ascii="Times New Roman" w:hAnsi="Times New Roman" w:cs="Times New Roman"/>
              </w:rPr>
            </w:pPr>
            <w:r w:rsidRPr="0039763A">
              <w:rPr>
                <w:rFonts w:ascii="Times New Roman" w:hAnsi="Times New Roman" w:cs="Times New Roman"/>
              </w:rPr>
              <w:t>Baseline assumptions for SLS</w:t>
            </w:r>
          </w:p>
          <w:tbl>
            <w:tblPr>
              <w:tblStyle w:val="a8"/>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맑은 고딕" w:hAnsi="Times New Roman" w:cs="Times New Roman"/>
                      <w:color w:val="000000"/>
                      <w:kern w:val="24"/>
                      <w:sz w:val="20"/>
                      <w:szCs w:val="20"/>
                      <w:lang w:val="en-GB"/>
                    </w:rPr>
                  </w:pPr>
                  <w:r w:rsidRPr="0039763A">
                    <w:rPr>
                      <w:rFonts w:ascii="Times New Roman" w:eastAsia="맑은 고딕"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맑은 고딕" w:hAnsi="Times New Roman" w:cs="Times New Roman"/>
                      <w:color w:val="00B050"/>
                      <w:kern w:val="24"/>
                      <w:sz w:val="20"/>
                      <w:szCs w:val="20"/>
                      <w:lang w:val="en-GB"/>
                    </w:rPr>
                  </w:pPr>
                  <w:r w:rsidRPr="0039763A">
                    <w:rPr>
                      <w:rFonts w:ascii="Times New Roman" w:eastAsia="맑은 고딕"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맑은 고딕"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a9"/>
                    <w:snapToGrid w:val="0"/>
                    <w:spacing w:before="0" w:beforeAutospacing="0" w:after="0" w:afterAutospacing="0"/>
                    <w:rPr>
                      <w:color w:val="00B050"/>
                      <w:sz w:val="20"/>
                      <w:szCs w:val="20"/>
                    </w:rPr>
                  </w:pPr>
                  <w:r w:rsidRPr="0039763A">
                    <w:rPr>
                      <w:rFonts w:eastAsia="맑은 고딕"/>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맑은 고딕"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lastRenderedPageBreak/>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aa"/>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aa"/>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aa"/>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aa"/>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aa"/>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aa"/>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a8"/>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a3"/>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a3"/>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a8"/>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a3"/>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a3"/>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a5"/>
              <w:snapToGrid w:val="0"/>
              <w:spacing w:after="0"/>
              <w:rPr>
                <w:rFonts w:ascii="Times New Roman" w:hAnsi="Times New Roman" w:cs="Times New Roman"/>
                <w:color w:val="3333FF"/>
              </w:rPr>
            </w:pPr>
            <w:r w:rsidRPr="0039763A">
              <w:rPr>
                <w:rStyle w:val="a4"/>
                <w:rFonts w:ascii="Times New Roman" w:hAnsi="Times New Roman" w:cs="Times New Roman"/>
                <w:color w:val="3333FF"/>
                <w:sz w:val="20"/>
                <w:szCs w:val="20"/>
              </w:rPr>
              <w:t xml:space="preserve">We </w:t>
            </w:r>
            <w:r w:rsidRPr="0039763A">
              <w:rPr>
                <w:rStyle w:val="a4"/>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a5"/>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a5"/>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a5"/>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a5"/>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a5"/>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a5"/>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a5"/>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7F31F1" w:rsidP="008B240D">
            <w:pPr>
              <w:snapToGrid w:val="0"/>
              <w:jc w:val="center"/>
              <w:rPr>
                <w:rFonts w:ascii="Times New Roman" w:hAnsi="Times New Roman" w:cs="Times New Roman"/>
                <w:sz w:val="20"/>
                <w:szCs w:val="20"/>
              </w:rPr>
            </w:pPr>
            <w:r w:rsidRPr="0039763A">
              <w:rPr>
                <w:rFonts w:ascii="Times New Roman" w:hAnsi="Times New Roman" w:cs="Times New Roman"/>
                <w:noProof/>
                <w:sz w:val="20"/>
                <w:szCs w:val="20"/>
              </w:rPr>
              <w:object w:dxaOrig="12156" w:dyaOrig="3529" w14:anchorId="660BBACD">
                <v:shape id="_x0000_i1030" type="#_x0000_t75" alt="" style="width:327pt;height:94.5pt;mso-width-percent:0;mso-height-percent:0;mso-width-percent:0;mso-height-percent:0" o:ole="">
                  <v:imagedata r:id="rId21" o:title=""/>
                </v:shape>
                <o:OLEObject Type="Embed" ProgID="Visio.Drawing.15" ShapeID="_x0000_i1030" DrawAspect="Content" ObjectID="_1658908774"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lastRenderedPageBreak/>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UEs start near RRH2 and move towards RRH5, or start near RRH5 and move towards RRH2</w:t>
            </w:r>
          </w:p>
          <w:p w14:paraId="3015900D"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a3"/>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a3"/>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a8"/>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a3"/>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w:t>
            </w:r>
            <w:r w:rsidRPr="0039763A">
              <w:rPr>
                <w:rFonts w:ascii="Times New Roman" w:hAnsi="Times New Roman" w:cs="Times New Roman"/>
                <w:sz w:val="20"/>
                <w:szCs w:val="20"/>
                <w:lang w:eastAsia="zh-CN"/>
              </w:rPr>
              <w:lastRenderedPageBreak/>
              <w:t xml:space="preserve">Macro only, the simulation complexity should be fully considered due to that the number of users per train is up to 1000. </w:t>
            </w:r>
          </w:p>
          <w:p w14:paraId="4D1A2CD4" w14:textId="77777777" w:rsidR="00185D8C" w:rsidRPr="0039763A" w:rsidRDefault="00185D8C" w:rsidP="009E4D01">
            <w:pPr>
              <w:pStyle w:val="a3"/>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a3"/>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a3"/>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lastRenderedPageBreak/>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a3"/>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 xml:space="preserve">MPE impact is based on the accumulative value of exposure rather than an instantaneous one. So, in our views, this panel blockage should be last for a long time, e.g., </w:t>
            </w:r>
            <w:r w:rsidRPr="0039763A">
              <w:rPr>
                <w:rFonts w:ascii="Times New Roman" w:hAnsi="Times New Roman" w:cs="Times New Roman"/>
                <w:color w:val="00B0F0"/>
                <w:sz w:val="20"/>
                <w:szCs w:val="20"/>
              </w:rPr>
              <w:lastRenderedPageBreak/>
              <w:t>~100s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w:t>
            </w:r>
            <w:r w:rsidRPr="0039763A">
              <w:rPr>
                <w:rFonts w:ascii="Times New Roman" w:hAnsi="Times New Roman" w:cs="Times New Roman"/>
                <w:sz w:val="20"/>
                <w:szCs w:val="20"/>
                <w:lang w:eastAsia="zh-CN"/>
              </w:rPr>
              <w:lastRenderedPageBreak/>
              <w:t xml:space="preserve">(12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a3"/>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a3"/>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a3"/>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a3"/>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a3"/>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a3"/>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 xml:space="preserve">The guard period defined for antenna switching in Table 6.2.1.2-1 in TS38.214 can be a baseline for panel selection/switching. </w:t>
            </w:r>
          </w:p>
          <w:p w14:paraId="51BB7459" w14:textId="7A1AE76A"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lastRenderedPageBreak/>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a3"/>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a3"/>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a3"/>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a3"/>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a3"/>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a3"/>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a3"/>
              <w:numPr>
                <w:ilvl w:val="0"/>
                <w:numId w:val="30"/>
              </w:numPr>
              <w:snapToGrid w:val="0"/>
              <w:spacing w:after="0" w:line="240" w:lineRule="auto"/>
              <w:contextualSpacing w:val="0"/>
              <w:rPr>
                <w:rStyle w:val="eop"/>
                <w:rFonts w:eastAsia="맑은 고딕"/>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a3"/>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BB471" w14:textId="77777777" w:rsidR="00BF1147" w:rsidRDefault="00BF1147" w:rsidP="00FE429F">
      <w:r>
        <w:separator/>
      </w:r>
    </w:p>
  </w:endnote>
  <w:endnote w:type="continuationSeparator" w:id="0">
    <w:p w14:paraId="5EBBF777" w14:textId="77777777" w:rsidR="00BF1147" w:rsidRDefault="00BF114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65429" w14:textId="77777777" w:rsidR="00BF1147" w:rsidRDefault="00BF1147" w:rsidP="00FE429F">
      <w:r>
        <w:separator/>
      </w:r>
    </w:p>
  </w:footnote>
  <w:footnote w:type="continuationSeparator" w:id="0">
    <w:p w14:paraId="2DC156E5" w14:textId="77777777" w:rsidR="00BF1147" w:rsidRDefault="00BF1147"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3"/>
  </w:num>
  <w:num w:numId="3">
    <w:abstractNumId w:val="2"/>
  </w:num>
  <w:num w:numId="4">
    <w:abstractNumId w:val="3"/>
  </w:num>
  <w:num w:numId="5">
    <w:abstractNumId w:val="35"/>
  </w:num>
  <w:num w:numId="6">
    <w:abstractNumId w:val="42"/>
  </w:num>
  <w:num w:numId="7">
    <w:abstractNumId w:val="27"/>
  </w:num>
  <w:num w:numId="8">
    <w:abstractNumId w:val="36"/>
  </w:num>
  <w:num w:numId="9">
    <w:abstractNumId w:val="4"/>
  </w:num>
  <w:num w:numId="10">
    <w:abstractNumId w:val="9"/>
  </w:num>
  <w:num w:numId="11">
    <w:abstractNumId w:val="8"/>
  </w:num>
  <w:num w:numId="12">
    <w:abstractNumId w:val="29"/>
  </w:num>
  <w:num w:numId="13">
    <w:abstractNumId w:val="14"/>
  </w:num>
  <w:num w:numId="14">
    <w:abstractNumId w:val="48"/>
  </w:num>
  <w:num w:numId="15">
    <w:abstractNumId w:val="46"/>
  </w:num>
  <w:num w:numId="16">
    <w:abstractNumId w:val="12"/>
  </w:num>
  <w:num w:numId="17">
    <w:abstractNumId w:val="6"/>
  </w:num>
  <w:num w:numId="18">
    <w:abstractNumId w:val="25"/>
  </w:num>
  <w:num w:numId="19">
    <w:abstractNumId w:val="33"/>
  </w:num>
  <w:num w:numId="20">
    <w:abstractNumId w:val="40"/>
  </w:num>
  <w:num w:numId="21">
    <w:abstractNumId w:val="28"/>
  </w:num>
  <w:num w:numId="22">
    <w:abstractNumId w:val="47"/>
  </w:num>
  <w:num w:numId="2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2"/>
  </w:num>
  <w:num w:numId="26">
    <w:abstractNumId w:val="10"/>
  </w:num>
  <w:num w:numId="27">
    <w:abstractNumId w:val="50"/>
  </w:num>
  <w:num w:numId="28">
    <w:abstractNumId w:val="32"/>
  </w:num>
  <w:num w:numId="29">
    <w:abstractNumId w:val="38"/>
  </w:num>
  <w:num w:numId="30">
    <w:abstractNumId w:val="49"/>
  </w:num>
  <w:num w:numId="31">
    <w:abstractNumId w:val="20"/>
  </w:num>
  <w:num w:numId="32">
    <w:abstractNumId w:val="7"/>
  </w:num>
  <w:num w:numId="33">
    <w:abstractNumId w:val="11"/>
  </w:num>
  <w:num w:numId="34">
    <w:abstractNumId w:val="19"/>
  </w:num>
  <w:num w:numId="35">
    <w:abstractNumId w:val="21"/>
  </w:num>
  <w:num w:numId="36">
    <w:abstractNumId w:val="17"/>
  </w:num>
  <w:num w:numId="37">
    <w:abstractNumId w:val="51"/>
  </w:num>
  <w:num w:numId="38">
    <w:abstractNumId w:val="39"/>
  </w:num>
  <w:num w:numId="39">
    <w:abstractNumId w:val="16"/>
  </w:num>
  <w:num w:numId="40">
    <w:abstractNumId w:val="31"/>
  </w:num>
  <w:num w:numId="41">
    <w:abstractNumId w:val="18"/>
  </w:num>
  <w:num w:numId="42">
    <w:abstractNumId w:val="5"/>
  </w:num>
  <w:num w:numId="43">
    <w:abstractNumId w:val="34"/>
  </w:num>
  <w:num w:numId="44">
    <w:abstractNumId w:val="44"/>
  </w:num>
  <w:num w:numId="45">
    <w:abstractNumId w:val="15"/>
  </w:num>
  <w:num w:numId="46">
    <w:abstractNumId w:val="43"/>
  </w:num>
  <w:num w:numId="47">
    <w:abstractNumId w:val="30"/>
  </w:num>
  <w:num w:numId="48">
    <w:abstractNumId w:val="1"/>
  </w:num>
  <w:num w:numId="49">
    <w:abstractNumId w:val="0"/>
  </w:num>
  <w:num w:numId="50">
    <w:abstractNumId w:val="41"/>
  </w:num>
  <w:num w:numId="51">
    <w:abstractNumId w:val="45"/>
  </w:num>
  <w:num w:numId="52">
    <w:abstractNumId w:val="23"/>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4F55"/>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D3891"/>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D6B7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33E2"/>
    <w:rsid w:val="005D6865"/>
    <w:rsid w:val="005D710A"/>
    <w:rsid w:val="005D76BF"/>
    <w:rsid w:val="005E40C0"/>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1083"/>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0FE9"/>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04B3"/>
    <w:rsid w:val="00781160"/>
    <w:rsid w:val="007845B5"/>
    <w:rsid w:val="00785BA5"/>
    <w:rsid w:val="007863C4"/>
    <w:rsid w:val="00786509"/>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31F1"/>
    <w:rsid w:val="007F6AC3"/>
    <w:rsid w:val="008029E8"/>
    <w:rsid w:val="00805944"/>
    <w:rsid w:val="00807998"/>
    <w:rsid w:val="00812AF1"/>
    <w:rsid w:val="00814DFA"/>
    <w:rsid w:val="00815C04"/>
    <w:rsid w:val="0081632B"/>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B6BB3"/>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0D17"/>
    <w:rsid w:val="00A31E9C"/>
    <w:rsid w:val="00A32229"/>
    <w:rsid w:val="00A32987"/>
    <w:rsid w:val="00A3399F"/>
    <w:rsid w:val="00A346D4"/>
    <w:rsid w:val="00A35599"/>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47"/>
    <w:rsid w:val="00BF11AA"/>
    <w:rsid w:val="00BF34C8"/>
    <w:rsid w:val="00C02171"/>
    <w:rsid w:val="00C02F20"/>
    <w:rsid w:val="00C06199"/>
    <w:rsid w:val="00C10996"/>
    <w:rsid w:val="00C121B7"/>
    <w:rsid w:val="00C124D1"/>
    <w:rsid w:val="00C15953"/>
    <w:rsid w:val="00C22C7A"/>
    <w:rsid w:val="00C22D80"/>
    <w:rsid w:val="00C234B0"/>
    <w:rsid w:val="00C33DF9"/>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68C"/>
    <w:rsid w:val="00D91E74"/>
    <w:rsid w:val="00D92C3A"/>
    <w:rsid w:val="00DA4167"/>
    <w:rsid w:val="00DB56C4"/>
    <w:rsid w:val="00DC102C"/>
    <w:rsid w:val="00DC60AB"/>
    <w:rsid w:val="00DC7F64"/>
    <w:rsid w:val="00DD319A"/>
    <w:rsid w:val="00DE16C9"/>
    <w:rsid w:val="00DE51CC"/>
    <w:rsid w:val="00DF18F0"/>
    <w:rsid w:val="00DF1DAB"/>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3">
    <w:name w:val="머리글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4">
    <w:name w:val="바닥글 Char"/>
    <w:basedOn w:val="a0"/>
    <w:link w:val="ac"/>
    <w:uiPriority w:val="99"/>
    <w:rsid w:val="00FE429F"/>
    <w:rPr>
      <w:sz w:val="18"/>
      <w:szCs w:val="18"/>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4.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3.vsdx"/><Relationship Id="rId20"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vsdx"/><Relationship Id="rId22" Type="http://schemas.openxmlformats.org/officeDocument/2006/relationships/package" Target="embeddings/Microsoft_Visio_Drawing5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381F1C3-533B-44A7-B876-CD078BFA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11217</Words>
  <Characters>63937</Characters>
  <Application>Microsoft Office Word</Application>
  <DocSecurity>0</DocSecurity>
  <Lines>532</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75004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Jaehoon Chung (LGE)</cp:lastModifiedBy>
  <cp:revision>2</cp:revision>
  <dcterms:created xsi:type="dcterms:W3CDTF">2020-08-14T02:13:00Z</dcterms:created>
  <dcterms:modified xsi:type="dcterms:W3CDTF">2020-08-14T02:13:00Z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1597350804</vt:lpwstr>
  </property>
</Properties>
</file>