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宋体"/>
                <w:bCs/>
                <w:sz w:val="20"/>
                <w:szCs w:val="20"/>
                <w:lang w:eastAsia="zh-CN"/>
              </w:rPr>
            </w:pPr>
            <w:r w:rsidRPr="007D679A">
              <w:rPr>
                <w:rFonts w:eastAsia="宋体"/>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宋体"/>
                <w:bCs/>
                <w:sz w:val="20"/>
                <w:szCs w:val="20"/>
                <w:lang w:eastAsia="zh-CN"/>
              </w:rPr>
            </w:pPr>
            <w:r w:rsidRPr="007D679A">
              <w:rPr>
                <w:rFonts w:eastAsia="宋体"/>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rFonts w:hint="eastAsia"/>
                <w:lang w:eastAsia="zh-CN"/>
              </w:rPr>
            </w:pPr>
            <w:r>
              <w:rPr>
                <w:lang w:eastAsia="zh-CN"/>
              </w:rPr>
              <w:t>Huawei/HiSilicon</w:t>
            </w:r>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gNB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gNB coordination of scheduling in both time domain and frequency domain. It is unacceptable from NW perspective. Therefore, option 2 is the only choice to us. </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Support DAPS+mTRP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w:t>
            </w:r>
            <w:r>
              <w:lastRenderedPageBreak/>
              <w:t xml:space="preserve">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w:t>
            </w:r>
            <w:r>
              <w:rPr>
                <w:rFonts w:hint="eastAsia"/>
                <w:lang w:eastAsia="zh-CN"/>
              </w:rPr>
              <w:lastRenderedPageBreak/>
              <w:t>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TP1-11 is clear for both single DCI and multi-DCI cases in mTRP.</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lastRenderedPageBreak/>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w:t>
            </w:r>
            <w:r w:rsidR="00F55BF5">
              <w:rPr>
                <w:lang w:eastAsia="zh-CN"/>
              </w:rPr>
              <w:t>c</w:t>
            </w:r>
            <w:r>
              <w:rPr>
                <w:lang w:eastAsia="zh-CN"/>
              </w:rPr>
              <w:t>ell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lastRenderedPageBreak/>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lastRenderedPageBreak/>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As for the exact method to handle mTRP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lastRenderedPageBreak/>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lastRenderedPageBreak/>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CORESETPoolIndex=0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lang w:eastAsia="zh-CN"/>
              </w:rPr>
              <w:t>’</w:t>
            </w:r>
            <w:r>
              <w:rPr>
                <w:rFonts w:hint="eastAsia"/>
                <w:lang w:eastAsia="zh-CN"/>
              </w:rPr>
              <w:t xml:space="preserve">t see there needs additional UE complexity to support source cell with mTRP during DAPS handover if the UE has already supported mTRP,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lastRenderedPageBreak/>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For mDCI based mTRP, UE is only aware of the CORESETPoolIndex</w:t>
            </w:r>
            <w:r w:rsidR="007A76AC">
              <w:rPr>
                <w:lang w:eastAsia="zh-CN"/>
              </w:rPr>
              <w:t>,</w:t>
            </w:r>
            <w:r>
              <w:rPr>
                <w:lang w:eastAsia="zh-CN"/>
              </w:rPr>
              <w:t xml:space="preserve"> </w:t>
            </w:r>
            <w:r w:rsidR="007A76AC">
              <w:rPr>
                <w:lang w:eastAsia="zh-CN"/>
              </w:rPr>
              <w:t>either 0 or 1 is assumed for CORESETPoolIndex irrespective of option 2A or 2B and this index does not bind to a specific physical TRP. For a single DCI based mTRP,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lastRenderedPageBreak/>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r w:rsidRPr="00954734">
              <w:rPr>
                <w:lang w:eastAsia="zh-CN"/>
              </w:rPr>
              <w:t xml:space="preserve">CORESETPoolIndex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mTRP with non-ideal backhaul case, which means the TRP physical locationsc are different, each CORESETPoolIndex must link to a physical TRP, that’s to say, UE receives the direct beam from specific TRP with a CORESETPoolIndex. You can’t change the CORESETPoolIndex to another TRP without signaling, the beam is different from different TRP. With option 2a, UE </w:t>
            </w:r>
            <w:r w:rsidRPr="007F499D">
              <w:rPr>
                <w:lang w:eastAsia="zh-CN"/>
              </w:rPr>
              <w:t>assume</w:t>
            </w:r>
            <w:r>
              <w:rPr>
                <w:lang w:eastAsia="zh-CN"/>
              </w:rPr>
              <w:t xml:space="preserve">s to receive the PDSCH from TPR with </w:t>
            </w:r>
            <w:r w:rsidRPr="007F499D">
              <w:rPr>
                <w:i/>
                <w:iCs/>
                <w:lang w:eastAsia="zh-CN"/>
              </w:rPr>
              <w:t>CORESETPoolIndex</w:t>
            </w:r>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r w:rsidR="00AB3EE1">
        <w:rPr>
          <w:rFonts w:ascii="Times New Roman" w:hAnsi="Times New Roman"/>
          <w:sz w:val="22"/>
          <w:szCs w:val="22"/>
          <w:lang w:eastAsia="zh-CN"/>
        </w:rPr>
        <w:t>may be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B81CF4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 xml:space="preserve">MTK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32BA843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rFonts w:hint="eastAsia"/>
                <w:lang w:eastAsia="zh-CN"/>
              </w:rPr>
            </w:pPr>
            <w:r>
              <w:rPr>
                <w:rFonts w:hint="eastAsia"/>
                <w:lang w:eastAsia="zh-CN"/>
              </w:rPr>
              <w:t>H</w:t>
            </w:r>
            <w:r>
              <w:rPr>
                <w:lang w:eastAsia="zh-CN"/>
              </w:rPr>
              <w:t>uawei, HiSilicon</w:t>
            </w:r>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r w:rsidRPr="009C2041">
        <w:rPr>
          <w:i/>
          <w:iCs/>
          <w:color w:val="A6A6A6" w:themeColor="background1" w:themeShade="A6"/>
        </w:rPr>
        <w:t>simultaneousRxTxDAPS,</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Tdoc,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r w:rsidRPr="00C7174F">
              <w:rPr>
                <w:i/>
                <w:color w:val="FF0000"/>
                <w:highlight w:val="yellow"/>
              </w:rPr>
              <w:t>simultaneousRxTxInterBandENDC, simultaneousRxTxInterBandCA or simultaneousRxTxSUL</w:t>
            </w:r>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03AF1A8" w:rsidR="009E17F3" w:rsidRDefault="009E17F3" w:rsidP="00972FDA">
            <w:pPr>
              <w:overflowPunct/>
              <w:autoSpaceDE/>
              <w:autoSpaceDN/>
              <w:adjustRightInd/>
              <w:spacing w:after="0"/>
              <w:textAlignment w:val="auto"/>
              <w:rPr>
                <w:lang w:eastAsia="zh-CN"/>
              </w:rPr>
            </w:pPr>
            <w:r>
              <w:rPr>
                <w:lang w:eastAsia="zh-CN"/>
              </w:rPr>
              <w:t xml:space="preserve">We are OK with the text of TP#1-15,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bookmarkStart w:id="9" w:name="_GoBack" w:colFirst="0" w:colLast="0"/>
            <w:r>
              <w:rPr>
                <w:rFonts w:hint="eastAsia"/>
                <w:lang w:eastAsia="zh-CN"/>
              </w:rPr>
              <w:t>H</w:t>
            </w:r>
            <w:r>
              <w:rPr>
                <w:lang w:eastAsia="zh-CN"/>
              </w:rPr>
              <w:t>uawei/HiSilicon</w:t>
            </w:r>
          </w:p>
        </w:tc>
        <w:tc>
          <w:tcPr>
            <w:tcW w:w="7920" w:type="dxa"/>
          </w:tcPr>
          <w:p w14:paraId="36EFF5A3" w14:textId="102AA6F5"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 xml:space="preserve">k with TP1-15 in principle. DAPS HO is not a perfect term to me. I suggest either deleting HO or spelling out HO. </w:t>
            </w:r>
          </w:p>
        </w:tc>
      </w:tr>
      <w:bookmarkEnd w:id="9"/>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t>#TP1-15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RAN2 has Implemented 21-1a as part of BandCombinationList</w:t>
      </w:r>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CA-ParametersNR (which is per band combination, indicated for each band in BandCombinationList)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EF6B3" w14:textId="77777777" w:rsidR="00AB5498" w:rsidRDefault="00AB5498">
      <w:pPr>
        <w:spacing w:after="0" w:line="240" w:lineRule="auto"/>
      </w:pPr>
      <w:r>
        <w:separator/>
      </w:r>
    </w:p>
  </w:endnote>
  <w:endnote w:type="continuationSeparator" w:id="0">
    <w:p w14:paraId="05160C21" w14:textId="77777777" w:rsidR="00AB5498" w:rsidRDefault="00AB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D" w14:textId="77777777" w:rsidR="00860C56" w:rsidRDefault="0086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860C56" w:rsidRDefault="00860C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F" w14:textId="77777777" w:rsidR="00860C56" w:rsidRDefault="00860C56">
    <w:pPr>
      <w:pStyle w:val="Footer"/>
      <w:ind w:right="360"/>
    </w:pPr>
    <w:r>
      <w:rPr>
        <w:rStyle w:val="PageNumber"/>
      </w:rPr>
      <w:fldChar w:fldCharType="begin"/>
    </w:r>
    <w:r>
      <w:rPr>
        <w:rStyle w:val="PageNumber"/>
      </w:rPr>
      <w:instrText xml:space="preserve"> PAGE </w:instrText>
    </w:r>
    <w:r>
      <w:rPr>
        <w:rStyle w:val="PageNumber"/>
      </w:rPr>
      <w:fldChar w:fldCharType="separate"/>
    </w:r>
    <w:r w:rsidR="00281AA8">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1AA8">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7266C" w14:textId="77777777" w:rsidR="00AB5498" w:rsidRDefault="00AB5498">
      <w:pPr>
        <w:spacing w:after="0" w:line="240" w:lineRule="auto"/>
      </w:pPr>
      <w:r>
        <w:separator/>
      </w:r>
    </w:p>
  </w:footnote>
  <w:footnote w:type="continuationSeparator" w:id="0">
    <w:p w14:paraId="3C5D8E92" w14:textId="77777777" w:rsidR="00AB5498" w:rsidRDefault="00AB5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B" w14:textId="77777777" w:rsidR="00860C56" w:rsidRDefault="00860C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1F085A3F-78A3-4557-8D9F-D6B6A68A4FF8}">
  <ds:schemaRefs>
    <ds:schemaRef ds:uri="http://schemas.openxmlformats.org/officeDocument/2006/bibliography"/>
  </ds:schemaRefs>
</ds:datastoreItem>
</file>

<file path=customXml/itemProps7.xml><?xml version="1.0" encoding="utf-8"?>
<ds:datastoreItem xmlns:ds="http://schemas.openxmlformats.org/officeDocument/2006/customXml" ds:itemID="{E52E5D8F-6DA4-4E0D-9847-0B4A1CBF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19</TotalTime>
  <Pages>46</Pages>
  <Words>19086</Words>
  <Characters>108795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Huawei</cp:lastModifiedBy>
  <cp:revision>8</cp:revision>
  <cp:lastPrinted>2011-11-09T07:49:00Z</cp:lastPrinted>
  <dcterms:created xsi:type="dcterms:W3CDTF">2020-08-26T09:56:00Z</dcterms:created>
  <dcterms:modified xsi:type="dcterms:W3CDTF">2020-08-26T12:52:00Z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