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A972E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A972E9">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r w:rsidR="00AB3EE1">
        <w:rPr>
          <w:rFonts w:ascii="Times New Roman" w:hAnsi="Times New Roman"/>
          <w:sz w:val="22"/>
          <w:szCs w:val="22"/>
          <w:lang w:eastAsia="zh-CN"/>
        </w:rPr>
        <w:t>may be</w:t>
      </w:r>
      <w:proofErr w:type="spell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3B81CF46"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 xml:space="preserve">MTK </w:t>
      </w:r>
      <w:r w:rsidR="009E0A06" w:rsidRPr="009E0A06">
        <w:rPr>
          <w:rFonts w:ascii="Times New Roman" w:hAnsi="Times New Roman"/>
          <w:b/>
          <w:bCs/>
          <w:color w:val="FF0000"/>
          <w:sz w:val="22"/>
          <w:szCs w:val="22"/>
          <w:lang w:eastAsia="zh-CN"/>
        </w:rPr>
        <w:t>[</w:t>
      </w:r>
      <w:r w:rsidR="002B3283" w:rsidRPr="009E0A06">
        <w:rPr>
          <w:rFonts w:ascii="Times New Roman" w:hAnsi="Times New Roman"/>
          <w:b/>
          <w:bCs/>
          <w:color w:val="FF0000"/>
          <w:sz w:val="22"/>
          <w:szCs w:val="22"/>
          <w:lang w:eastAsia="zh-CN"/>
        </w:rPr>
        <w:t xml:space="preserve">Please put your preference </w:t>
      </w:r>
      <w:r w:rsidR="002B3283">
        <w:rPr>
          <w:rFonts w:ascii="Times New Roman" w:hAnsi="Times New Roman"/>
          <w:b/>
          <w:bCs/>
          <w:color w:val="FF0000"/>
          <w:sz w:val="22"/>
          <w:szCs w:val="22"/>
          <w:lang w:eastAsia="zh-CN"/>
        </w:rPr>
        <w:t xml:space="preserve">directly </w:t>
      </w:r>
      <w:r w:rsidR="002B3283" w:rsidRPr="009E0A06">
        <w:rPr>
          <w:rFonts w:ascii="Times New Roman" w:hAnsi="Times New Roman"/>
          <w:b/>
          <w:bCs/>
          <w:color w:val="FF0000"/>
          <w:sz w:val="22"/>
          <w:szCs w:val="22"/>
          <w:lang w:eastAsia="zh-CN"/>
        </w:rPr>
        <w:t>here]</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6CCCEBF3"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6703E">
        <w:rPr>
          <w:rFonts w:ascii="Times New Roman" w:hAnsi="Times New Roman"/>
          <w:sz w:val="22"/>
          <w:szCs w:val="22"/>
          <w:lang w:eastAsia="zh-CN"/>
        </w:rPr>
        <w:t xml:space="preserve"> [Nokia]</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4B542FB1" w14:textId="20019DF3" w:rsidR="009E0A06"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 Option 1, i.e., do nothing, is our first preference. In general, capabilities are independent</w:t>
            </w:r>
          </w:p>
        </w:tc>
      </w:tr>
      <w:tr w:rsidR="006802B7" w14:paraId="2E7FB5D7" w14:textId="77777777" w:rsidTr="0096703E">
        <w:trPr>
          <w:trHeight w:val="808"/>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r w:rsidR="0096703E" w14:paraId="068AF9D5" w14:textId="77777777" w:rsidTr="00A972E9">
        <w:trPr>
          <w:trHeight w:val="209"/>
        </w:trPr>
        <w:tc>
          <w:tcPr>
            <w:tcW w:w="1885" w:type="dxa"/>
            <w:tcMar>
              <w:top w:w="0" w:type="dxa"/>
              <w:left w:w="108" w:type="dxa"/>
              <w:bottom w:w="0" w:type="dxa"/>
              <w:right w:w="108" w:type="dxa"/>
            </w:tcMar>
          </w:tcPr>
          <w:p w14:paraId="0E640995" w14:textId="316A0160" w:rsidR="0096703E" w:rsidRDefault="0096703E" w:rsidP="00A972E9">
            <w:pPr>
              <w:spacing w:after="0"/>
              <w:rPr>
                <w:lang w:eastAsia="zh-CN"/>
              </w:rPr>
            </w:pPr>
            <w:bookmarkStart w:id="4" w:name="_GoBack" w:colFirst="0" w:colLast="1"/>
            <w:r>
              <w:rPr>
                <w:lang w:eastAsia="zh-CN"/>
              </w:rPr>
              <w:t xml:space="preserve">Nokia </w:t>
            </w:r>
          </w:p>
        </w:tc>
        <w:tc>
          <w:tcPr>
            <w:tcW w:w="7920" w:type="dxa"/>
          </w:tcPr>
          <w:p w14:paraId="2ED04244" w14:textId="1629E460" w:rsidR="0096703E" w:rsidRDefault="0096703E" w:rsidP="00A972E9">
            <w:pPr>
              <w:overflowPunct/>
              <w:autoSpaceDE/>
              <w:autoSpaceDN/>
              <w:adjustRightInd/>
              <w:spacing w:after="0"/>
              <w:textAlignment w:val="auto"/>
              <w:rPr>
                <w:lang w:eastAsia="zh-CN"/>
              </w:rPr>
            </w:pPr>
            <w:r>
              <w:rPr>
                <w:lang w:eastAsia="zh-CN"/>
              </w:rPr>
              <w:t xml:space="preserve"> With the assumption that option 1 is out of the table, we would prefer option 2B.</w:t>
            </w:r>
          </w:p>
        </w:tc>
      </w:tr>
      <w:bookmarkEnd w:id="4"/>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5" w:name="_Toc36026509"/>
            <w:bookmarkStart w:id="6" w:name="_Toc19796380"/>
            <w:bookmarkStart w:id="7" w:name="_Toc29230250"/>
            <w:bookmarkStart w:id="8" w:name="_Toc45107348"/>
            <w:bookmarkStart w:id="9" w:name="_Toc26459606"/>
            <w:r>
              <w:t>4.3.2</w:t>
            </w:r>
            <w:r>
              <w:tab/>
              <w:t>Slots</w:t>
            </w:r>
            <w:bookmarkEnd w:id="5"/>
            <w:bookmarkEnd w:id="6"/>
            <w:bookmarkEnd w:id="7"/>
            <w:bookmarkEnd w:id="8"/>
            <w:bookmarkEnd w:id="9"/>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r w:rsidR="009E17F3" w14:paraId="6E00EF98" w14:textId="77777777" w:rsidTr="00A972E9">
        <w:trPr>
          <w:trHeight w:val="209"/>
        </w:trPr>
        <w:tc>
          <w:tcPr>
            <w:tcW w:w="1885" w:type="dxa"/>
            <w:tcMar>
              <w:top w:w="0" w:type="dxa"/>
              <w:left w:w="108" w:type="dxa"/>
              <w:bottom w:w="0" w:type="dxa"/>
              <w:right w:w="108" w:type="dxa"/>
            </w:tcMar>
          </w:tcPr>
          <w:p w14:paraId="1CF154F7" w14:textId="268BB368" w:rsidR="009E17F3" w:rsidRDefault="009E17F3" w:rsidP="00A972E9">
            <w:pPr>
              <w:spacing w:after="0"/>
              <w:rPr>
                <w:lang w:eastAsia="zh-CN"/>
              </w:rPr>
            </w:pPr>
            <w:r>
              <w:rPr>
                <w:lang w:eastAsia="zh-CN"/>
              </w:rPr>
              <w:t>Nokia</w:t>
            </w:r>
          </w:p>
        </w:tc>
        <w:tc>
          <w:tcPr>
            <w:tcW w:w="7920" w:type="dxa"/>
          </w:tcPr>
          <w:p w14:paraId="71553C8D" w14:textId="103AF1A8" w:rsidR="009E17F3" w:rsidRDefault="009E17F3" w:rsidP="00972FDA">
            <w:pPr>
              <w:overflowPunct/>
              <w:autoSpaceDE/>
              <w:autoSpaceDN/>
              <w:adjustRightInd/>
              <w:spacing w:after="0"/>
              <w:textAlignment w:val="auto"/>
              <w:rPr>
                <w:lang w:eastAsia="zh-CN"/>
              </w:rPr>
            </w:pPr>
            <w:r>
              <w:rPr>
                <w:lang w:eastAsia="zh-CN"/>
              </w:rPr>
              <w:t xml:space="preserve">We are OK with the text of TP#1-15, while TP1#1-14 text would be also OK. A note that it might be good to leave the exact placement of the text in section 4.3.2 to the specification editor.  </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600B0D11" w:rsidR="004570C3" w:rsidRDefault="004570C3" w:rsidP="004570C3">
      <w:pPr>
        <w:pStyle w:val="Heading4"/>
        <w:rPr>
          <w:lang w:eastAsia="zh-CN"/>
        </w:rPr>
      </w:pPr>
      <w:r>
        <w:rPr>
          <w:lang w:eastAsia="zh-CN"/>
        </w:rPr>
        <w:t>#TP1-15</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BandParameters-v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supportedSRS-TxPortSwitch-v</w:t>
      </w:r>
      <w:proofErr w:type="gramStart"/>
      <w:r>
        <w:rPr>
          <w:rFonts w:ascii="Courier New" w:hAnsi="Courier New" w:cs="Courier New"/>
          <w:color w:val="000000"/>
          <w:sz w:val="16"/>
          <w:szCs w:val="16"/>
          <w:lang w:eastAsia="en-GB"/>
        </w:rPr>
        <w:t xml:space="preserve">1610  </w:t>
      </w:r>
      <w:r>
        <w:rPr>
          <w:rFonts w:ascii="Courier New" w:hAnsi="Courier New" w:cs="Courier New"/>
          <w:color w:val="993366"/>
          <w:sz w:val="16"/>
          <w:szCs w:val="16"/>
          <w:lang w:eastAsia="en-GB"/>
        </w:rPr>
        <w:t>ENUMERATED</w:t>
      </w:r>
      <w:proofErr w:type="gramEnd"/>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 xml:space="preserve">long}  </w:t>
      </w:r>
      <w:r>
        <w:rPr>
          <w:rFonts w:ascii="Courier New" w:hAnsi="Courier New" w:cs="Courier New"/>
          <w:color w:val="993366"/>
          <w:sz w:val="16"/>
          <w:szCs w:val="16"/>
          <w:lang w:eastAsia="en-GB"/>
        </w:rPr>
        <w:t>OPTIONAL</w:t>
      </w:r>
      <w:proofErr w:type="gramEnd"/>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CA-ParametersNR-v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proofErr w:type="gramStart"/>
      <w:r>
        <w:rPr>
          <w:rFonts w:ascii="Courier New" w:hAnsi="Courier New" w:cs="Courier New"/>
          <w:color w:val="000000"/>
          <w:sz w:val="16"/>
          <w:szCs w:val="16"/>
          <w:lang w:eastAsia="en-GB"/>
        </w:rPr>
        <w:t>SCS,lowerA</w:t>
      </w:r>
      <w:proofErr w:type="spellEnd"/>
      <w:proofErr w:type="gram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1..</w:t>
      </w:r>
      <w:proofErr w:type="gramEnd"/>
      <w:r>
        <w:rPr>
          <w:rFonts w:ascii="Courier New" w:hAnsi="Courier New" w:cs="Courier New"/>
          <w:color w:val="000000"/>
          <w:sz w:val="16"/>
          <w:szCs w:val="16"/>
          <w:lang w:eastAsia="en-GB"/>
        </w:rPr>
        <w:t xml:space="preserve">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long}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E0621" w14:textId="77777777" w:rsidR="0073431C" w:rsidRDefault="0073431C">
      <w:pPr>
        <w:spacing w:after="0" w:line="240" w:lineRule="auto"/>
      </w:pPr>
      <w:r>
        <w:separator/>
      </w:r>
    </w:p>
  </w:endnote>
  <w:endnote w:type="continuationSeparator" w:id="0">
    <w:p w14:paraId="1E181829" w14:textId="77777777" w:rsidR="0073431C" w:rsidRDefault="0073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860C56" w:rsidRDefault="0086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860C56" w:rsidRDefault="00860C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860C56" w:rsidRDefault="00860C56">
    <w:pPr>
      <w:pStyle w:val="Footer"/>
      <w:ind w:right="360"/>
    </w:pPr>
    <w:r>
      <w:rPr>
        <w:rStyle w:val="PageNumber"/>
      </w:rPr>
      <w:fldChar w:fldCharType="begin"/>
    </w:r>
    <w:r>
      <w:rPr>
        <w:rStyle w:val="PageNumber"/>
      </w:rPr>
      <w:instrText xml:space="preserve"> PAGE </w:instrText>
    </w:r>
    <w:r>
      <w:rPr>
        <w:rStyle w:val="PageNumber"/>
      </w:rPr>
      <w:fldChar w:fldCharType="separate"/>
    </w:r>
    <w:r w:rsidR="006802B7">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02B7">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A1756" w14:textId="77777777" w:rsidR="0073431C" w:rsidRDefault="0073431C">
      <w:pPr>
        <w:spacing w:after="0" w:line="240" w:lineRule="auto"/>
      </w:pPr>
      <w:r>
        <w:separator/>
      </w:r>
    </w:p>
  </w:footnote>
  <w:footnote w:type="continuationSeparator" w:id="0">
    <w:p w14:paraId="50BB530D" w14:textId="77777777" w:rsidR="0073431C" w:rsidRDefault="00734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860C56" w:rsidRDefault="00860C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03E"/>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7F3"/>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599FF9D-2625-4E88-B1F6-AF5BD11C4CC8}">
  <ds:schemaRefs>
    <ds:schemaRef ds:uri="http://schemas.openxmlformats.org/officeDocument/2006/bibliography"/>
  </ds:schemaRefs>
</ds:datastoreItem>
</file>

<file path=customXml/itemProps7.xml><?xml version="1.0" encoding="utf-8"?>
<ds:datastoreItem xmlns:ds="http://schemas.openxmlformats.org/officeDocument/2006/customXml" ds:itemID="{E18F3EC5-520A-4447-BF9F-7AA11CFA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46</Pages>
  <Words>20049</Words>
  <Characters>107000</Characters>
  <Application>Microsoft Office Word</Application>
  <DocSecurity>0</DocSecurity>
  <Lines>891</Lines>
  <Paragraphs>253</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Kaikkonen, Jorma (Nokia - FI/Oulu)</cp:lastModifiedBy>
  <cp:revision>2</cp:revision>
  <cp:lastPrinted>2011-11-09T07:49:00Z</cp:lastPrinted>
  <dcterms:created xsi:type="dcterms:W3CDTF">2020-08-26T09:56:00Z</dcterms:created>
  <dcterms:modified xsi:type="dcterms:W3CDTF">2020-08-26T09:56:00Z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