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proofErr w:type="spellStart"/>
      <w:r>
        <w:rPr>
          <w:lang w:eastAsia="zh-CN"/>
        </w:rPr>
        <w:t>gNB</w:t>
      </w:r>
      <w:proofErr w:type="spell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w:t>
            </w:r>
            <w:proofErr w:type="spellStart"/>
            <w:r>
              <w:rPr>
                <w:lang w:eastAsia="zh-TW"/>
              </w:rPr>
              <w:t>iguration</w:t>
            </w:r>
            <w:proofErr w:type="spellEnd"/>
            <w:r>
              <w:rPr>
                <w:lang w:eastAsia="zh-TW"/>
              </w:rPr>
              <w:t xml:space="preserve">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The UE does not exp</w:t>
            </w:r>
            <w:proofErr w:type="spellStart"/>
            <w:r>
              <w:rPr>
                <w:lang w:eastAsia="zh-TW"/>
              </w:rPr>
              <w:t>ect</w:t>
            </w:r>
            <w:proofErr w:type="spellEnd"/>
            <w:r>
              <w:rPr>
                <w:lang w:eastAsia="zh-TW"/>
              </w:rPr>
              <w:t xml:space="preserve">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w:t>
            </w:r>
            <w:proofErr w:type="spellStart"/>
            <w:r>
              <w:rPr>
                <w:lang w:eastAsia="zh-TW"/>
              </w:rPr>
              <w:t>iguration</w:t>
            </w:r>
            <w:proofErr w:type="spellEnd"/>
            <w:r>
              <w:rPr>
                <w:lang w:eastAsia="zh-TW"/>
              </w:rPr>
              <w:t xml:space="preserve">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The UE does not expect to cancel a transmis</w:t>
            </w:r>
            <w:proofErr w:type="spellStart"/>
            <w:r>
              <w:rPr>
                <w:lang w:eastAsia="zh-TW"/>
              </w:rPr>
              <w:t>sion</w:t>
            </w:r>
            <w:proofErr w:type="spellEnd"/>
            <w:r>
              <w:rPr>
                <w:lang w:eastAsia="zh-TW"/>
              </w:rPr>
              <w:t xml:space="preserve">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 xml:space="preserve">the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w:t>
            </w:r>
            <w:proofErr w:type="spellStart"/>
            <w:r>
              <w:t>rst</w:t>
            </w:r>
            <w:proofErr w:type="spellEnd"/>
            <w:r>
              <w:t xml:space="preserve">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 xml:space="preserve">Huawei, </w:t>
            </w:r>
            <w:proofErr w:type="spellStart"/>
            <w:r>
              <w:t>HiSilicon</w:t>
            </w:r>
            <w:proofErr w:type="spellEnd"/>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 xml:space="preserve">Case (3) – behavior C for the case no UL </w:t>
            </w:r>
            <w:proofErr w:type="spellStart"/>
            <w:r>
              <w:rPr>
                <w:lang w:eastAsia="zh-CN"/>
              </w:rPr>
              <w:t>Tx</w:t>
            </w:r>
            <w:proofErr w:type="spellEnd"/>
            <w:r>
              <w:rPr>
                <w:lang w:eastAsia="zh-CN"/>
              </w:rPr>
              <w:t xml:space="preserve"> overlap. However, it is undefined for the case UL </w:t>
            </w:r>
            <w:proofErr w:type="spellStart"/>
            <w:r>
              <w:rPr>
                <w:lang w:eastAsia="zh-CN"/>
              </w:rPr>
              <w:t>Tx</w:t>
            </w:r>
            <w:proofErr w:type="spellEnd"/>
            <w:r>
              <w:rPr>
                <w:lang w:eastAsia="zh-CN"/>
              </w:rPr>
              <w:t xml:space="preserve">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TW"/>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 </w:t>
            </w:r>
            <w:proofErr w:type="spellStart"/>
            <w:r>
              <w:rPr>
                <w:lang w:eastAsia="zh-CN"/>
              </w:rPr>
              <w:t>Similarily</w:t>
            </w:r>
            <w:proofErr w:type="spellEnd"/>
            <w:r>
              <w:rPr>
                <w:lang w:eastAsia="zh-CN"/>
              </w:rPr>
              <w:t xml:space="preserve">, the NW would have to turn of </w:t>
            </w:r>
            <w:proofErr w:type="spellStart"/>
            <w:r>
              <w:rPr>
                <w:lang w:eastAsia="zh-CN"/>
              </w:rPr>
              <w:t>mTRP</w:t>
            </w:r>
            <w:proofErr w:type="spellEnd"/>
            <w:r>
              <w:rPr>
                <w:lang w:eastAsia="zh-CN"/>
              </w:rPr>
              <w:t xml:space="preserve">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 xml:space="preserve">For issue #4 (the </w:t>
            </w:r>
            <w:proofErr w:type="spellStart"/>
            <w:r>
              <w:rPr>
                <w:iCs/>
                <w:color w:val="0070C0"/>
                <w:lang w:eastAsia="zh-CN"/>
              </w:rPr>
              <w:t>mTRP+DAPS</w:t>
            </w:r>
            <w:proofErr w:type="spellEnd"/>
            <w:r>
              <w:rPr>
                <w:iCs/>
                <w:color w:val="0070C0"/>
                <w:lang w:eastAsia="zh-CN"/>
              </w:rPr>
              <w:t xml:space="preserve"> issue), Ericsson would just like to highlight that DAPS operation starts and ends with RRC reconfigurations. In these RRC reconfigurations, the NW can change the configuration w.r.t. </w:t>
            </w:r>
            <w:proofErr w:type="spellStart"/>
            <w:r>
              <w:rPr>
                <w:iCs/>
                <w:color w:val="0070C0"/>
                <w:lang w:eastAsia="zh-CN"/>
              </w:rPr>
              <w:t>mTRP</w:t>
            </w:r>
            <w:proofErr w:type="spellEnd"/>
            <w:r>
              <w:rPr>
                <w:iCs/>
                <w:color w:val="0070C0"/>
                <w:lang w:eastAsia="zh-CN"/>
              </w:rPr>
              <w:t xml:space="preserve">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 xml:space="preserve">uawei, </w:t>
            </w:r>
            <w:proofErr w:type="spellStart"/>
            <w:r>
              <w:rPr>
                <w:lang w:eastAsia="zh-CN"/>
              </w:rPr>
              <w:t>HiSilicon</w:t>
            </w:r>
            <w:proofErr w:type="spellEnd"/>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 xml:space="preserve">We support TP #1-9 to tackle the issue of simultaneous DAPS HO and </w:t>
            </w:r>
            <w:proofErr w:type="spellStart"/>
            <w:r>
              <w:rPr>
                <w:lang w:eastAsia="zh-CN"/>
              </w:rPr>
              <w:t>mTRP</w:t>
            </w:r>
            <w:proofErr w:type="spellEnd"/>
            <w:r>
              <w:rPr>
                <w:lang w:eastAsia="zh-CN"/>
              </w:rPr>
              <w:t>.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Pr>
                <w:i/>
                <w:color w:val="FF0000"/>
                <w:u w:val="single"/>
              </w:rPr>
              <w:t xml:space="preserve">,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 xml:space="preserve">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
              </w:rPr>
              <w:t xml:space="preserve"> </w:t>
            </w:r>
            <w:r>
              <w:rPr>
                <w:iCs/>
              </w:rPr>
              <w:t xml:space="preserve">the gap will be applied. There may be a corner case where the UE supports simultaneous </w:t>
            </w:r>
            <w:proofErr w:type="spellStart"/>
            <w:r>
              <w:rPr>
                <w:iCs/>
              </w:rPr>
              <w:t>RxTx</w:t>
            </w:r>
            <w:proofErr w:type="spellEnd"/>
            <w:r>
              <w:rPr>
                <w:iCs/>
              </w:rPr>
              <w:t xml:space="preserve">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 xml:space="preserve">Huawei, </w:t>
            </w:r>
            <w:proofErr w:type="spellStart"/>
            <w:r>
              <w:t>HiSilicon</w:t>
            </w:r>
            <w:proofErr w:type="spellEnd"/>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proofErr w:type="spellStart"/>
            <w:r>
              <w:rPr>
                <w:lang w:eastAsia="zh-CN"/>
              </w:rPr>
              <w:t>HiSilicon</w:t>
            </w:r>
            <w:proofErr w:type="spellEnd"/>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w:t>
            </w:r>
            <w:proofErr w:type="spellStart"/>
            <w:r>
              <w:rPr>
                <w:lang w:eastAsia="zh-CN"/>
              </w:rPr>
              <w:t>can not</w:t>
            </w:r>
            <w:proofErr w:type="spellEnd"/>
            <w:r>
              <w:rPr>
                <w:lang w:eastAsia="zh-CN"/>
              </w:rPr>
              <w:t xml:space="preserve">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 xml:space="preserve">same frequency resource to source and target cell, the two transmissions interfere with each other and may possibly both become useless for </w:t>
            </w:r>
            <w:proofErr w:type="spellStart"/>
            <w:r>
              <w:rPr>
                <w:lang w:eastAsia="zh-CN"/>
              </w:rPr>
              <w:t>gNB</w:t>
            </w:r>
            <w:proofErr w:type="spellEnd"/>
            <w:r>
              <w:rPr>
                <w:lang w:eastAsia="zh-CN"/>
              </w:rPr>
              <w:t xml:space="preserve">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overlaps in the time domain,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 xml:space="preserve">when </w:t>
      </w:r>
      <w:proofErr w:type="spellStart"/>
      <w:r>
        <w:rPr>
          <w:rFonts w:ascii="Times New Roman" w:hAnsi="Times New Roman"/>
          <w:color w:val="00B0F0"/>
          <w:sz w:val="22"/>
          <w:szCs w:val="22"/>
          <w:u w:val="single"/>
          <w:lang w:eastAsia="zh-CN"/>
        </w:rPr>
        <w:t>Tx</w:t>
      </w:r>
      <w:proofErr w:type="spellEnd"/>
      <w:r>
        <w:rPr>
          <w:rFonts w:ascii="Times New Roman" w:hAnsi="Times New Roman"/>
          <w:color w:val="00B0F0"/>
          <w:sz w:val="22"/>
          <w:szCs w:val="22"/>
          <w:u w:val="single"/>
          <w:lang w:eastAsia="zh-CN"/>
        </w:rPr>
        <w:t xml:space="preserve">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 xml:space="preserve">when </w:t>
      </w:r>
      <w:proofErr w:type="spellStart"/>
      <w:r>
        <w:rPr>
          <w:lang w:eastAsia="zh-CN"/>
        </w:rPr>
        <w:t>Tx</w:t>
      </w:r>
      <w:proofErr w:type="spellEnd"/>
      <w:r>
        <w:rPr>
          <w:lang w:eastAsia="zh-CN"/>
        </w:rPr>
        <w:t xml:space="preserve"> overlap</w:t>
      </w:r>
      <w:r>
        <w:rPr>
          <w:rFonts w:hint="eastAsia"/>
          <w:lang w:eastAsia="zh-CN"/>
        </w:rPr>
        <w:t xml:space="preserve">s in the time domain </w:t>
      </w:r>
      <w:r>
        <w:rPr>
          <w:rFonts w:hint="eastAsia"/>
          <w:color w:val="0070C0"/>
          <w:u w:val="single"/>
          <w:lang w:eastAsia="zh-CN"/>
        </w:rPr>
        <w:t>and frequency domain</w:t>
      </w:r>
      <w:r>
        <w:rPr>
          <w:lang w:eastAsia="zh-CN"/>
        </w:rPr>
        <w:t xml:space="preserve">, UE transmits only on target cell and drops the source cell transmission (source cell </w:t>
      </w:r>
      <w:proofErr w:type="spellStart"/>
      <w:r>
        <w:rPr>
          <w:lang w:eastAsia="zh-CN"/>
        </w:rPr>
        <w:t>Tx</w:t>
      </w:r>
      <w:proofErr w:type="spellEnd"/>
      <w:r>
        <w:rPr>
          <w:lang w:eastAsia="zh-CN"/>
        </w:rPr>
        <w:t xml:space="preserve">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bl>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companies had fundamental question on whether there should be any interaction between supporting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related capability. For example, if there is some joint operation with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and a set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what are able to support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w:t>
            </w:r>
            <w:proofErr w:type="spellStart"/>
            <w:r>
              <w:rPr>
                <w:lang w:eastAsia="zh-CN"/>
              </w:rPr>
              <w:t>HiSilicon</w:t>
            </w:r>
            <w:bookmarkEnd w:id="1"/>
            <w:proofErr w:type="spellEnd"/>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w:t>
            </w:r>
            <w:proofErr w:type="spellStart"/>
            <w:r>
              <w:rPr>
                <w:lang w:eastAsia="zh-CN"/>
              </w:rPr>
              <w:t>Scell</w:t>
            </w:r>
            <w:proofErr w:type="spellEnd"/>
            <w:r>
              <w:rPr>
                <w:lang w:eastAsia="zh-CN"/>
              </w:rPr>
              <w:t xml:space="preserve">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 xml:space="preserve">In our understanding, there also should be set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who are only able to support either DAPS or </w:t>
            </w:r>
            <w:proofErr w:type="spellStart"/>
            <w:r>
              <w:rPr>
                <w:rFonts w:hint="eastAsia"/>
                <w:lang w:eastAsia="zh-CN"/>
              </w:rPr>
              <w:t>mTRP</w:t>
            </w:r>
            <w:proofErr w:type="spellEnd"/>
            <w:r>
              <w:rPr>
                <w:rFonts w:hint="eastAsia"/>
                <w:lang w:eastAsia="zh-CN"/>
              </w:rPr>
              <w:t>.</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 xml:space="preserve">Supporting both DAPS and </w:t>
            </w:r>
            <w:proofErr w:type="spellStart"/>
            <w:r>
              <w:rPr>
                <w:lang w:eastAsia="zh-CN"/>
              </w:rPr>
              <w:t>mTRP</w:t>
            </w:r>
            <w:proofErr w:type="spellEnd"/>
            <w:r>
              <w:rPr>
                <w:lang w:eastAsia="zh-CN"/>
              </w:rPr>
              <w:t xml:space="preserve"> is very complicated at UE. Also note that </w:t>
            </w:r>
            <w:proofErr w:type="spellStart"/>
            <w:r>
              <w:rPr>
                <w:lang w:eastAsia="zh-CN"/>
              </w:rPr>
              <w:t>mTRP</w:t>
            </w:r>
            <w:proofErr w:type="spellEnd"/>
            <w:r>
              <w:rPr>
                <w:lang w:eastAsia="zh-CN"/>
              </w:rPr>
              <w:t xml:space="preserve"> is quite equivalent to CA when one TRP can be viewed as virtual CC. Furthermore, supporting both DAPS and </w:t>
            </w:r>
            <w:proofErr w:type="spellStart"/>
            <w:r>
              <w:rPr>
                <w:lang w:eastAsia="zh-CN"/>
              </w:rPr>
              <w:t>mTRP</w:t>
            </w:r>
            <w:proofErr w:type="spellEnd"/>
            <w:r>
              <w:rPr>
                <w:lang w:eastAsia="zh-CN"/>
              </w:rPr>
              <w:t xml:space="preserve">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lastRenderedPageBreak/>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w:t>
            </w:r>
            <w:proofErr w:type="spellStart"/>
            <w:r>
              <w:rPr>
                <w:rFonts w:eastAsiaTheme="minorEastAsia"/>
                <w:lang w:eastAsia="ko-KR"/>
              </w:rPr>
              <w:t>Scell</w:t>
            </w:r>
            <w:proofErr w:type="spellEnd"/>
            <w:r>
              <w:rPr>
                <w:rFonts w:eastAsiaTheme="minorEastAsia"/>
                <w:lang w:eastAsia="ko-KR"/>
              </w:rPr>
              <w:t xml:space="preserve">/CA restriction for DAPS. Simultaneous operation of DAPS and </w:t>
            </w:r>
            <w:proofErr w:type="spellStart"/>
            <w:r>
              <w:rPr>
                <w:rFonts w:eastAsiaTheme="minorEastAsia"/>
                <w:lang w:eastAsia="ko-KR"/>
              </w:rPr>
              <w:t>mTRP</w:t>
            </w:r>
            <w:proofErr w:type="spellEnd"/>
            <w:r>
              <w:rPr>
                <w:rFonts w:eastAsiaTheme="minorEastAsia"/>
                <w:lang w:eastAsia="ko-KR"/>
              </w:rPr>
              <w:t xml:space="preserve">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 xml:space="preserve">UE should not be required to perform </w:t>
            </w:r>
            <w:proofErr w:type="spellStart"/>
            <w:r>
              <w:rPr>
                <w:rFonts w:eastAsiaTheme="minorEastAsia"/>
                <w:lang w:eastAsia="ko-KR"/>
              </w:rPr>
              <w:t>mTRP</w:t>
            </w:r>
            <w:proofErr w:type="spellEnd"/>
            <w:r>
              <w:rPr>
                <w:rFonts w:eastAsiaTheme="minorEastAsia"/>
                <w:lang w:eastAsia="ko-KR"/>
              </w:rPr>
              <w:t xml:space="preserve"> during DAPS-HO, but does not seem to require to divide </w:t>
            </w:r>
            <w:proofErr w:type="spellStart"/>
            <w:r>
              <w:rPr>
                <w:rFonts w:eastAsiaTheme="minorEastAsia"/>
                <w:lang w:eastAsia="ko-KR"/>
              </w:rPr>
              <w:t>U</w:t>
            </w:r>
            <w:r w:rsidR="00C65E25">
              <w:rPr>
                <w:rFonts w:eastAsiaTheme="minorEastAsia"/>
                <w:lang w:eastAsia="ko-KR"/>
              </w:rPr>
              <w:t>e</w:t>
            </w:r>
            <w:r>
              <w:rPr>
                <w:rFonts w:eastAsiaTheme="minorEastAsia"/>
                <w:lang w:eastAsia="ko-KR"/>
              </w:rPr>
              <w:t>s</w:t>
            </w:r>
            <w:proofErr w:type="spellEnd"/>
            <w:r>
              <w:rPr>
                <w:rFonts w:eastAsiaTheme="minorEastAsia"/>
                <w:lang w:eastAsia="ko-KR"/>
              </w:rPr>
              <w:t xml:space="preserve">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 xml:space="preserve">Assuming answer to Q5 is Yes, does this require a capability indication (to separate the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be supported in Rel-16? Alternatively, is the specification description able to automatically process these two types of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 xml:space="preserve">There has been a capability indication to indicate the support of </w:t>
            </w:r>
            <w:proofErr w:type="spellStart"/>
            <w:r>
              <w:rPr>
                <w:rFonts w:hint="eastAsia"/>
                <w:lang w:eastAsia="zh-CN"/>
              </w:rPr>
              <w:t>mTRP</w:t>
            </w:r>
            <w:proofErr w:type="spellEnd"/>
            <w:r>
              <w:rPr>
                <w:rFonts w:hint="eastAsia"/>
                <w:lang w:eastAsia="zh-CN"/>
              </w:rPr>
              <w:t xml:space="preserve">. And there has been another capability indication to indicate the support of DAPS. These two capability indications are independent and can indicate any type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It is not necessary to introduce an additional capability to separate the mentioned two types of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 xml:space="preserve">Assuming answer to Q5 is No, should all </w:t>
      </w:r>
      <w:proofErr w:type="spellStart"/>
      <w:r>
        <w:rPr>
          <w:rFonts w:ascii="Times New Roman" w:hAnsi="Times New Roman"/>
          <w:sz w:val="22"/>
          <w:szCs w:val="22"/>
          <w:lang w:eastAsia="zh-CN"/>
        </w:rPr>
        <w:t>U</w:t>
      </w:r>
      <w:r w:rsidR="00C65E2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be able to enable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(if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are separately supported)? Or should all UE not enable DAPS or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 xml:space="preserve">Support </w:t>
            </w:r>
            <w:proofErr w:type="spellStart"/>
            <w:r>
              <w:rPr>
                <w:b/>
                <w:bCs/>
              </w:rPr>
              <w:t>DAPS+mTRP</w:t>
            </w:r>
            <w:proofErr w:type="spellEnd"/>
            <w:r>
              <w:rPr>
                <w:b/>
                <w:bCs/>
              </w:rPr>
              <w:t xml:space="preserve">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w:t>
            </w:r>
            <w:proofErr w:type="spellStart"/>
            <w:r>
              <w:rPr>
                <w:lang w:eastAsia="zh-CN"/>
              </w:rPr>
              <w:t>Scell</w:t>
            </w:r>
            <w:proofErr w:type="spellEnd"/>
            <w:r>
              <w:rPr>
                <w:lang w:eastAsia="zh-CN"/>
              </w:rPr>
              <w:t xml:space="preserve">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 xml:space="preserve">In our understanding, it is possible to enable DAPS and </w:t>
            </w:r>
            <w:proofErr w:type="spellStart"/>
            <w:r>
              <w:rPr>
                <w:rFonts w:hint="eastAsia"/>
                <w:lang w:eastAsia="zh-CN"/>
              </w:rPr>
              <w:t>mTRP</w:t>
            </w:r>
            <w:proofErr w:type="spellEnd"/>
            <w:r>
              <w:rPr>
                <w:rFonts w:hint="eastAsia"/>
                <w:lang w:eastAsia="zh-CN"/>
              </w:rPr>
              <w:t xml:space="preserve"> simultaneously for a UE as long as the UE reports that both DAPS and </w:t>
            </w:r>
            <w:proofErr w:type="spellStart"/>
            <w:r>
              <w:rPr>
                <w:rFonts w:hint="eastAsia"/>
                <w:lang w:eastAsia="zh-CN"/>
              </w:rPr>
              <w:t>mTRP</w:t>
            </w:r>
            <w:proofErr w:type="spellEnd"/>
            <w:r>
              <w:rPr>
                <w:rFonts w:hint="eastAsia"/>
                <w:lang w:eastAsia="zh-CN"/>
              </w:rPr>
              <w:t xml:space="preserve">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 xml:space="preserve">Follow up of Q7. What is the required TP description needed to either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 together or alternatively not allow DAPS and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w:t>
            </w:r>
            <w:proofErr w:type="spellStart"/>
            <w:r>
              <w:rPr>
                <w:lang w:eastAsia="zh-CN"/>
              </w:rPr>
              <w:t>HiSilicon</w:t>
            </w:r>
            <w:proofErr w:type="spellEnd"/>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w:t>
            </w:r>
            <w:proofErr w:type="spellStart"/>
            <w:r>
              <w:rPr>
                <w:color w:val="1F497D"/>
                <w:sz w:val="21"/>
                <w:szCs w:val="21"/>
                <w:lang w:eastAsia="zh-CN"/>
              </w:rPr>
              <w:t>mTRP</w:t>
            </w:r>
            <w:proofErr w:type="spellEnd"/>
            <w:r>
              <w:rPr>
                <w:color w:val="1F497D"/>
                <w:sz w:val="21"/>
                <w:szCs w:val="21"/>
                <w:lang w:eastAsia="zh-CN"/>
              </w:rPr>
              <w:t xml:space="preserve">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w:t>
            </w:r>
            <w:proofErr w:type="spellStart"/>
            <w:r>
              <w:rPr>
                <w:color w:val="1F497D"/>
                <w:sz w:val="21"/>
                <w:szCs w:val="21"/>
                <w:lang w:eastAsia="zh-CN"/>
              </w:rPr>
              <w:t>mTRP</w:t>
            </w:r>
            <w:proofErr w:type="spellEnd"/>
            <w:r>
              <w:rPr>
                <w:color w:val="1F497D"/>
                <w:sz w:val="21"/>
                <w:szCs w:val="21"/>
                <w:lang w:eastAsia="zh-CN"/>
              </w:rPr>
              <w:t xml:space="preserve">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w:t>
            </w:r>
            <w:proofErr w:type="spellStart"/>
            <w:r>
              <w:rPr>
                <w:color w:val="1F497D"/>
                <w:sz w:val="21"/>
                <w:szCs w:val="21"/>
                <w:lang w:eastAsia="zh-CN"/>
              </w:rPr>
              <w:t>mTRP</w:t>
            </w:r>
            <w:proofErr w:type="spellEnd"/>
            <w:r>
              <w:rPr>
                <w:color w:val="1F497D"/>
                <w:sz w:val="21"/>
                <w:szCs w:val="21"/>
                <w:lang w:eastAsia="zh-CN"/>
              </w:rPr>
              <w:t xml:space="preserve"> fall back to a single TRP when goes to DAPS, there are two options: 1 is RRC reconfigure as suggested by </w:t>
            </w:r>
            <w:proofErr w:type="spellStart"/>
            <w:r>
              <w:rPr>
                <w:color w:val="1F497D"/>
                <w:sz w:val="21"/>
                <w:szCs w:val="21"/>
                <w:lang w:eastAsia="zh-CN"/>
              </w:rPr>
              <w:t>Claes</w:t>
            </w:r>
            <w:proofErr w:type="spellEnd"/>
            <w:r>
              <w:rPr>
                <w:color w:val="1F497D"/>
                <w:sz w:val="21"/>
                <w:szCs w:val="21"/>
                <w:lang w:eastAsia="zh-CN"/>
              </w:rPr>
              <w:t xml:space="preserve">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proofErr w:type="spellStart"/>
            <w:r>
              <w:rPr>
                <w:color w:val="1F497D"/>
                <w:sz w:val="21"/>
                <w:szCs w:val="21"/>
                <w:lang w:eastAsia="zh-CN"/>
              </w:rPr>
              <w:t>Claes</w:t>
            </w:r>
            <w:proofErr w:type="spellEnd"/>
            <w:r>
              <w:rPr>
                <w:color w:val="1F497D"/>
                <w:sz w:val="21"/>
                <w:szCs w:val="21"/>
                <w:lang w:eastAsia="zh-CN"/>
              </w:rPr>
              <w:t xml:space="preserve"> states “</w:t>
            </w:r>
            <w:r>
              <w:t xml:space="preserve"> DAPS operation starts and ends with RRC reconfigurations. In these RRC reconfigurations, the NW can change the configuration </w:t>
            </w:r>
            <w:proofErr w:type="spellStart"/>
            <w:r>
              <w:t>wrt</w:t>
            </w:r>
            <w:proofErr w:type="spellEnd"/>
            <w:r>
              <w:t xml:space="preserve"> </w:t>
            </w:r>
            <w:proofErr w:type="spellStart"/>
            <w:r>
              <w:t>mTRP</w:t>
            </w:r>
            <w:proofErr w:type="spellEnd"/>
            <w:r>
              <w:t xml:space="preserve">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w:t>
            </w:r>
            <w:proofErr w:type="spellStart"/>
            <w:r>
              <w:rPr>
                <w:b/>
                <w:bCs/>
                <w:color w:val="1F497D"/>
                <w:sz w:val="21"/>
                <w:szCs w:val="21"/>
                <w:lang w:eastAsia="zh-CN"/>
              </w:rPr>
              <w:t>mTRP</w:t>
            </w:r>
            <w:proofErr w:type="spellEnd"/>
            <w:r>
              <w:rPr>
                <w:b/>
                <w:bCs/>
                <w:color w:val="1F497D"/>
                <w:sz w:val="21"/>
                <w:szCs w:val="21"/>
                <w:lang w:eastAsia="zh-CN"/>
              </w:rPr>
              <w:t xml:space="preserve">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w:t>
            </w:r>
            <w:proofErr w:type="spellStart"/>
            <w:r>
              <w:rPr>
                <w:b/>
                <w:bCs/>
                <w:color w:val="1F497D"/>
                <w:sz w:val="21"/>
                <w:szCs w:val="21"/>
                <w:lang w:eastAsia="zh-CN"/>
              </w:rPr>
              <w:t>msg</w:t>
            </w:r>
            <w:proofErr w:type="spellEnd"/>
            <w:r>
              <w:rPr>
                <w:b/>
                <w:bCs/>
                <w:color w:val="1F497D"/>
                <w:sz w:val="21"/>
                <w:szCs w:val="21"/>
                <w:lang w:eastAsia="zh-CN"/>
              </w:rPr>
              <w:t xml:space="preserve">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w:t>
            </w:r>
            <w:proofErr w:type="spellStart"/>
            <w:r>
              <w:rPr>
                <w:color w:val="1F497D"/>
                <w:sz w:val="21"/>
                <w:szCs w:val="21"/>
                <w:lang w:eastAsia="zh-CN"/>
              </w:rPr>
              <w:t>mTRP</w:t>
            </w:r>
            <w:proofErr w:type="spellEnd"/>
            <w:r>
              <w:rPr>
                <w:color w:val="1F497D"/>
                <w:sz w:val="21"/>
                <w:szCs w:val="21"/>
                <w:lang w:eastAsia="zh-CN"/>
              </w:rPr>
              <w:t xml:space="preserve">,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proofErr w:type="spellStart"/>
            <w:r>
              <w:rPr>
                <w:lang w:eastAsia="zh-CN"/>
              </w:rPr>
              <w:t>Source+target</w:t>
            </w:r>
            <w:proofErr w:type="spellEnd"/>
            <w:r>
              <w:rPr>
                <w:lang w:eastAsia="zh-CN"/>
              </w:rPr>
              <w:t xml:space="preserve">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 xml:space="preserve">If source wants to change </w:t>
            </w:r>
            <w:proofErr w:type="spellStart"/>
            <w:r>
              <w:rPr>
                <w:lang w:eastAsia="zh-CN"/>
              </w:rPr>
              <w:t>it’s</w:t>
            </w:r>
            <w:proofErr w:type="spellEnd"/>
            <w:r>
              <w:rPr>
                <w:lang w:eastAsia="zh-CN"/>
              </w:rPr>
              <w:t xml:space="preserve">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w:t>
            </w:r>
            <w:proofErr w:type="spellStart"/>
            <w:r>
              <w:rPr>
                <w:lang w:eastAsia="zh-CN"/>
              </w:rPr>
              <w:t>source+target</w:t>
            </w:r>
            <w:proofErr w:type="spellEnd"/>
            <w:r>
              <w:rPr>
                <w:lang w:eastAsia="zh-CN"/>
              </w:rPr>
              <w: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w:t>
            </w:r>
            <w:proofErr w:type="spellStart"/>
            <w:r>
              <w:rPr>
                <w:rFonts w:hint="eastAsia"/>
                <w:lang w:eastAsia="zh-CN"/>
              </w:rPr>
              <w:t>mTRP</w:t>
            </w:r>
            <w:proofErr w:type="spellEnd"/>
            <w:r>
              <w:rPr>
                <w:rFonts w:hint="eastAsia"/>
                <w:lang w:eastAsia="zh-CN"/>
              </w:rPr>
              <w:t xml:space="preserve"> is quite same as the coexistence of NR-DC and </w:t>
            </w:r>
            <w:proofErr w:type="spellStart"/>
            <w:r>
              <w:rPr>
                <w:rFonts w:hint="eastAsia"/>
                <w:lang w:eastAsia="zh-CN"/>
              </w:rPr>
              <w:t>mTRP</w:t>
            </w:r>
            <w:proofErr w:type="spellEnd"/>
            <w:r>
              <w:rPr>
                <w:rFonts w:hint="eastAsia"/>
                <w:lang w:eastAsia="zh-CN"/>
              </w:rPr>
              <w:t xml:space="preserve">. The UE cost and corresponding solution has been discussed for the coexistence of NR-DC and </w:t>
            </w:r>
            <w:proofErr w:type="spellStart"/>
            <w:r>
              <w:rPr>
                <w:rFonts w:hint="eastAsia"/>
                <w:lang w:eastAsia="zh-CN"/>
              </w:rPr>
              <w:t>mTRP</w:t>
            </w:r>
            <w:proofErr w:type="spellEnd"/>
            <w:r>
              <w:rPr>
                <w:rFonts w:hint="eastAsia"/>
                <w:lang w:eastAsia="zh-CN"/>
              </w:rPr>
              <w:t xml:space="preserve"> in </w:t>
            </w:r>
            <w:proofErr w:type="spellStart"/>
            <w:r>
              <w:rPr>
                <w:rFonts w:hint="eastAsia"/>
                <w:lang w:eastAsia="zh-CN"/>
              </w:rPr>
              <w:t>eMIMO</w:t>
            </w:r>
            <w:proofErr w:type="spellEnd"/>
            <w:r>
              <w:rPr>
                <w:rFonts w:hint="eastAsia"/>
                <w:lang w:eastAsia="zh-CN"/>
              </w:rPr>
              <w:t xml:space="preserve"> WI since both </w:t>
            </w:r>
            <w:proofErr w:type="spellStart"/>
            <w:r>
              <w:rPr>
                <w:rFonts w:hint="eastAsia"/>
                <w:lang w:eastAsia="zh-CN"/>
              </w:rPr>
              <w:t>mTRP</w:t>
            </w:r>
            <w:proofErr w:type="spellEnd"/>
            <w:r>
              <w:rPr>
                <w:rFonts w:hint="eastAsia"/>
                <w:lang w:eastAsia="zh-CN"/>
              </w:rPr>
              <w:t xml:space="preserve"> and NR-DC are long time state. One of the solutions is to consider the second TRP as an independent cell. If a UE is configured with </w:t>
            </w:r>
            <w:proofErr w:type="spellStart"/>
            <w:r>
              <w:rPr>
                <w:rFonts w:hint="eastAsia"/>
                <w:lang w:eastAsia="zh-CN"/>
              </w:rPr>
              <w:t>mTRP</w:t>
            </w:r>
            <w:proofErr w:type="spellEnd"/>
            <w:r>
              <w:rPr>
                <w:rFonts w:hint="eastAsia"/>
                <w:lang w:eastAsia="zh-CN"/>
              </w:rPr>
              <w:t xml:space="preserve"> operation for one cell, it leads to the number of cells that can be configured for the UE decreases by one. So the UE cost is not increased. Therefore, allowing simultaneous configuration of </w:t>
            </w:r>
            <w:proofErr w:type="spellStart"/>
            <w:r>
              <w:rPr>
                <w:rFonts w:hint="eastAsia"/>
                <w:lang w:eastAsia="zh-CN"/>
              </w:rPr>
              <w:t>mTRP</w:t>
            </w:r>
            <w:proofErr w:type="spellEnd"/>
            <w:r>
              <w:rPr>
                <w:rFonts w:hint="eastAsia"/>
                <w:lang w:eastAsia="zh-CN"/>
              </w:rPr>
              <w:t xml:space="preserve">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 xml:space="preserve">Regarding the UE using a common set of hardware module for DAPS and </w:t>
            </w:r>
            <w:proofErr w:type="spellStart"/>
            <w:r>
              <w:rPr>
                <w:rFonts w:hint="eastAsia"/>
                <w:lang w:eastAsia="zh-CN"/>
              </w:rPr>
              <w:t>mTRP</w:t>
            </w:r>
            <w:proofErr w:type="spellEnd"/>
            <w:r>
              <w:rPr>
                <w:rFonts w:hint="eastAsia"/>
                <w:lang w:eastAsia="zh-CN"/>
              </w:rPr>
              <w:t xml:space="preserve"> operation as said by HW, we understand this UE only supports two cell. There is no more resource for processing the communication with the second TRP. In this case, the second TRP should be disabled. However, simultaneous configuration of </w:t>
            </w:r>
            <w:proofErr w:type="spellStart"/>
            <w:r>
              <w:rPr>
                <w:rFonts w:hint="eastAsia"/>
                <w:lang w:eastAsia="zh-CN"/>
              </w:rPr>
              <w:t>mTRP</w:t>
            </w:r>
            <w:proofErr w:type="spellEnd"/>
            <w:r>
              <w:rPr>
                <w:rFonts w:hint="eastAsia"/>
                <w:lang w:eastAsia="zh-CN"/>
              </w:rPr>
              <w:t xml:space="preserve"> and DAPS should be supported by the specification since there may be much more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supporting operation of more than two cells simultaneously. There is no reason to prohibit the simultaneous configuration of </w:t>
            </w:r>
            <w:proofErr w:type="spellStart"/>
            <w:r>
              <w:rPr>
                <w:rFonts w:hint="eastAsia"/>
                <w:lang w:eastAsia="zh-CN"/>
              </w:rPr>
              <w:t>mTRP</w:t>
            </w:r>
            <w:proofErr w:type="spellEnd"/>
            <w:r>
              <w:rPr>
                <w:rFonts w:hint="eastAsia"/>
                <w:lang w:eastAsia="zh-CN"/>
              </w:rPr>
              <w:t xml:space="preserve"> and DAPS just because there may be some </w:t>
            </w:r>
            <w:proofErr w:type="spellStart"/>
            <w:r>
              <w:rPr>
                <w:rFonts w:hint="eastAsia"/>
                <w:lang w:eastAsia="zh-CN"/>
              </w:rPr>
              <w:t>U</w:t>
            </w:r>
            <w:r w:rsidR="00C65E25">
              <w:rPr>
                <w:lang w:eastAsia="zh-CN"/>
              </w:rPr>
              <w:t>e</w:t>
            </w:r>
            <w:r>
              <w:rPr>
                <w:rFonts w:hint="eastAsia"/>
                <w:lang w:eastAsia="zh-CN"/>
              </w:rPr>
              <w:t>s</w:t>
            </w:r>
            <w:proofErr w:type="spellEnd"/>
            <w:r>
              <w:rPr>
                <w:rFonts w:hint="eastAsia"/>
                <w:lang w:eastAsia="zh-CN"/>
              </w:rPr>
              <w:t xml:space="preserve"> that does not support it. Therefore, we prefer that it is up to network to configure </w:t>
            </w:r>
            <w:proofErr w:type="spellStart"/>
            <w:r>
              <w:rPr>
                <w:rFonts w:hint="eastAsia"/>
                <w:lang w:eastAsia="zh-CN"/>
              </w:rPr>
              <w:t>mTRP</w:t>
            </w:r>
            <w:proofErr w:type="spellEnd"/>
            <w:r>
              <w:rPr>
                <w:rFonts w:hint="eastAsia"/>
                <w:lang w:eastAsia="zh-CN"/>
              </w:rPr>
              <w:t xml:space="preserve">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w:t>
            </w:r>
            <w:proofErr w:type="spellStart"/>
            <w:r>
              <w:rPr>
                <w:rFonts w:hint="eastAsia"/>
                <w:lang w:eastAsia="zh-CN"/>
              </w:rPr>
              <w:t>scells</w:t>
            </w:r>
            <w:proofErr w:type="spellEnd"/>
            <w:r>
              <w:rPr>
                <w:rFonts w:hint="eastAsia"/>
                <w:lang w:eastAsia="zh-CN"/>
              </w:rPr>
              <w:t xml:space="preserve"> of source MCG, if any, or to avoid the PDCCH overbooking for the source MCG and target MCG in a slot, or to avoid the semi-persistent UL signals/channels (e.g., P-SRS, SP-SRS, CG PUSCH, </w:t>
            </w:r>
            <w:proofErr w:type="spellStart"/>
            <w:r>
              <w:rPr>
                <w:rFonts w:hint="eastAsia"/>
                <w:lang w:eastAsia="zh-CN"/>
              </w:rPr>
              <w:t>etc</w:t>
            </w:r>
            <w:proofErr w:type="spellEnd"/>
            <w:r>
              <w:rPr>
                <w:rFonts w:hint="eastAsia"/>
                <w:lang w:eastAsia="zh-CN"/>
              </w:rPr>
              <w:t xml:space="preserve">)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 xml:space="preserve">TP1-11 is clear for both single DCI and multi-DCI cases in </w:t>
            </w:r>
            <w:proofErr w:type="spellStart"/>
            <w:r>
              <w:rPr>
                <w:lang w:eastAsia="zh-CN"/>
              </w:rPr>
              <w:t>mTRP</w:t>
            </w:r>
            <w:proofErr w:type="spellEnd"/>
            <w:r>
              <w:rPr>
                <w:lang w:eastAsia="zh-CN"/>
              </w:rPr>
              <w:t>.</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w:t>
            </w:r>
            <w:proofErr w:type="spellStart"/>
            <w:r>
              <w:rPr>
                <w:lang w:eastAsia="zh-CN"/>
              </w:rPr>
              <w:t>mTRP</w:t>
            </w:r>
            <w:proofErr w:type="spellEnd"/>
            <w:r>
              <w:rPr>
                <w:lang w:eastAsia="zh-CN"/>
              </w:rPr>
              <w:t xml:space="preserve"> only since </w:t>
            </w:r>
            <w:proofErr w:type="spellStart"/>
            <w:r>
              <w:rPr>
                <w:i/>
                <w:color w:val="FF0000"/>
                <w:u w:val="single"/>
              </w:rPr>
              <w:t>CORESETPoolIndex</w:t>
            </w:r>
            <w:proofErr w:type="spellEnd"/>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If there is a really strong desire from UE vendors, we can compromise to limit the configuration explicitly during DAPS, relying on the RRC reconfigurations that are anyway needed. As ZTE notes, this is the </w:t>
            </w:r>
            <w:r>
              <w:rPr>
                <w:lang w:eastAsia="zh-CN"/>
              </w:rPr>
              <w:lastRenderedPageBreak/>
              <w:t xml:space="preserve">principle used for </w:t>
            </w:r>
            <w:proofErr w:type="spellStart"/>
            <w:r>
              <w:rPr>
                <w:lang w:eastAsia="zh-CN"/>
              </w:rPr>
              <w:t>SCells</w:t>
            </w:r>
            <w:proofErr w:type="spellEnd"/>
            <w:r>
              <w:rPr>
                <w:lang w:eastAsia="zh-CN"/>
              </w:rPr>
              <w:t>.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lastRenderedPageBreak/>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w:t>
            </w:r>
            <w:proofErr w:type="spellStart"/>
            <w:r>
              <w:rPr>
                <w:lang w:eastAsia="zh-CN"/>
              </w:rPr>
              <w:t>mTRP</w:t>
            </w:r>
            <w:proofErr w:type="spellEnd"/>
            <w:r>
              <w:rPr>
                <w:lang w:eastAsia="zh-CN"/>
              </w:rPr>
              <w:t xml:space="preserve"> is indicated per FSBC and support of DAPS is per BC, UE can report both but not expected to work in both at the same time. Otherwise, UE has to double the hardware just in case DAPS and </w:t>
            </w:r>
            <w:proofErr w:type="spellStart"/>
            <w:r>
              <w:rPr>
                <w:lang w:eastAsia="zh-CN"/>
              </w:rPr>
              <w:t>mTRP</w:t>
            </w:r>
            <w:proofErr w:type="spellEnd"/>
            <w:r>
              <w:rPr>
                <w:lang w:eastAsia="zh-CN"/>
              </w:rPr>
              <w:t xml:space="preserve">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w:t>
            </w:r>
            <w:proofErr w:type="spellStart"/>
            <w:r>
              <w:rPr>
                <w:lang w:eastAsia="zh-CN"/>
              </w:rPr>
              <w:t>Scell</w:t>
            </w:r>
            <w:proofErr w:type="spellEnd"/>
            <w:r>
              <w:rPr>
                <w:lang w:eastAsia="zh-CN"/>
              </w:rPr>
              <w:t xml:space="preserve"> in DAPS without RRC reconfigure, PDCCH overbooking does not necessitate it either because overbooking is allowed at least for one </w:t>
            </w:r>
            <w:proofErr w:type="spellStart"/>
            <w:r>
              <w:rPr>
                <w:lang w:eastAsia="zh-CN"/>
              </w:rPr>
              <w:t>Pcell</w:t>
            </w:r>
            <w:proofErr w:type="spellEnd"/>
            <w:r>
              <w:rPr>
                <w:lang w:eastAsia="zh-CN"/>
              </w:rPr>
              <w:t xml:space="preserve">,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w:t>
            </w:r>
            <w:r>
              <w:rPr>
                <w:lang w:eastAsia="zh-CN"/>
              </w:rPr>
              <w:t xml:space="preserve">” covers multi-DCI when </w:t>
            </w:r>
            <w:proofErr w:type="spellStart"/>
            <w:r>
              <w:rPr>
                <w:lang w:eastAsia="zh-CN"/>
              </w:rPr>
              <w:t>CORESETPoolIndex</w:t>
            </w:r>
            <w:proofErr w:type="spellEnd"/>
            <w:r>
              <w:rPr>
                <w:lang w:eastAsia="zh-CN"/>
              </w:rPr>
              <w:t xml:space="preserve"> configured. “</w:t>
            </w:r>
            <w:r>
              <w:rPr>
                <w:color w:val="FF0000"/>
                <w:u w:val="single"/>
              </w:rPr>
              <w:t xml:space="preserve">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w:t>
            </w:r>
            <w:proofErr w:type="spellStart"/>
            <w:r>
              <w:t>codepoint</w:t>
            </w:r>
            <w:proofErr w:type="spellEnd"/>
            <w:r>
              <w:t xml:space="preserve">.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 xml:space="preserve">to automatically release </w:t>
            </w:r>
            <w:proofErr w:type="spellStart"/>
            <w:r>
              <w:rPr>
                <w:lang w:eastAsia="zh-CN"/>
              </w:rPr>
              <w:t>SCell</w:t>
            </w:r>
            <w:proofErr w:type="spellEnd"/>
            <w:r>
              <w:rPr>
                <w:lang w:eastAsia="zh-CN"/>
              </w:rPr>
              <w:t xml:space="preserve">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more than 2 cells are supported for a band/BC additionally, then the network can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e.g. source cell with </w:t>
            </w:r>
            <w:proofErr w:type="spellStart"/>
            <w:r>
              <w:rPr>
                <w:rFonts w:hint="eastAsia"/>
                <w:color w:val="000000" w:themeColor="text1"/>
                <w:lang w:eastAsia="zh-CN"/>
              </w:rPr>
              <w:t>mTRP</w:t>
            </w:r>
            <w:proofErr w:type="spellEnd"/>
            <w:r>
              <w:rPr>
                <w:rFonts w:hint="eastAsia"/>
                <w:color w:val="000000" w:themeColor="text1"/>
                <w:lang w:eastAsia="zh-CN"/>
              </w:rPr>
              <w:t xml:space="preserve"> + target cell. The UE complexity to support a cell with </w:t>
            </w:r>
            <w:proofErr w:type="spellStart"/>
            <w:r>
              <w:rPr>
                <w:rFonts w:hint="eastAsia"/>
                <w:color w:val="000000" w:themeColor="text1"/>
                <w:lang w:eastAsia="zh-CN"/>
              </w:rPr>
              <w:t>mTRP</w:t>
            </w:r>
            <w:proofErr w:type="spellEnd"/>
            <w:r>
              <w:rPr>
                <w:rFonts w:hint="eastAsia"/>
                <w:color w:val="000000" w:themeColor="text1"/>
                <w:lang w:eastAsia="zh-CN"/>
              </w:rPr>
              <w:t xml:space="preserve"> is smaller than the complexity to support two cells, which is the understanding in </w:t>
            </w:r>
            <w:proofErr w:type="spellStart"/>
            <w:r>
              <w:rPr>
                <w:rFonts w:hint="eastAsia"/>
                <w:color w:val="000000" w:themeColor="text1"/>
                <w:lang w:eastAsia="zh-CN"/>
              </w:rPr>
              <w:t>mTRP</w:t>
            </w:r>
            <w:proofErr w:type="spellEnd"/>
            <w:r>
              <w:rPr>
                <w:rFonts w:hint="eastAsia"/>
                <w:color w:val="000000" w:themeColor="text1"/>
                <w:lang w:eastAsia="zh-CN"/>
              </w:rPr>
              <w:t xml:space="preserve">. If a UE reports that only 2 cells are supported for a band/BC additionally, the network cannot configure DAPS and </w:t>
            </w:r>
            <w:proofErr w:type="spellStart"/>
            <w:r>
              <w:rPr>
                <w:rFonts w:hint="eastAsia"/>
                <w:color w:val="000000" w:themeColor="text1"/>
                <w:lang w:eastAsia="zh-CN"/>
              </w:rPr>
              <w:t>mTRP</w:t>
            </w:r>
            <w:proofErr w:type="spellEnd"/>
            <w:r>
              <w:rPr>
                <w:rFonts w:hint="eastAsia"/>
                <w:color w:val="000000" w:themeColor="text1"/>
                <w:lang w:eastAsia="zh-CN"/>
              </w:rPr>
              <w:t xml:space="preserve"> for the UE simultaneously. 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w:t>
            </w:r>
            <w:r>
              <w:rPr>
                <w:rFonts w:hint="eastAsia"/>
                <w:color w:val="000000" w:themeColor="text1"/>
                <w:lang w:eastAsia="zh-CN"/>
              </w:rPr>
              <w:lastRenderedPageBreak/>
              <w:t xml:space="preserve">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B7333F">
        <w:rPr>
          <w:rFonts w:ascii="Times New Roman" w:hAnsi="Times New Roman"/>
          <w:sz w:val="22"/>
          <w:szCs w:val="22"/>
          <w:lang w:eastAsia="zh-CN"/>
        </w:rPr>
        <w:t xml:space="preserve">shall support </w:t>
      </w:r>
      <w:proofErr w:type="spellStart"/>
      <w:r w:rsidR="00B7333F">
        <w:rPr>
          <w:rFonts w:ascii="Times New Roman" w:hAnsi="Times New Roman"/>
          <w:sz w:val="22"/>
          <w:szCs w:val="22"/>
          <w:lang w:eastAsia="zh-CN"/>
        </w:rPr>
        <w:t>mTRP</w:t>
      </w:r>
      <w:proofErr w:type="spellEnd"/>
      <w:r w:rsidR="00B7333F">
        <w:rPr>
          <w:rFonts w:ascii="Times New Roman" w:hAnsi="Times New Roman"/>
          <w:sz w:val="22"/>
          <w:szCs w:val="22"/>
          <w:lang w:eastAsia="zh-CN"/>
        </w:rPr>
        <w:t xml:space="preserve">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and DAPS, </w:t>
      </w:r>
      <w:r w:rsidR="00266995">
        <w:rPr>
          <w:rFonts w:ascii="Times New Roman" w:hAnsi="Times New Roman"/>
          <w:sz w:val="22"/>
          <w:szCs w:val="22"/>
          <w:lang w:eastAsia="zh-CN"/>
        </w:rPr>
        <w:t xml:space="preserve">disable </w:t>
      </w:r>
      <w:proofErr w:type="spellStart"/>
      <w:r w:rsidR="00266995">
        <w:rPr>
          <w:rFonts w:ascii="Times New Roman" w:hAnsi="Times New Roman"/>
          <w:sz w:val="22"/>
          <w:szCs w:val="22"/>
          <w:lang w:eastAsia="zh-CN"/>
        </w:rPr>
        <w:t>mTRP</w:t>
      </w:r>
      <w:proofErr w:type="spellEnd"/>
      <w:r w:rsidR="00266995">
        <w:rPr>
          <w:rFonts w:ascii="Times New Roman" w:hAnsi="Times New Roman"/>
          <w:sz w:val="22"/>
          <w:szCs w:val="22"/>
          <w:lang w:eastAsia="zh-CN"/>
        </w:rPr>
        <w:t xml:space="preserve">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Huawei, </w:t>
      </w:r>
      <w:proofErr w:type="spellStart"/>
      <w:r>
        <w:rPr>
          <w:rFonts w:ascii="Times New Roman" w:hAnsi="Times New Roman"/>
          <w:sz w:val="22"/>
          <w:szCs w:val="22"/>
          <w:lang w:eastAsia="zh-CN"/>
        </w:rPr>
        <w:t>HiSilicon</w:t>
      </w:r>
      <w:proofErr w:type="spellEnd"/>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to non-</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cases automatically when performing DAPS</w:t>
      </w:r>
      <w:r w:rsidR="00FA4E16">
        <w:rPr>
          <w:rFonts w:ascii="Times New Roman" w:hAnsi="Times New Roman"/>
          <w:sz w:val="22"/>
          <w:szCs w:val="22"/>
          <w:lang w:eastAsia="zh-CN"/>
        </w:rPr>
        <w:t xml:space="preserve"> (UE to turn off </w:t>
      </w:r>
      <w:proofErr w:type="spellStart"/>
      <w:r w:rsidR="00FA4E16">
        <w:rPr>
          <w:rFonts w:ascii="Times New Roman" w:hAnsi="Times New Roman"/>
          <w:sz w:val="22"/>
          <w:szCs w:val="22"/>
          <w:lang w:eastAsia="zh-CN"/>
        </w:rPr>
        <w:t>mTRP</w:t>
      </w:r>
      <w:proofErr w:type="spellEnd"/>
      <w:r w:rsidR="00FA4E16">
        <w:rPr>
          <w:rFonts w:ascii="Times New Roman" w:hAnsi="Times New Roman"/>
          <w:sz w:val="22"/>
          <w:szCs w:val="22"/>
          <w:lang w:eastAsia="zh-CN"/>
        </w:rPr>
        <w:t xml:space="preserve"> when DAPS is enabled by </w:t>
      </w:r>
      <w:proofErr w:type="spellStart"/>
      <w:r w:rsidR="00FA4E16">
        <w:rPr>
          <w:rFonts w:ascii="Times New Roman" w:hAnsi="Times New Roman"/>
          <w:sz w:val="22"/>
          <w:szCs w:val="22"/>
          <w:lang w:eastAsia="zh-CN"/>
        </w:rPr>
        <w:t>gNB</w:t>
      </w:r>
      <w:proofErr w:type="spellEnd"/>
      <w:r w:rsidR="00FA4E16">
        <w:rPr>
          <w:rFonts w:ascii="Times New Roman" w:hAnsi="Times New Roman"/>
          <w:sz w:val="22"/>
          <w:szCs w:val="22"/>
          <w:lang w:eastAsia="zh-CN"/>
        </w:rPr>
        <w:t>)</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xml:space="preserve">, </w:t>
      </w:r>
      <w:proofErr w:type="spellStart"/>
      <w:r w:rsidR="00A75F77">
        <w:rPr>
          <w:rFonts w:ascii="Times New Roman" w:hAnsi="Times New Roman"/>
          <w:sz w:val="22"/>
          <w:szCs w:val="22"/>
          <w:lang w:eastAsia="zh-CN"/>
        </w:rPr>
        <w:t>HiSil</w:t>
      </w:r>
      <w:r w:rsidR="001B47BC">
        <w:rPr>
          <w:rFonts w:ascii="Times New Roman" w:hAnsi="Times New Roman"/>
          <w:sz w:val="22"/>
          <w:szCs w:val="22"/>
          <w:lang w:eastAsia="zh-CN"/>
        </w:rPr>
        <w:t>i</w:t>
      </w:r>
      <w:r w:rsidR="00A75F77">
        <w:rPr>
          <w:rFonts w:ascii="Times New Roman" w:hAnsi="Times New Roman"/>
          <w:sz w:val="22"/>
          <w:szCs w:val="22"/>
          <w:lang w:eastAsia="zh-CN"/>
        </w:rPr>
        <w:t>con</w:t>
      </w:r>
      <w:proofErr w:type="spellEnd"/>
      <w:r w:rsidR="00A75F77">
        <w:rPr>
          <w:rFonts w:ascii="Times New Roman" w:hAnsi="Times New Roman"/>
          <w:sz w:val="22"/>
          <w:szCs w:val="22"/>
          <w:lang w:eastAsia="zh-CN"/>
        </w:rPr>
        <w:t xml:space="preserve">, </w:t>
      </w:r>
      <w:proofErr w:type="spellStart"/>
      <w:r w:rsidR="00A75F77">
        <w:rPr>
          <w:rFonts w:ascii="Times New Roman" w:hAnsi="Times New Roman"/>
          <w:sz w:val="22"/>
          <w:szCs w:val="22"/>
          <w:lang w:eastAsia="zh-CN"/>
        </w:rPr>
        <w:t>MediaTek</w:t>
      </w:r>
      <w:proofErr w:type="spellEnd"/>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w:t>
      </w:r>
      <w:proofErr w:type="spellStart"/>
      <w:r>
        <w:rPr>
          <w:rFonts w:ascii="Times New Roman" w:hAnsi="Times New Roman"/>
          <w:sz w:val="22"/>
          <w:szCs w:val="22"/>
          <w:lang w:eastAsia="zh-CN"/>
        </w:rPr>
        <w:t>mTRP</w:t>
      </w:r>
      <w:proofErr w:type="spellEnd"/>
      <w:r>
        <w:rPr>
          <w:rFonts w:ascii="Times New Roman" w:hAnsi="Times New Roman"/>
          <w:sz w:val="22"/>
          <w:szCs w:val="22"/>
          <w:lang w:eastAsia="zh-CN"/>
        </w:rPr>
        <w:t xml:space="preserve"> while performing DAPS</w:t>
      </w:r>
      <w:r w:rsidR="007A4D98">
        <w:rPr>
          <w:rFonts w:ascii="Times New Roman" w:hAnsi="Times New Roman"/>
          <w:sz w:val="22"/>
          <w:szCs w:val="22"/>
          <w:lang w:eastAsia="zh-CN"/>
        </w:rPr>
        <w:t xml:space="preserve"> (therefore </w:t>
      </w:r>
      <w:proofErr w:type="spellStart"/>
      <w:r w:rsidR="007A4D98">
        <w:rPr>
          <w:rFonts w:ascii="Times New Roman" w:hAnsi="Times New Roman"/>
          <w:sz w:val="22"/>
          <w:szCs w:val="22"/>
          <w:lang w:eastAsia="zh-CN"/>
        </w:rPr>
        <w:t>gNB</w:t>
      </w:r>
      <w:proofErr w:type="spellEnd"/>
      <w:r w:rsidR="007A4D98">
        <w:rPr>
          <w:rFonts w:ascii="Times New Roman" w:hAnsi="Times New Roman"/>
          <w:sz w:val="22"/>
          <w:szCs w:val="22"/>
          <w:lang w:eastAsia="zh-CN"/>
        </w:rPr>
        <w:t xml:space="preserve"> to turn off </w:t>
      </w:r>
      <w:proofErr w:type="spellStart"/>
      <w:r w:rsidR="007A4D98">
        <w:rPr>
          <w:rFonts w:ascii="Times New Roman" w:hAnsi="Times New Roman"/>
          <w:sz w:val="22"/>
          <w:szCs w:val="22"/>
          <w:lang w:eastAsia="zh-CN"/>
        </w:rPr>
        <w:t>mTRP</w:t>
      </w:r>
      <w:proofErr w:type="spellEnd"/>
      <w:r w:rsidR="007A4D98">
        <w:rPr>
          <w:rFonts w:ascii="Times New Roman" w:hAnsi="Times New Roman"/>
          <w:sz w:val="22"/>
          <w:szCs w:val="22"/>
          <w:lang w:eastAsia="zh-CN"/>
        </w:rPr>
        <w:t xml:space="preserve">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proofErr w:type="spellStart"/>
      <w:r>
        <w:rPr>
          <w:rFonts w:ascii="Times New Roman" w:hAnsi="Times New Roman"/>
          <w:sz w:val="22"/>
          <w:szCs w:val="22"/>
          <w:lang w:eastAsia="zh-CN"/>
        </w:rPr>
        <w:t>mTR</w:t>
      </w:r>
      <w:r w:rsidR="00B10FA5">
        <w:rPr>
          <w:rFonts w:ascii="Times New Roman" w:hAnsi="Times New Roman"/>
          <w:sz w:val="22"/>
          <w:szCs w:val="22"/>
          <w:lang w:eastAsia="zh-CN"/>
        </w:rPr>
        <w:t>P</w:t>
      </w:r>
      <w:proofErr w:type="spellEnd"/>
      <w:r w:rsidR="00B10FA5">
        <w:rPr>
          <w:rFonts w:ascii="Times New Roman" w:hAnsi="Times New Roman"/>
          <w:sz w:val="22"/>
          <w:szCs w:val="22"/>
          <w:lang w:eastAsia="zh-CN"/>
        </w:rPr>
        <w:t xml:space="preserve">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t>H</w:t>
            </w:r>
            <w:r>
              <w:rPr>
                <w:lang w:eastAsia="zh-CN"/>
              </w:rPr>
              <w:t>uawei/</w:t>
            </w:r>
            <w:proofErr w:type="spellStart"/>
            <w:r>
              <w:rPr>
                <w:lang w:eastAsia="zh-CN"/>
              </w:rPr>
              <w:t>HiSilicon</w:t>
            </w:r>
            <w:proofErr w:type="spellEnd"/>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w:t>
            </w:r>
            <w:proofErr w:type="spellStart"/>
            <w:r>
              <w:rPr>
                <w:lang w:eastAsia="zh-CN"/>
              </w:rPr>
              <w:t>mTRP</w:t>
            </w:r>
            <w:proofErr w:type="spellEnd"/>
            <w:r>
              <w:rPr>
                <w:lang w:eastAsia="zh-CN"/>
              </w:rPr>
              <w:t xml:space="preserve"> may be complex” in the first round, which I suppose Ericsson also concerns operating DAPS and </w:t>
            </w:r>
            <w:proofErr w:type="spellStart"/>
            <w:r>
              <w:rPr>
                <w:lang w:eastAsia="zh-CN"/>
              </w:rPr>
              <w:t>mTRP</w:t>
            </w:r>
            <w:proofErr w:type="spellEnd"/>
            <w:r>
              <w:rPr>
                <w:lang w:eastAsia="zh-CN"/>
              </w:rPr>
              <w:t xml:space="preserve">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lastRenderedPageBreak/>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 xml:space="preserve">It is not mandatory that the UE should support DAPS and </w:t>
            </w:r>
            <w:proofErr w:type="spellStart"/>
            <w:r>
              <w:rPr>
                <w:rFonts w:hint="eastAsia"/>
                <w:color w:val="000000" w:themeColor="text1"/>
                <w:lang w:eastAsia="zh-CN"/>
              </w:rPr>
              <w:t>mTRP</w:t>
            </w:r>
            <w:proofErr w:type="spellEnd"/>
            <w:r>
              <w:rPr>
                <w:rFonts w:hint="eastAsia"/>
                <w:color w:val="000000" w:themeColor="text1"/>
                <w:lang w:eastAsia="zh-CN"/>
              </w:rPr>
              <w:t xml:space="preserve"> at the same time if the UE reports the support of DAPS and </w:t>
            </w:r>
            <w:proofErr w:type="spellStart"/>
            <w:r>
              <w:rPr>
                <w:rFonts w:hint="eastAsia"/>
                <w:color w:val="000000" w:themeColor="text1"/>
                <w:lang w:eastAsia="zh-CN"/>
              </w:rPr>
              <w:t>mTRP</w:t>
            </w:r>
            <w:proofErr w:type="spellEnd"/>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 xml:space="preserve">The configuration of </w:t>
            </w:r>
            <w:proofErr w:type="spellStart"/>
            <w:r>
              <w:rPr>
                <w:rFonts w:hint="eastAsia"/>
                <w:color w:val="000000" w:themeColor="text1"/>
                <w:lang w:eastAsia="zh-CN"/>
              </w:rPr>
              <w:t>mTRP</w:t>
            </w:r>
            <w:proofErr w:type="spellEnd"/>
            <w:r>
              <w:rPr>
                <w:rFonts w:hint="eastAsia"/>
                <w:color w:val="000000" w:themeColor="text1"/>
                <w:lang w:eastAsia="zh-CN"/>
              </w:rPr>
              <w:t xml:space="preserve"> can be deleted by the network during DAPS handover, if an</w:t>
            </w:r>
            <w:r>
              <w:rPr>
                <w:color w:val="000000" w:themeColor="text1"/>
                <w:lang w:eastAsia="zh-CN"/>
              </w:rPr>
              <w:t xml:space="preserve">y”, I suppose you mean RRC reconfiguring UE to let UE know the </w:t>
            </w:r>
            <w:proofErr w:type="spellStart"/>
            <w:r>
              <w:rPr>
                <w:color w:val="000000" w:themeColor="text1"/>
                <w:lang w:eastAsia="zh-CN"/>
              </w:rPr>
              <w:t>mTRP</w:t>
            </w:r>
            <w:proofErr w:type="spellEnd"/>
            <w:r>
              <w:rPr>
                <w:color w:val="000000" w:themeColor="text1"/>
                <w:lang w:eastAsia="zh-CN"/>
              </w:rPr>
              <w:t xml:space="preserve">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w:t>
            </w:r>
            <w:proofErr w:type="spellStart"/>
            <w:r>
              <w:rPr>
                <w:color w:val="000000" w:themeColor="text1"/>
                <w:lang w:eastAsia="zh-CN"/>
              </w:rPr>
              <w:t>gNB</w:t>
            </w:r>
            <w:proofErr w:type="spellEnd"/>
            <w:r>
              <w:rPr>
                <w:color w:val="000000" w:themeColor="text1"/>
                <w:lang w:eastAsia="zh-CN"/>
              </w:rPr>
              <w:t xml:space="preserve"> is going to change the configuration for source </w:t>
            </w:r>
            <w:proofErr w:type="spellStart"/>
            <w:r>
              <w:rPr>
                <w:color w:val="000000" w:themeColor="text1"/>
                <w:lang w:eastAsia="zh-CN"/>
              </w:rPr>
              <w:t>gNB</w:t>
            </w:r>
            <w:proofErr w:type="spellEnd"/>
            <w:r>
              <w:rPr>
                <w:color w:val="000000" w:themeColor="text1"/>
                <w:lang w:eastAsia="zh-CN"/>
              </w:rPr>
              <w:t xml:space="preserve">, then the source </w:t>
            </w:r>
            <w:proofErr w:type="spellStart"/>
            <w:r>
              <w:rPr>
                <w:color w:val="000000" w:themeColor="text1"/>
                <w:lang w:eastAsia="zh-CN"/>
              </w:rPr>
              <w:t>gNB</w:t>
            </w:r>
            <w:proofErr w:type="spellEnd"/>
            <w:r>
              <w:rPr>
                <w:color w:val="000000" w:themeColor="text1"/>
                <w:lang w:eastAsia="zh-CN"/>
              </w:rPr>
              <w:t xml:space="preserve"> has to send RRC reconfiguration </w:t>
            </w:r>
            <w:proofErr w:type="spellStart"/>
            <w:r>
              <w:rPr>
                <w:color w:val="000000" w:themeColor="text1"/>
                <w:lang w:eastAsia="zh-CN"/>
              </w:rPr>
              <w:t>msg</w:t>
            </w:r>
            <w:proofErr w:type="spellEnd"/>
            <w:r>
              <w:rPr>
                <w:color w:val="000000" w:themeColor="text1"/>
                <w:lang w:eastAsia="zh-CN"/>
              </w:rPr>
              <w:t xml:space="preserve"> to UE for changing configuration (or deleting as in your example) before sending another RRC reconfiguration </w:t>
            </w:r>
            <w:proofErr w:type="spellStart"/>
            <w:r>
              <w:rPr>
                <w:color w:val="000000" w:themeColor="text1"/>
                <w:lang w:eastAsia="zh-CN"/>
              </w:rPr>
              <w:t>msg</w:t>
            </w:r>
            <w:proofErr w:type="spellEnd"/>
            <w:r>
              <w:rPr>
                <w:color w:val="000000" w:themeColor="text1"/>
                <w:lang w:eastAsia="zh-CN"/>
              </w:rPr>
              <w:t xml:space="preserve"> carrying handover command. What RAN1 can do to avoid RRC </w:t>
            </w:r>
            <w:proofErr w:type="spellStart"/>
            <w:r>
              <w:rPr>
                <w:color w:val="000000" w:themeColor="text1"/>
                <w:lang w:eastAsia="zh-CN"/>
              </w:rPr>
              <w:t>reconfig</w:t>
            </w:r>
            <w:proofErr w:type="spellEnd"/>
            <w:r>
              <w:rPr>
                <w:color w:val="000000" w:themeColor="text1"/>
                <w:lang w:eastAsia="zh-CN"/>
              </w:rPr>
              <w:t xml:space="preserve">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lastRenderedPageBreak/>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proofErr w:type="spellStart"/>
            <w:r w:rsidRPr="002A397D">
              <w:rPr>
                <w:iCs/>
                <w:color w:val="000000" w:themeColor="text1"/>
              </w:rPr>
              <w:t>CORESETPoolIndex</w:t>
            </w:r>
            <w:proofErr w:type="spellEnd"/>
            <w:r w:rsidRPr="002A397D">
              <w:rPr>
                <w:iCs/>
                <w:color w:val="000000" w:themeColor="text1"/>
              </w:rPr>
              <w:t xml:space="preserve">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proofErr w:type="spellStart"/>
            <w:r w:rsidRPr="002A397D">
              <w:rPr>
                <w:iCs/>
                <w:color w:val="000000" w:themeColor="text1"/>
              </w:rPr>
              <w:t>CORESETPoolIndex</w:t>
            </w:r>
            <w:proofErr w:type="spellEnd"/>
            <w:r w:rsidRPr="002A397D">
              <w:rPr>
                <w:iCs/>
                <w:color w:val="000000" w:themeColor="text1"/>
              </w:rPr>
              <w:t xml:space="preserve"> = 0</w:t>
            </w:r>
            <w:r>
              <w:rPr>
                <w:iCs/>
                <w:color w:val="000000" w:themeColor="text1"/>
              </w:rPr>
              <w:t xml:space="preserve"> maybe not the best TRP when UE is moving toward the target cell, or the </w:t>
            </w:r>
            <w:proofErr w:type="spellStart"/>
            <w:r>
              <w:rPr>
                <w:iCs/>
                <w:color w:val="000000" w:themeColor="text1"/>
              </w:rPr>
              <w:t>coresponding</w:t>
            </w:r>
            <w:proofErr w:type="spellEnd"/>
            <w:r>
              <w:rPr>
                <w:iCs/>
                <w:color w:val="000000" w:themeColor="text1"/>
              </w:rPr>
              <w:t xml:space="preserve">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w:t>
            </w:r>
            <w:proofErr w:type="spellStart"/>
            <w:r>
              <w:rPr>
                <w:lang w:eastAsia="zh-CN"/>
              </w:rPr>
              <w:t>mTRP</w:t>
            </w:r>
            <w:proofErr w:type="spellEnd"/>
            <w:r>
              <w:rPr>
                <w:lang w:eastAsia="zh-CN"/>
              </w:rPr>
              <w:t xml:space="preserve">, then UE can’t be configured with DAPS HO. Only after </w:t>
            </w:r>
            <w:proofErr w:type="spellStart"/>
            <w:r>
              <w:rPr>
                <w:lang w:eastAsia="zh-CN"/>
              </w:rPr>
              <w:t>gNB</w:t>
            </w:r>
            <w:proofErr w:type="spellEnd"/>
            <w:r>
              <w:rPr>
                <w:lang w:eastAsia="zh-CN"/>
              </w:rPr>
              <w:t xml:space="preserve"> disables the </w:t>
            </w:r>
            <w:proofErr w:type="spellStart"/>
            <w:r>
              <w:rPr>
                <w:lang w:eastAsia="zh-CN"/>
              </w:rPr>
              <w:t>mTRP</w:t>
            </w:r>
            <w:proofErr w:type="spellEnd"/>
            <w:r>
              <w:rPr>
                <w:lang w:eastAsia="zh-CN"/>
              </w:rPr>
              <w:t xml:space="preserve">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bookmarkStart w:id="2" w:name="_GoBack"/>
      <w:r>
        <w:rPr>
          <w:rFonts w:ascii="Times New Roman" w:hAnsi="Times New Roman"/>
          <w:b/>
          <w:bCs/>
          <w:sz w:val="22"/>
          <w:szCs w:val="22"/>
          <w:lang w:eastAsia="zh-CN"/>
        </w:rPr>
        <w:t>Issue #7)</w:t>
      </w:r>
    </w:p>
    <w:bookmarkEnd w:id="2"/>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lastRenderedPageBreak/>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proofErr w:type="spellStart"/>
            <w:r>
              <w:rPr>
                <w:i/>
              </w:rPr>
              <w:t>simultaneousRxTxInterBandDAPS</w:t>
            </w:r>
            <w:proofErr w:type="spellEnd"/>
            <w:r>
              <w:rPr>
                <w:i/>
              </w:rPr>
              <w:t xml:space="preserve">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 xml:space="preserve">favorable operation. In this regard, similar with </w:t>
            </w:r>
            <w:proofErr w:type="spellStart"/>
            <w:r>
              <w:rPr>
                <w:rFonts w:eastAsiaTheme="minorEastAsia"/>
                <w:lang w:eastAsia="ko-KR"/>
              </w:rPr>
              <w:t>mTRP</w:t>
            </w:r>
            <w:proofErr w:type="spellEnd"/>
            <w:r>
              <w:rPr>
                <w:rFonts w:eastAsiaTheme="minorEastAsia"/>
                <w:lang w:eastAsia="ko-KR"/>
              </w:rPr>
              <w:t>,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3" w:name="_Toc26459606"/>
            <w:bookmarkStart w:id="4" w:name="_Toc29230250"/>
            <w:bookmarkStart w:id="5" w:name="_Toc45107348"/>
            <w:bookmarkStart w:id="6" w:name="_Toc19796380"/>
            <w:bookmarkStart w:id="7" w:name="_Toc36026509"/>
            <w:r>
              <w:t>4.3.2</w:t>
            </w:r>
            <w:r>
              <w:tab/>
              <w:t>Slots</w:t>
            </w:r>
            <w:bookmarkEnd w:id="3"/>
            <w:bookmarkEnd w:id="4"/>
            <w:bookmarkEnd w:id="5"/>
            <w:bookmarkEnd w:id="6"/>
            <w:bookmarkEnd w:id="7"/>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lastRenderedPageBreak/>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proofErr w:type="spellStart"/>
      <w:r>
        <w:rPr>
          <w:i/>
        </w:rPr>
        <w:t>simultaneousRxTxDAPS</w:t>
      </w:r>
      <w:proofErr w:type="spellEnd"/>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rPr>
                <w:i/>
              </w:rP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rPr>
              <w:t xml:space="preserve"> </w:t>
            </w:r>
            <w:proofErr w:type="spellStart"/>
            <w:r>
              <w:rPr>
                <w:i/>
              </w:rPr>
              <w:t>simultaneousRxTxInterBandCA</w:t>
            </w:r>
            <w:proofErr w:type="spellEnd"/>
            <w:r>
              <w:rPr>
                <w:i/>
              </w:rPr>
              <w:t xml:space="preserve"> or </w:t>
            </w:r>
            <w:proofErr w:type="spellStart"/>
            <w:r>
              <w:rPr>
                <w:i/>
              </w:rPr>
              <w:t>simultaneousRxTxSUL</w:t>
            </w:r>
            <w:proofErr w:type="spellEnd"/>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proofErr w:type="spellStart"/>
            <w:r>
              <w:rPr>
                <w:i/>
              </w:rPr>
              <w:t>simultaneousRxTxInterBandENDC</w:t>
            </w:r>
            <w:proofErr w:type="spellEnd"/>
            <w:r>
              <w:t xml:space="preserve">, </w:t>
            </w:r>
            <w:proofErr w:type="spellStart"/>
            <w:r w:rsidR="007C4368" w:rsidRPr="007C4368">
              <w:rPr>
                <w:i/>
                <w:color w:val="C00000"/>
                <w:u w:val="single"/>
              </w:rPr>
              <w:t>simultaneousRxTxDAPS</w:t>
            </w:r>
            <w:proofErr w:type="spellEnd"/>
            <w:r w:rsidR="007C4368" w:rsidRPr="007C4368">
              <w:rPr>
                <w:i/>
                <w:color w:val="C00000"/>
                <w:u w:val="single"/>
              </w:rPr>
              <w:t>,</w:t>
            </w:r>
            <w:r w:rsidR="007C4368">
              <w:rPr>
                <w:i/>
                <w:color w:val="C00000"/>
                <w:u w:val="single"/>
              </w:rPr>
              <w:t xml:space="preserve"> </w:t>
            </w:r>
            <w:proofErr w:type="spellStart"/>
            <w:r>
              <w:rPr>
                <w:i/>
              </w:rPr>
              <w:t>simultaneousRxTxInterBandCA</w:t>
            </w:r>
            <w:proofErr w:type="spellEnd"/>
            <w:r>
              <w:t xml:space="preserve"> </w:t>
            </w:r>
            <w:r>
              <w:rPr>
                <w:i/>
              </w:rPr>
              <w:t xml:space="preserve">or </w:t>
            </w:r>
            <w:proofErr w:type="spellStart"/>
            <w:r>
              <w:rPr>
                <w:i/>
              </w:rPr>
              <w:t>simultaneousRxTxSUL</w:t>
            </w:r>
            <w:proofErr w:type="spellEnd"/>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w:proofErr w:type="spellStart"/>
                  <m:r>
                    <m:rPr>
                      <m:nor/>
                    </m:rPr>
                    <m:t>Tx</m:t>
                  </m:r>
                  <w:proofErr w:type="spellEnd"/>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 xml:space="preserve">R1-2005794, “Remaining issues on DAPS-HO,” Huawei, </w:t>
      </w:r>
      <w:proofErr w:type="spellStart"/>
      <w:r>
        <w:rPr>
          <w:rFonts w:eastAsia="Calibri"/>
          <w:lang w:eastAsia="zh-CN"/>
        </w:rPr>
        <w:t>HiSilicon</w:t>
      </w:r>
      <w:proofErr w:type="spellEnd"/>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lastRenderedPageBreak/>
        <w:t>R1-2005942, “Issue Summary for NR Mobility Enhancements,” Moderator (Intel Corporation)</w:t>
      </w:r>
    </w:p>
    <w:sectPr w:rsidR="008B1E14">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4321F" w14:textId="77777777" w:rsidR="00A4663E" w:rsidRDefault="00A4663E">
      <w:pPr>
        <w:spacing w:after="0" w:line="240" w:lineRule="auto"/>
      </w:pPr>
      <w:r>
        <w:separator/>
      </w:r>
    </w:p>
  </w:endnote>
  <w:endnote w:type="continuationSeparator" w:id="0">
    <w:p w14:paraId="16717959" w14:textId="77777777" w:rsidR="00A4663E" w:rsidRDefault="00A4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C877CE" w:rsidRDefault="00C87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C877CE" w:rsidRDefault="00C877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C877CE" w:rsidRDefault="00C877CE">
    <w:pPr>
      <w:pStyle w:val="Footer"/>
      <w:ind w:right="360"/>
    </w:pPr>
    <w:r>
      <w:rPr>
        <w:rStyle w:val="PageNumber"/>
      </w:rPr>
      <w:fldChar w:fldCharType="begin"/>
    </w:r>
    <w:r>
      <w:rPr>
        <w:rStyle w:val="PageNumber"/>
      </w:rPr>
      <w:instrText xml:space="preserve"> PAGE </w:instrText>
    </w:r>
    <w:r>
      <w:rPr>
        <w:rStyle w:val="PageNumber"/>
      </w:rPr>
      <w:fldChar w:fldCharType="separate"/>
    </w:r>
    <w:r w:rsidR="005C68F5">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68F5">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EEFAC" w14:textId="77777777" w:rsidR="00A4663E" w:rsidRDefault="00A4663E">
      <w:pPr>
        <w:spacing w:after="0" w:line="240" w:lineRule="auto"/>
      </w:pPr>
      <w:r>
        <w:separator/>
      </w:r>
    </w:p>
  </w:footnote>
  <w:footnote w:type="continuationSeparator" w:id="0">
    <w:p w14:paraId="0824F2FD" w14:textId="77777777" w:rsidR="00A4663E" w:rsidRDefault="00A46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C877CE" w:rsidRDefault="00C877C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96296"/>
    <w:rsid w:val="008A4468"/>
    <w:rsid w:val="008B1F9D"/>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6.xml><?xml version="1.0" encoding="utf-8"?>
<ds:datastoreItem xmlns:ds="http://schemas.openxmlformats.org/officeDocument/2006/customXml" ds:itemID="{4E946086-B297-42FF-9AB1-FD4033DD0207}">
  <ds:schemaRefs>
    <ds:schemaRef ds:uri="http://schemas.openxmlformats.org/officeDocument/2006/bibliography"/>
  </ds:schemaRefs>
</ds:datastoreItem>
</file>

<file path=customXml/itemProps7.xml><?xml version="1.0" encoding="utf-8"?>
<ds:datastoreItem xmlns:ds="http://schemas.openxmlformats.org/officeDocument/2006/customXml" ds:itemID="{5B09D9B7-54F2-4EB4-8DE4-4CF6E99E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29</Pages>
  <Words>11581</Words>
  <Characters>66016</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77443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Yuan-Sheng Cheng</cp:lastModifiedBy>
  <cp:revision>3</cp:revision>
  <cp:lastPrinted>2011-11-09T07:49:00Z</cp:lastPrinted>
  <dcterms:created xsi:type="dcterms:W3CDTF">2020-08-21T19:08:00Z</dcterms:created>
  <dcterms:modified xsi:type="dcterms:W3CDTF">2020-08-21T19:59:00Z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